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84" w:rsidRPr="00817B62" w:rsidRDefault="00C12284" w:rsidP="00C12284">
      <w:pPr>
        <w:shd w:val="clear" w:color="auto" w:fill="FDFEFF"/>
        <w:spacing w:after="225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Управління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в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галузі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являє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собою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засновану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правових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нормах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діяльність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органів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Української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держави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організації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раціонального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задоволення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потреб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мінеральній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сировині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інших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потреб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господарського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комплексу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тісному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взаємозв'язку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іншими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природними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забезпечення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безпеки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користуванні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надрами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прав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підприємств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установ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організацій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цій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сфері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C12284" w:rsidRPr="00817B62" w:rsidRDefault="00C12284" w:rsidP="00C12284">
      <w:pPr>
        <w:shd w:val="clear" w:color="auto" w:fill="FDFEFF"/>
        <w:spacing w:before="150" w:after="225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правилом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здійснюють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компетенції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2284" w:rsidRPr="00817B62" w:rsidRDefault="00C12284" w:rsidP="00C12284">
      <w:pPr>
        <w:shd w:val="clear" w:color="auto" w:fill="FDFEFF"/>
        <w:spacing w:before="150" w:after="225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Повноваження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компетенції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Ради</w:t>
      </w:r>
      <w:proofErr w:type="gram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Автономної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Республіки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Крим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обласних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районних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адміністрацій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місцевих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рад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виконавчих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статтями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8-10 Кодексу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Конституцією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Автономної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Республіки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Крим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законами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місцеве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самоврядування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«Про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місцеві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адміністрації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C12284" w:rsidRPr="00817B62" w:rsidRDefault="00C12284" w:rsidP="00C12284">
      <w:pPr>
        <w:shd w:val="clear" w:color="auto" w:fill="FDFEFF"/>
        <w:spacing w:before="150" w:after="225" w:line="405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основних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державних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органів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спеціальної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компетенції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сьогодні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відносяться</w:t>
      </w:r>
      <w:proofErr w:type="spellEnd"/>
      <w:r w:rsidRPr="00817B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12284" w:rsidRPr="00817B62" w:rsidRDefault="00C12284" w:rsidP="00C12284">
      <w:pPr>
        <w:numPr>
          <w:ilvl w:val="0"/>
          <w:numId w:val="1"/>
        </w:numPr>
        <w:shd w:val="clear" w:color="auto" w:fill="FDFEFF"/>
        <w:spacing w:after="0" w:line="40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навколишнього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природного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складі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служба (постанова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12.07.2005 р.).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службу,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24.09.2005 р.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покладені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мінерально-сировинної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раціонального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гідрогеологічного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інженерно-геологічного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еколого-геологічного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картування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розвідки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території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континентальному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шельфі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виключній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морській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зоні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2284" w:rsidRPr="00817B62" w:rsidRDefault="00C12284" w:rsidP="00C12284">
      <w:pPr>
        <w:shd w:val="clear" w:color="auto" w:fill="FDFEFF"/>
        <w:spacing w:after="0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284" w:rsidRPr="00817B62" w:rsidRDefault="00C12284" w:rsidP="00C12284">
      <w:pPr>
        <w:numPr>
          <w:ilvl w:val="0"/>
          <w:numId w:val="1"/>
        </w:numPr>
        <w:shd w:val="clear" w:color="auto" w:fill="FDFEFF"/>
        <w:spacing w:after="0" w:line="40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комітет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промислової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(постанова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23.11.2006 р.).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управління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раціонального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12284" w:rsidRPr="00817B62" w:rsidRDefault="00C12284" w:rsidP="00C12284">
      <w:pPr>
        <w:numPr>
          <w:ilvl w:val="1"/>
          <w:numId w:val="1"/>
        </w:numPr>
        <w:shd w:val="clear" w:color="auto" w:fill="FDFEFF"/>
        <w:spacing w:after="0" w:line="40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ст. 42 Кодексу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тому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техногенні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запаси і прояви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підлягають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державному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кадастрі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проявів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державному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балансі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кадастр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проявів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включене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до державного фонду</w:t>
      </w:r>
      <w:proofErr w:type="gram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наявних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них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гірничотехнічних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гідрогеологічних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геолого-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прояв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(ст. 43).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баланс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ступінь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промислове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промислового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освоєння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видобуток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забезпеченість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суспільного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виробництва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розвіданими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запасами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(ст. 44).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детальніше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регулюється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31.01.1995 р. «Про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Порядку державного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проявів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27.01.1995р. «Про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списання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гірничодобувного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Державному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зазначено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ст. 47 Кодексу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підлягають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ділянки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надані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будівництва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експлуатації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підземних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споруд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для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видобуванням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підлягають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ст. 39 Кодексу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обов'язковій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підлягають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геологічному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узагальнення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максимального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запобігання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дублюванню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зазначених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Наказом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Держкомгеології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15.02.2000 р.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2284" w:rsidRPr="00817B62" w:rsidRDefault="00C12284" w:rsidP="00C12284">
      <w:pPr>
        <w:shd w:val="clear" w:color="auto" w:fill="FDFEFF"/>
        <w:spacing w:after="0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284" w:rsidRPr="00817B62" w:rsidRDefault="00C12284" w:rsidP="00C12284">
      <w:pPr>
        <w:numPr>
          <w:ilvl w:val="1"/>
          <w:numId w:val="1"/>
        </w:numPr>
        <w:shd w:val="clear" w:color="auto" w:fill="FDFEFF"/>
        <w:spacing w:after="0" w:line="40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перерозподіл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видобування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будівництва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споруд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видобуванням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законодавством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відводів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детально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розглянутий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попередньому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питанні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2284" w:rsidRPr="00817B62" w:rsidRDefault="00C12284" w:rsidP="00C12284">
      <w:pPr>
        <w:pStyle w:val="a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284" w:rsidRPr="00817B62" w:rsidRDefault="00C12284" w:rsidP="00C12284">
      <w:pPr>
        <w:shd w:val="clear" w:color="auto" w:fill="FDFEFF"/>
        <w:spacing w:after="0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284" w:rsidRPr="00817B62" w:rsidRDefault="00C12284" w:rsidP="00C12284">
      <w:pPr>
        <w:numPr>
          <w:ilvl w:val="1"/>
          <w:numId w:val="1"/>
        </w:numPr>
        <w:shd w:val="clear" w:color="auto" w:fill="FDFEFF"/>
        <w:spacing w:after="0" w:line="40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експертиза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експертизи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4.10.2000 р. метою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експертизи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є: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об'єктивна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мінерально-сировинної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єдиних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науково-методичних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критеріїв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достовірності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оцінених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якісних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показників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запланованим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напрямам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 для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найповнішого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раціонального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комплексного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дотриманням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навколишнього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природного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порівняльної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якісних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показників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запасів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географо-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гірничо-геологічних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гідрогеологічних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залягання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реальної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промислової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цінності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2284" w:rsidRPr="00817B62" w:rsidRDefault="00C12284" w:rsidP="00C12284">
      <w:pPr>
        <w:shd w:val="clear" w:color="auto" w:fill="FDFEFF"/>
        <w:spacing w:after="0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284" w:rsidRPr="00817B62" w:rsidRDefault="00C12284" w:rsidP="00C12284">
      <w:pPr>
        <w:numPr>
          <w:ilvl w:val="1"/>
          <w:numId w:val="1"/>
        </w:numPr>
        <w:shd w:val="clear" w:color="auto" w:fill="FDFEFF"/>
        <w:spacing w:after="0" w:line="40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Лімітування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ст. 52 Кодексу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 метою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запобігання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негативним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демографічним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соціальним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екологічним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наслідкам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інтенсивного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видобутку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установлюються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квоти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видобуток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установлення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квот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видобуток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22.12.1994 р.</w:t>
      </w:r>
    </w:p>
    <w:p w:rsidR="00C12284" w:rsidRPr="00817B62" w:rsidRDefault="00C12284" w:rsidP="00C12284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12284" w:rsidRPr="00817B62" w:rsidRDefault="00C12284" w:rsidP="00C12284">
      <w:pPr>
        <w:shd w:val="clear" w:color="auto" w:fill="FDFEFF"/>
        <w:spacing w:after="0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12284" w:rsidRPr="00817B62" w:rsidRDefault="00C12284" w:rsidP="00C12284">
      <w:pPr>
        <w:numPr>
          <w:ilvl w:val="1"/>
          <w:numId w:val="1"/>
        </w:numPr>
        <w:shd w:val="clear" w:color="auto" w:fill="FDFEFF"/>
        <w:spacing w:after="0" w:line="40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розпорядження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розпорядження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13.06.1995 </w:t>
      </w:r>
      <w:proofErr w:type="gram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р..</w:t>
      </w:r>
      <w:proofErr w:type="gram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Геологічна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зафіксовані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геофізичного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геохімічного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аерокосмічного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характеризують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будову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них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копалини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родовищ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якісні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результатами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геологорозвідувальних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, геолого-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екологічних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науково-дослідних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експлуатаційних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п. 5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підлягає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обов'язковій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Державному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інформаційному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геологічному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фонді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Мінприроди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регулює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продажу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органом –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фондом.</w:t>
      </w:r>
    </w:p>
    <w:p w:rsidR="00C12284" w:rsidRPr="00817B62" w:rsidRDefault="00C12284" w:rsidP="00C12284">
      <w:pPr>
        <w:shd w:val="clear" w:color="auto" w:fill="FDFEFF"/>
        <w:spacing w:after="0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284" w:rsidRPr="00817B62" w:rsidRDefault="00C12284" w:rsidP="00C12284">
      <w:pPr>
        <w:numPr>
          <w:ilvl w:val="1"/>
          <w:numId w:val="1"/>
        </w:numPr>
        <w:shd w:val="clear" w:color="auto" w:fill="FDFEFF"/>
        <w:spacing w:after="0" w:line="40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контроль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ст. 60 Кодексу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контроль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геологічному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спрямовані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додержання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всіма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органами,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підприємствами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громадянами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обов'язків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законодавством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2284" w:rsidRPr="00817B62" w:rsidRDefault="00C12284" w:rsidP="00C12284">
      <w:pPr>
        <w:shd w:val="clear" w:color="auto" w:fill="FDFEFF"/>
        <w:spacing w:before="150" w:after="225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раціонального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законодавством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передбачене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державного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контролю і державного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2284" w:rsidRPr="00817B62" w:rsidRDefault="00C12284" w:rsidP="00C12284">
      <w:pPr>
        <w:shd w:val="clear" w:color="auto" w:fill="FDFEFF"/>
        <w:spacing w:before="150" w:after="225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п. 4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контроль за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геологічному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затвердженому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30.11.1994 р.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державного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контролю є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всіма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центральними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органами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виконавчої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влади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підприємствами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об'єднаннями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власності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порядку, норм і правил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геологозйомочних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пошукових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розвідувальних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гідрогеологічних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геохімічних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інженерно-геологічних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геофізичних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континентальний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шельф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виключну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морську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зону; правил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комплексного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державного контролю за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покладено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службу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п.п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11 п. 4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службу.</w:t>
      </w:r>
    </w:p>
    <w:p w:rsidR="00C12284" w:rsidRPr="00817B62" w:rsidRDefault="00C12284" w:rsidP="00C12284">
      <w:pPr>
        <w:shd w:val="clear" w:color="auto" w:fill="FDFEFF"/>
        <w:spacing w:before="150" w:after="0" w:line="40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державного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регулюється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Міністрів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21.02.1995 р. «Про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порядок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державного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п. 1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додержанням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підприємствами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громадянами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актів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законодавства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правил і норм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геологічним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надр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переробкою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мінеральної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сировини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покладені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Держпромгірнагляд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п.п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8 п. 4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комітет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промислової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гірничого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нагляду</w:t>
      </w:r>
      <w:proofErr w:type="spellEnd"/>
      <w:r w:rsidRPr="00817B6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Default="00817B62" w:rsidP="00817B62">
      <w:pPr>
        <w:jc w:val="center"/>
        <w:rPr>
          <w:bCs/>
          <w:sz w:val="28"/>
        </w:rPr>
      </w:pPr>
    </w:p>
    <w:p w:rsidR="00817B62" w:rsidRPr="00817B62" w:rsidRDefault="00817B62" w:rsidP="00817B6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17B62">
        <w:rPr>
          <w:rFonts w:ascii="Times New Roman" w:hAnsi="Times New Roman" w:cs="Times New Roman"/>
          <w:b/>
          <w:bCs/>
          <w:sz w:val="28"/>
        </w:rPr>
        <w:lastRenderedPageBreak/>
        <w:t>МІНІСТЕРСТВО ОСВІТИ І НАУКИ УКРАЇНИ</w:t>
      </w:r>
    </w:p>
    <w:p w:rsidR="00817B62" w:rsidRPr="00817B62" w:rsidRDefault="00817B62" w:rsidP="00817B6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17B62">
        <w:rPr>
          <w:rFonts w:ascii="Times New Roman" w:hAnsi="Times New Roman" w:cs="Times New Roman"/>
          <w:b/>
          <w:bCs/>
          <w:sz w:val="28"/>
        </w:rPr>
        <w:t>Національний технічний університет України</w:t>
      </w:r>
    </w:p>
    <w:p w:rsidR="00817B62" w:rsidRPr="00817B62" w:rsidRDefault="00817B62" w:rsidP="00817B6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17B62">
        <w:rPr>
          <w:rFonts w:ascii="Times New Roman" w:hAnsi="Times New Roman" w:cs="Times New Roman"/>
          <w:b/>
          <w:bCs/>
          <w:sz w:val="28"/>
        </w:rPr>
        <w:t>“Київський політехнічний інститут”</w:t>
      </w:r>
    </w:p>
    <w:p w:rsidR="00817B62" w:rsidRPr="00817B62" w:rsidRDefault="00817B62" w:rsidP="00817B62">
      <w:pPr>
        <w:rPr>
          <w:rFonts w:ascii="Times New Roman" w:hAnsi="Times New Roman" w:cs="Times New Roman"/>
          <w:b/>
          <w:sz w:val="24"/>
        </w:rPr>
      </w:pPr>
    </w:p>
    <w:p w:rsidR="00817B62" w:rsidRPr="00817B62" w:rsidRDefault="00817B62" w:rsidP="00817B62">
      <w:pPr>
        <w:jc w:val="center"/>
        <w:rPr>
          <w:rFonts w:ascii="Times New Roman" w:hAnsi="Times New Roman" w:cs="Times New Roman"/>
          <w:b/>
          <w:caps/>
          <w:sz w:val="56"/>
          <w:szCs w:val="56"/>
        </w:rPr>
      </w:pPr>
    </w:p>
    <w:p w:rsidR="00817B62" w:rsidRPr="00817B62" w:rsidRDefault="00817B62" w:rsidP="00817B62">
      <w:pPr>
        <w:jc w:val="center"/>
        <w:rPr>
          <w:rFonts w:ascii="Times New Roman" w:hAnsi="Times New Roman" w:cs="Times New Roman"/>
          <w:b/>
          <w:caps/>
          <w:sz w:val="56"/>
          <w:szCs w:val="56"/>
        </w:rPr>
      </w:pPr>
    </w:p>
    <w:p w:rsidR="00817B62" w:rsidRPr="00817B62" w:rsidRDefault="00817B62" w:rsidP="00817B62">
      <w:pPr>
        <w:jc w:val="center"/>
        <w:rPr>
          <w:rFonts w:ascii="Times New Roman" w:hAnsi="Times New Roman" w:cs="Times New Roman"/>
          <w:b/>
          <w:caps/>
          <w:sz w:val="56"/>
          <w:szCs w:val="56"/>
        </w:rPr>
      </w:pPr>
      <w:r w:rsidRPr="00817B62">
        <w:rPr>
          <w:rFonts w:ascii="Times New Roman" w:hAnsi="Times New Roman" w:cs="Times New Roman"/>
          <w:b/>
          <w:caps/>
          <w:sz w:val="56"/>
          <w:szCs w:val="56"/>
        </w:rPr>
        <w:t>РЕФЕРАТ</w:t>
      </w:r>
    </w:p>
    <w:p w:rsidR="00817B62" w:rsidRPr="00817B62" w:rsidRDefault="00817B62" w:rsidP="00817B62">
      <w:pPr>
        <w:jc w:val="center"/>
        <w:rPr>
          <w:rFonts w:ascii="Times New Roman" w:hAnsi="Times New Roman" w:cs="Times New Roman"/>
          <w:b/>
          <w:caps/>
          <w:sz w:val="56"/>
          <w:szCs w:val="56"/>
        </w:rPr>
      </w:pPr>
    </w:p>
    <w:p w:rsidR="00817B62" w:rsidRPr="00817B62" w:rsidRDefault="00817B62" w:rsidP="00817B62">
      <w:pPr>
        <w:jc w:val="center"/>
        <w:rPr>
          <w:rFonts w:ascii="Times New Roman" w:hAnsi="Times New Roman" w:cs="Times New Roman"/>
          <w:b/>
          <w:caps/>
          <w:sz w:val="32"/>
          <w:szCs w:val="20"/>
        </w:rPr>
      </w:pPr>
      <w:r w:rsidRPr="00817B62">
        <w:rPr>
          <w:rFonts w:ascii="Times New Roman" w:hAnsi="Times New Roman" w:cs="Times New Roman"/>
          <w:b/>
          <w:sz w:val="32"/>
          <w:szCs w:val="20"/>
        </w:rPr>
        <w:t>з дисципліни:« Правові питання гірництва»</w:t>
      </w:r>
    </w:p>
    <w:p w:rsidR="00817B62" w:rsidRPr="00817B62" w:rsidRDefault="00817B62" w:rsidP="00817B62">
      <w:pPr>
        <w:jc w:val="center"/>
        <w:rPr>
          <w:rFonts w:ascii="Times New Roman" w:eastAsia="Arial Unicode MS" w:hAnsi="Times New Roman" w:cs="Times New Roman"/>
          <w:b/>
          <w:sz w:val="32"/>
          <w:szCs w:val="20"/>
        </w:rPr>
      </w:pPr>
      <w:r w:rsidRPr="00817B62">
        <w:rPr>
          <w:rFonts w:ascii="Times New Roman" w:eastAsia="Arial Unicode MS" w:hAnsi="Times New Roman" w:cs="Times New Roman"/>
          <w:b/>
          <w:sz w:val="32"/>
          <w:szCs w:val="20"/>
        </w:rPr>
        <w:t>на тему</w:t>
      </w:r>
      <w:r>
        <w:rPr>
          <w:rFonts w:ascii="Times New Roman" w:eastAsia="Arial Unicode MS" w:hAnsi="Times New Roman" w:cs="Times New Roman"/>
          <w:b/>
          <w:sz w:val="32"/>
          <w:szCs w:val="20"/>
        </w:rPr>
        <w:t>:</w:t>
      </w:r>
      <w:r w:rsidRPr="00817B62">
        <w:rPr>
          <w:rFonts w:ascii="Times New Roman" w:eastAsia="Arial Unicode MS" w:hAnsi="Times New Roman" w:cs="Times New Roman"/>
          <w:b/>
          <w:sz w:val="32"/>
          <w:szCs w:val="20"/>
        </w:rPr>
        <w:t xml:space="preserve"> </w:t>
      </w:r>
      <w:r w:rsidRPr="00817B62">
        <w:rPr>
          <w:rFonts w:ascii="Times New Roman" w:hAnsi="Times New Roman" w:cs="Times New Roman"/>
          <w:b/>
          <w:sz w:val="32"/>
          <w:szCs w:val="20"/>
        </w:rPr>
        <w:t xml:space="preserve">« Управління, контроль та нагляд у  сфері </w:t>
      </w:r>
      <w:proofErr w:type="spellStart"/>
      <w:r w:rsidRPr="00817B62">
        <w:rPr>
          <w:rFonts w:ascii="Times New Roman" w:hAnsi="Times New Roman" w:cs="Times New Roman"/>
          <w:b/>
          <w:sz w:val="32"/>
          <w:szCs w:val="20"/>
        </w:rPr>
        <w:t>надрокористування</w:t>
      </w:r>
      <w:proofErr w:type="spellEnd"/>
      <w:r w:rsidRPr="00817B62">
        <w:rPr>
          <w:rFonts w:ascii="Times New Roman" w:hAnsi="Times New Roman" w:cs="Times New Roman"/>
          <w:b/>
          <w:sz w:val="32"/>
          <w:szCs w:val="20"/>
        </w:rPr>
        <w:t xml:space="preserve"> Кабінетом міністрів України»</w:t>
      </w:r>
    </w:p>
    <w:p w:rsidR="00817B62" w:rsidRPr="00817B62" w:rsidRDefault="00817B62" w:rsidP="00817B62">
      <w:pPr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817B62" w:rsidRPr="00817B62" w:rsidRDefault="00817B62" w:rsidP="00817B62">
      <w:pPr>
        <w:rPr>
          <w:rFonts w:ascii="Times New Roman" w:eastAsia="Arial Unicode MS" w:hAnsi="Times New Roman" w:cs="Times New Roman"/>
          <w:b/>
        </w:rPr>
      </w:pPr>
    </w:p>
    <w:tbl>
      <w:tblPr>
        <w:tblW w:w="4747" w:type="pct"/>
        <w:tblInd w:w="468" w:type="dxa"/>
        <w:tblLook w:val="01E0" w:firstRow="1" w:lastRow="1" w:firstColumn="1" w:lastColumn="1" w:noHBand="0" w:noVBand="0"/>
      </w:tblPr>
      <w:tblGrid>
        <w:gridCol w:w="6022"/>
        <w:gridCol w:w="3177"/>
      </w:tblGrid>
      <w:tr w:rsidR="00817B62" w:rsidRPr="00817B62" w:rsidTr="00817B62">
        <w:tc>
          <w:tcPr>
            <w:tcW w:w="3273" w:type="pct"/>
          </w:tcPr>
          <w:p w:rsidR="00817B62" w:rsidRPr="00817B62" w:rsidRDefault="00817B62">
            <w:pPr>
              <w:jc w:val="right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7" w:type="pct"/>
          </w:tcPr>
          <w:p w:rsidR="00817B62" w:rsidRPr="00817B62" w:rsidRDefault="00817B62">
            <w:pPr>
              <w:jc w:val="right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</w:tr>
    </w:tbl>
    <w:p w:rsidR="00817B62" w:rsidRPr="00817B62" w:rsidRDefault="00817B62" w:rsidP="00817B62">
      <w:pPr>
        <w:rPr>
          <w:rFonts w:ascii="Times New Roman" w:eastAsia="Arial Unicode MS" w:hAnsi="Times New Roman" w:cs="Times New Roman"/>
          <w:b/>
          <w:sz w:val="28"/>
          <w:szCs w:val="28"/>
          <w:lang w:eastAsia="ru-RU"/>
        </w:rPr>
      </w:pPr>
    </w:p>
    <w:p w:rsidR="00817B62" w:rsidRPr="00817B62" w:rsidRDefault="00817B62" w:rsidP="00817B62">
      <w:pPr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817B62" w:rsidRPr="00817B62" w:rsidRDefault="00817B62" w:rsidP="00817B62">
      <w:pPr>
        <w:jc w:val="right"/>
        <w:rPr>
          <w:rFonts w:ascii="Times New Roman" w:eastAsia="Arial Unicode MS" w:hAnsi="Times New Roman" w:cs="Times New Roman"/>
          <w:b/>
          <w:sz w:val="26"/>
          <w:szCs w:val="26"/>
          <w:lang w:val="ru-RU"/>
        </w:rPr>
      </w:pPr>
      <w:r w:rsidRPr="00817B62">
        <w:rPr>
          <w:rFonts w:ascii="Times New Roman" w:eastAsia="Arial Unicode MS" w:hAnsi="Times New Roman" w:cs="Times New Roman"/>
          <w:b/>
          <w:sz w:val="26"/>
          <w:szCs w:val="26"/>
        </w:rPr>
        <w:t>Виконав: студент ІЕЕ</w:t>
      </w:r>
    </w:p>
    <w:p w:rsidR="00817B62" w:rsidRPr="00817B62" w:rsidRDefault="00817B62" w:rsidP="00817B62">
      <w:pPr>
        <w:jc w:val="right"/>
        <w:rPr>
          <w:rFonts w:ascii="Times New Roman" w:eastAsia="Arial Unicode MS" w:hAnsi="Times New Roman" w:cs="Times New Roman"/>
          <w:b/>
          <w:sz w:val="26"/>
          <w:szCs w:val="26"/>
        </w:rPr>
      </w:pPr>
      <w:r w:rsidRPr="00817B62">
        <w:rPr>
          <w:rFonts w:ascii="Times New Roman" w:eastAsia="Arial Unicode MS" w:hAnsi="Times New Roman" w:cs="Times New Roman"/>
          <w:b/>
          <w:sz w:val="26"/>
          <w:szCs w:val="26"/>
        </w:rPr>
        <w:t>Групи ОБ-51м</w:t>
      </w:r>
    </w:p>
    <w:p w:rsidR="00817B62" w:rsidRPr="00817B62" w:rsidRDefault="00817B62" w:rsidP="00817B62">
      <w:pPr>
        <w:jc w:val="right"/>
        <w:rPr>
          <w:rFonts w:ascii="Times New Roman" w:eastAsia="Arial Unicode MS" w:hAnsi="Times New Roman" w:cs="Times New Roman"/>
          <w:b/>
          <w:sz w:val="26"/>
          <w:szCs w:val="26"/>
        </w:rPr>
      </w:pPr>
      <w:r w:rsidRPr="00817B62">
        <w:rPr>
          <w:rFonts w:ascii="Times New Roman" w:eastAsia="Arial Unicode MS" w:hAnsi="Times New Roman" w:cs="Times New Roman"/>
          <w:b/>
          <w:sz w:val="26"/>
          <w:szCs w:val="26"/>
        </w:rPr>
        <w:t>Марчук А. Л.</w:t>
      </w:r>
    </w:p>
    <w:p w:rsidR="00817B62" w:rsidRPr="00817B62" w:rsidRDefault="00817B62" w:rsidP="00817B62">
      <w:pPr>
        <w:jc w:val="right"/>
        <w:rPr>
          <w:rFonts w:ascii="Times New Roman" w:eastAsia="Arial Unicode MS" w:hAnsi="Times New Roman" w:cs="Times New Roman"/>
          <w:b/>
          <w:sz w:val="26"/>
          <w:szCs w:val="26"/>
        </w:rPr>
      </w:pPr>
      <w:r w:rsidRPr="00817B62">
        <w:rPr>
          <w:rFonts w:ascii="Times New Roman" w:eastAsia="Arial Unicode MS" w:hAnsi="Times New Roman" w:cs="Times New Roman"/>
          <w:b/>
          <w:sz w:val="26"/>
          <w:szCs w:val="26"/>
        </w:rPr>
        <w:t>Перевірила:</w:t>
      </w:r>
    </w:p>
    <w:p w:rsidR="00817B62" w:rsidRPr="00817B62" w:rsidRDefault="00817B62" w:rsidP="00817B62">
      <w:pPr>
        <w:jc w:val="right"/>
        <w:rPr>
          <w:rFonts w:ascii="Times New Roman" w:eastAsia="Arial Unicode MS" w:hAnsi="Times New Roman" w:cs="Times New Roman"/>
          <w:b/>
          <w:sz w:val="26"/>
          <w:szCs w:val="26"/>
        </w:rPr>
      </w:pPr>
      <w:r w:rsidRPr="00817B62">
        <w:rPr>
          <w:rFonts w:ascii="Times New Roman" w:eastAsia="Arial Unicode MS" w:hAnsi="Times New Roman" w:cs="Times New Roman"/>
          <w:b/>
          <w:sz w:val="26"/>
          <w:szCs w:val="26"/>
        </w:rPr>
        <w:t>Чала О.М.</w:t>
      </w:r>
    </w:p>
    <w:p w:rsidR="00817B62" w:rsidRPr="00817B62" w:rsidRDefault="00817B62" w:rsidP="00817B62">
      <w:pPr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817B62" w:rsidRPr="00817B62" w:rsidRDefault="00817B62" w:rsidP="00817B62">
      <w:pPr>
        <w:rPr>
          <w:rFonts w:ascii="Times New Roman" w:eastAsia="Arial Unicode MS" w:hAnsi="Times New Roman" w:cs="Times New Roman"/>
          <w:b/>
        </w:rPr>
      </w:pPr>
    </w:p>
    <w:p w:rsidR="00817B62" w:rsidRDefault="00817B62" w:rsidP="00817B62">
      <w:pPr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FC7D41" w:rsidRPr="00817B62" w:rsidRDefault="00817B62" w:rsidP="00817B62">
      <w:pPr>
        <w:jc w:val="center"/>
        <w:rPr>
          <w:rFonts w:ascii="Times New Roman" w:eastAsia="Arial Unicode MS" w:hAnsi="Times New Roman" w:cs="Times New Roman"/>
          <w:b/>
          <w:sz w:val="32"/>
          <w:szCs w:val="32"/>
        </w:rPr>
      </w:pPr>
      <w:r>
        <w:rPr>
          <w:rFonts w:ascii="Times New Roman" w:eastAsia="Arial Unicode MS" w:hAnsi="Times New Roman" w:cs="Times New Roman"/>
          <w:b/>
          <w:sz w:val="28"/>
          <w:szCs w:val="28"/>
        </w:rPr>
        <w:t>Київ– 2015</w:t>
      </w:r>
    </w:p>
    <w:sectPr w:rsidR="00FC7D41" w:rsidRPr="00817B62" w:rsidSect="00817B62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A6643"/>
    <w:multiLevelType w:val="multilevel"/>
    <w:tmpl w:val="DEC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30"/>
    <w:rsid w:val="003A2530"/>
    <w:rsid w:val="00817B62"/>
    <w:rsid w:val="00C12284"/>
    <w:rsid w:val="00F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AEAB"/>
  <w15:chartTrackingRefBased/>
  <w15:docId w15:val="{C5A30F1B-03D7-4463-8821-72EC71F2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C1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1428</Words>
  <Characters>8143</Characters>
  <Application>Microsoft Office Word</Application>
  <DocSecurity>0</DocSecurity>
  <Lines>67</Lines>
  <Paragraphs>19</Paragraphs>
  <ScaleCrop>false</ScaleCrop>
  <Company>Maxvell</Company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5</cp:revision>
  <dcterms:created xsi:type="dcterms:W3CDTF">2015-12-25T08:08:00Z</dcterms:created>
  <dcterms:modified xsi:type="dcterms:W3CDTF">2015-12-25T08:22:00Z</dcterms:modified>
</cp:coreProperties>
</file>