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text" w:horzAnchor="page" w:tblpX="1843" w:tblpY="2251"/>
        <w:tblW w:w="0" w:type="auto"/>
        <w:tblLook w:val="04A0" w:firstRow="1" w:lastRow="0" w:firstColumn="1" w:lastColumn="0" w:noHBand="0" w:noVBand="1"/>
      </w:tblPr>
      <w:tblGrid>
        <w:gridCol w:w="2494"/>
        <w:gridCol w:w="1400"/>
      </w:tblGrid>
      <w:tr w:rsidR="007F15F8" w:rsidTr="007F15F8">
        <w:trPr>
          <w:trHeight w:val="292"/>
        </w:trPr>
        <w:tc>
          <w:tcPr>
            <w:tcW w:w="2494" w:type="dxa"/>
          </w:tcPr>
          <w:p w:rsidR="007F15F8" w:rsidRDefault="007F15F8" w:rsidP="007F15F8">
            <w:r>
              <w:t>Параметри</w:t>
            </w:r>
          </w:p>
        </w:tc>
        <w:tc>
          <w:tcPr>
            <w:tcW w:w="1400" w:type="dxa"/>
          </w:tcPr>
          <w:p w:rsidR="007F15F8" w:rsidRDefault="007F15F8" w:rsidP="007F15F8">
            <w:r>
              <w:t>БелАз-7519</w:t>
            </w:r>
          </w:p>
        </w:tc>
      </w:tr>
      <w:tr w:rsidR="007F15F8" w:rsidTr="007F15F8">
        <w:trPr>
          <w:trHeight w:val="328"/>
        </w:trPr>
        <w:tc>
          <w:tcPr>
            <w:tcW w:w="2494" w:type="dxa"/>
          </w:tcPr>
          <w:p w:rsidR="007F15F8" w:rsidRDefault="007F15F8" w:rsidP="007F15F8">
            <w:r>
              <w:t>Маса, т</w:t>
            </w:r>
          </w:p>
        </w:tc>
        <w:tc>
          <w:tcPr>
            <w:tcW w:w="1400" w:type="dxa"/>
          </w:tcPr>
          <w:p w:rsidR="007F15F8" w:rsidRDefault="007F15F8" w:rsidP="007F15F8">
            <w:r>
              <w:t>59</w:t>
            </w:r>
          </w:p>
        </w:tc>
      </w:tr>
      <w:tr w:rsidR="007F15F8" w:rsidTr="007F15F8">
        <w:trPr>
          <w:trHeight w:val="292"/>
        </w:trPr>
        <w:tc>
          <w:tcPr>
            <w:tcW w:w="2494" w:type="dxa"/>
          </w:tcPr>
          <w:p w:rsidR="007F15F8" w:rsidRPr="007F15F8" w:rsidRDefault="007F15F8" w:rsidP="007F15F8">
            <w:r>
              <w:t>Об</w:t>
            </w:r>
            <w:r>
              <w:rPr>
                <w:lang w:val="en-US"/>
              </w:rPr>
              <w:t>’</w:t>
            </w:r>
            <w:proofErr w:type="spellStart"/>
            <w:r>
              <w:t>єм</w:t>
            </w:r>
            <w:proofErr w:type="spellEnd"/>
            <w:r>
              <w:t xml:space="preserve"> кузова,</w:t>
            </w:r>
            <w:r w:rsidRPr="00C26BF8">
              <w:rPr>
                <w:color w:val="252525"/>
                <w:sz w:val="28"/>
                <w:szCs w:val="28"/>
                <w:shd w:val="clear" w:color="auto" w:fill="FFFFFF"/>
              </w:rPr>
              <w:t xml:space="preserve"> м³</w:t>
            </w:r>
          </w:p>
        </w:tc>
        <w:tc>
          <w:tcPr>
            <w:tcW w:w="1400" w:type="dxa"/>
          </w:tcPr>
          <w:p w:rsidR="007F15F8" w:rsidRDefault="007F15F8" w:rsidP="007F15F8">
            <w:r>
              <w:t>38</w:t>
            </w:r>
          </w:p>
        </w:tc>
      </w:tr>
      <w:tr w:rsidR="007F15F8" w:rsidTr="007F15F8">
        <w:trPr>
          <w:trHeight w:val="328"/>
        </w:trPr>
        <w:tc>
          <w:tcPr>
            <w:tcW w:w="2494" w:type="dxa"/>
          </w:tcPr>
          <w:p w:rsidR="007F15F8" w:rsidRDefault="007F15F8" w:rsidP="007F15F8">
            <w:r>
              <w:t>Мін. Радіус повороту,м</w:t>
            </w:r>
          </w:p>
        </w:tc>
        <w:tc>
          <w:tcPr>
            <w:tcW w:w="1400" w:type="dxa"/>
          </w:tcPr>
          <w:p w:rsidR="007F15F8" w:rsidRDefault="007F15F8" w:rsidP="007F15F8">
            <w:r>
              <w:t>11,5</w:t>
            </w:r>
          </w:p>
        </w:tc>
      </w:tr>
    </w:tbl>
    <w:p w:rsidR="007F15F8" w:rsidRDefault="007F15F8" w:rsidP="007F15F8">
      <w:pPr>
        <w:jc w:val="right"/>
      </w:pPr>
      <w:r>
        <w:t xml:space="preserve">     </w:t>
      </w:r>
    </w:p>
    <w:p w:rsidR="007F15F8" w:rsidRDefault="007F15F8"/>
    <w:p w:rsidR="007F15F8" w:rsidRDefault="007F15F8"/>
    <w:p w:rsidR="007F15F8" w:rsidRDefault="007F15F8">
      <w:r>
        <w:t xml:space="preserve"> Параметри БелАза-7519</w:t>
      </w:r>
    </w:p>
    <w:p w:rsidR="007F15F8" w:rsidRDefault="007F15F8"/>
    <w:p w:rsidR="007F15F8" w:rsidRDefault="007F15F8">
      <w:r>
        <w:rPr>
          <w:noProof/>
          <w:lang w:eastAsia="uk-UA"/>
        </w:rPr>
        <w:drawing>
          <wp:inline distT="0" distB="0" distL="0" distR="0" wp14:anchorId="1D4D5DCB" wp14:editId="3C1405F8">
            <wp:extent cx="3391383" cy="1584379"/>
            <wp:effectExtent l="0" t="0" r="0" b="0"/>
            <wp:docPr id="2" name="Рисунок 2" descr="Схема разработки уступов мобильными конвейер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разработки уступов мобильными конвейерам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28" cy="158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F8" w:rsidRDefault="007F15F8"/>
    <w:p w:rsidR="007F15F8" w:rsidRDefault="00BB3002">
      <w:r>
        <w:rPr>
          <w:noProof/>
          <w:lang w:eastAsia="uk-UA"/>
        </w:rPr>
        <w:drawing>
          <wp:inline distT="0" distB="0" distL="0" distR="0">
            <wp:extent cx="3597215" cy="1621155"/>
            <wp:effectExtent l="0" t="0" r="3810" b="0"/>
            <wp:docPr id="5" name="Рисунок 5" descr="http://vseslova.com.ua/images/bse/0007/76618/2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seslova.com.ua/images/bse/0007/76618/2_bi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876" cy="164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F8" w:rsidRPr="007F15F8" w:rsidRDefault="007F15F8" w:rsidP="007F15F8">
      <w:pPr>
        <w:spacing w:line="240" w:lineRule="auto"/>
        <w:rPr>
          <w:b/>
        </w:rPr>
      </w:pPr>
      <w:r w:rsidRPr="007F15F8">
        <w:rPr>
          <w:b/>
          <w:sz w:val="24"/>
          <w:szCs w:val="24"/>
        </w:rPr>
        <w:t>Комбінований автомобільно-конвеєрний транспорт</w:t>
      </w:r>
    </w:p>
    <w:p w:rsidR="007F15F8" w:rsidRPr="007F15F8" w:rsidRDefault="007F15F8" w:rsidP="007F15F8">
      <w:pPr>
        <w:spacing w:line="240" w:lineRule="auto"/>
        <w:jc w:val="both"/>
        <w:rPr>
          <w:sz w:val="24"/>
          <w:szCs w:val="24"/>
        </w:rPr>
      </w:pPr>
      <w:r w:rsidRPr="007F15F8">
        <w:rPr>
          <w:sz w:val="24"/>
          <w:szCs w:val="24"/>
        </w:rPr>
        <w:t>1) приймальний бункер;</w:t>
      </w:r>
    </w:p>
    <w:p w:rsidR="007F15F8" w:rsidRPr="007F15F8" w:rsidRDefault="007F15F8" w:rsidP="007F15F8">
      <w:pPr>
        <w:spacing w:line="240" w:lineRule="auto"/>
        <w:jc w:val="both"/>
        <w:rPr>
          <w:sz w:val="24"/>
          <w:szCs w:val="24"/>
        </w:rPr>
      </w:pPr>
      <w:r w:rsidRPr="007F15F8">
        <w:rPr>
          <w:sz w:val="24"/>
          <w:szCs w:val="24"/>
        </w:rPr>
        <w:t>2) грохот ;</w:t>
      </w:r>
    </w:p>
    <w:p w:rsidR="007F15F8" w:rsidRPr="007F15F8" w:rsidRDefault="007F15F8" w:rsidP="007F15F8">
      <w:pPr>
        <w:spacing w:line="240" w:lineRule="auto"/>
        <w:jc w:val="both"/>
        <w:rPr>
          <w:sz w:val="24"/>
          <w:szCs w:val="24"/>
        </w:rPr>
      </w:pPr>
      <w:r w:rsidRPr="007F15F8">
        <w:rPr>
          <w:sz w:val="24"/>
          <w:szCs w:val="24"/>
        </w:rPr>
        <w:t>3) дробарка;</w:t>
      </w:r>
    </w:p>
    <w:p w:rsidR="007F15F8" w:rsidRPr="007F15F8" w:rsidRDefault="007F15F8" w:rsidP="007F15F8">
      <w:pPr>
        <w:spacing w:line="240" w:lineRule="auto"/>
        <w:jc w:val="both"/>
        <w:rPr>
          <w:sz w:val="24"/>
          <w:szCs w:val="24"/>
        </w:rPr>
      </w:pPr>
      <w:r w:rsidRPr="007F15F8">
        <w:rPr>
          <w:sz w:val="24"/>
          <w:szCs w:val="24"/>
        </w:rPr>
        <w:t>4) конвеєр ;</w:t>
      </w:r>
    </w:p>
    <w:p w:rsidR="007F15F8" w:rsidRPr="007F15F8" w:rsidRDefault="007F15F8" w:rsidP="007F15F8">
      <w:pPr>
        <w:spacing w:line="240" w:lineRule="auto"/>
        <w:jc w:val="both"/>
        <w:rPr>
          <w:sz w:val="24"/>
          <w:szCs w:val="24"/>
        </w:rPr>
      </w:pPr>
      <w:r w:rsidRPr="007F15F8">
        <w:rPr>
          <w:sz w:val="24"/>
          <w:szCs w:val="24"/>
        </w:rPr>
        <w:t>5) живильник.</w:t>
      </w:r>
    </w:p>
    <w:p w:rsidR="007F15F8" w:rsidRDefault="007F15F8"/>
    <w:p w:rsidR="00BB3002" w:rsidRDefault="00BB3002"/>
    <w:bookmarkStart w:id="0" w:name="_GoBack"/>
    <w:p w:rsidR="00BB3002" w:rsidRPr="00C459B5" w:rsidRDefault="00BB3002" w:rsidP="00BB300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BB3002">
        <w:rPr>
          <w:rFonts w:ascii="Times New Roman" w:eastAsia="Times New Roman" w:hAnsi="Times New Roman" w:cs="Times New Roman"/>
          <w:color w:val="666666"/>
          <w:sz w:val="24"/>
          <w:szCs w:val="24"/>
          <w:lang w:eastAsia="uk-UA"/>
        </w:rPr>
        <w:fldChar w:fldCharType="begin"/>
      </w:r>
      <w:r w:rsidRPr="00BB3002">
        <w:rPr>
          <w:rFonts w:ascii="Times New Roman" w:eastAsia="Times New Roman" w:hAnsi="Times New Roman" w:cs="Times New Roman"/>
          <w:color w:val="666666"/>
          <w:sz w:val="24"/>
          <w:szCs w:val="24"/>
          <w:lang w:eastAsia="uk-UA"/>
        </w:rPr>
        <w:instrText xml:space="preserve"> HYPERLINK "http://vseslova.com.ua/images/bse/0007/76618/2_big.jpg" \t "_blank" </w:instrText>
      </w:r>
      <w:r w:rsidRPr="00BB3002">
        <w:rPr>
          <w:rFonts w:ascii="Times New Roman" w:eastAsia="Times New Roman" w:hAnsi="Times New Roman" w:cs="Times New Roman"/>
          <w:color w:val="666666"/>
          <w:sz w:val="24"/>
          <w:szCs w:val="24"/>
          <w:lang w:eastAsia="uk-UA"/>
        </w:rPr>
        <w:fldChar w:fldCharType="separate"/>
      </w:r>
    </w:p>
    <w:p w:rsidR="00BB3002" w:rsidRPr="00BB3002" w:rsidRDefault="00BB3002" w:rsidP="00BB3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B3002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1 — буровий верстат; 2 — екскаватор; 3 — автосамоскид; 4 — бункер; 5 — гуркіт; 6 — дробарка; 7 — стрічковий конвеєр; 8 — перевантажувач.</w:t>
      </w:r>
    </w:p>
    <w:p w:rsidR="00BB3002" w:rsidRDefault="00BB3002" w:rsidP="00BB3002">
      <w:r w:rsidRPr="00BB3002">
        <w:rPr>
          <w:rFonts w:ascii="Times New Roman" w:eastAsia="Times New Roman" w:hAnsi="Times New Roman" w:cs="Times New Roman"/>
          <w:color w:val="666666"/>
          <w:sz w:val="24"/>
          <w:szCs w:val="24"/>
          <w:lang w:eastAsia="uk-UA"/>
        </w:rPr>
        <w:fldChar w:fldCharType="end"/>
      </w:r>
      <w:bookmarkEnd w:id="0"/>
    </w:p>
    <w:p w:rsidR="00BB3002" w:rsidRDefault="00BB3002"/>
    <w:p w:rsidR="00BB3002" w:rsidRDefault="00BB3002"/>
    <w:p w:rsidR="00BB3002" w:rsidRDefault="00BB3002"/>
    <w:p w:rsidR="00BB3002" w:rsidRDefault="00BB3002"/>
    <w:p w:rsidR="00BB3002" w:rsidRDefault="00BB3002">
      <w:r>
        <w:rPr>
          <w:noProof/>
          <w:lang w:eastAsia="uk-UA"/>
        </w:rPr>
        <w:drawing>
          <wp:inline distT="0" distB="0" distL="0" distR="0">
            <wp:extent cx="6120765" cy="4588184"/>
            <wp:effectExtent l="0" t="0" r="0" b="3175"/>
            <wp:docPr id="4" name="Рисунок 4" descr="http://i.wheelsage.org/pictures/belaz/7519/autowp.ru_belaz_751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wheelsage.org/pictures/belaz/7519/autowp.ru_belaz_7519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8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02" w:rsidRPr="00BB3002" w:rsidRDefault="00BB3002" w:rsidP="00BB3002"/>
    <w:p w:rsidR="00BB3002" w:rsidRPr="00BB3002" w:rsidRDefault="00BB3002" w:rsidP="00BB3002"/>
    <w:p w:rsidR="00BB3002" w:rsidRPr="00BB3002" w:rsidRDefault="00BB3002" w:rsidP="00BB3002"/>
    <w:p w:rsidR="00BB3002" w:rsidRPr="00BB3002" w:rsidRDefault="00BB3002" w:rsidP="00BB3002"/>
    <w:p w:rsidR="00BB3002" w:rsidRPr="00BB3002" w:rsidRDefault="007D2356" w:rsidP="00BB3002">
      <w:r w:rsidRPr="007D2356">
        <w:rPr>
          <w:noProof/>
          <w:lang w:eastAsia="uk-UA"/>
        </w:rPr>
        <w:drawing>
          <wp:inline distT="0" distB="0" distL="0" distR="0">
            <wp:extent cx="3623310" cy="1397635"/>
            <wp:effectExtent l="0" t="0" r="0" b="0"/>
            <wp:docPr id="13" name="Рисунок 13" descr="C:\Users\Максим\Desktop\Безымянный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Максим\Desktop\Безымянный1111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02" w:rsidRDefault="00BB3002" w:rsidP="00BB3002"/>
    <w:p w:rsidR="007D2356" w:rsidRDefault="007D2356" w:rsidP="00BB3002"/>
    <w:p w:rsidR="007D2356" w:rsidRDefault="007D2356" w:rsidP="00BB3002"/>
    <w:p w:rsidR="007D2356" w:rsidRPr="00BB3002" w:rsidRDefault="007D2356" w:rsidP="00BB3002"/>
    <w:p w:rsidR="00BB3002" w:rsidRDefault="00BB3002" w:rsidP="00BB3002"/>
    <w:p w:rsidR="00BB3002" w:rsidRPr="00BB3002" w:rsidRDefault="00BB3002" w:rsidP="00BB3002">
      <w:pPr>
        <w:tabs>
          <w:tab w:val="left" w:pos="3614"/>
        </w:tabs>
      </w:pPr>
      <w:r>
        <w:tab/>
      </w:r>
    </w:p>
    <w:tbl>
      <w:tblPr>
        <w:tblW w:w="13800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0"/>
      </w:tblGrid>
      <w:tr w:rsidR="00BB3002" w:rsidRPr="00BB3002" w:rsidTr="00BB300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9390"/>
              <w:gridCol w:w="2160"/>
            </w:tblGrid>
            <w:tr w:rsidR="00BB3002" w:rsidRPr="00BB3002" w:rsidTr="00BB3002">
              <w:trPr>
                <w:tblCellSpacing w:w="0" w:type="dxa"/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BB3002" w:rsidRPr="00BB3002" w:rsidRDefault="00BB3002" w:rsidP="00BB30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tbl>
                  <w:tblPr>
                    <w:tblW w:w="939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38"/>
                    <w:gridCol w:w="1172"/>
                    <w:gridCol w:w="1135"/>
                    <w:gridCol w:w="1174"/>
                    <w:gridCol w:w="1128"/>
                    <w:gridCol w:w="1152"/>
                    <w:gridCol w:w="1166"/>
                    <w:gridCol w:w="1225"/>
                  </w:tblGrid>
                  <w:tr w:rsidR="00BB3002" w:rsidRPr="00BB3002">
                    <w:trPr>
                      <w:trHeight w:val="330"/>
                      <w:tblCellSpacing w:w="0" w:type="dxa"/>
                    </w:trPr>
                    <w:tc>
                      <w:tcPr>
                        <w:tcW w:w="0" w:type="auto"/>
                        <w:noWrap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hyperlink r:id="rId9" w:tooltip="Слова в интервале О-ОБН" w:history="1">
                          <w:r w:rsidRPr="00BB300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aps/>
                              <w:color w:val="666666"/>
                              <w:sz w:val="18"/>
                              <w:szCs w:val="18"/>
                              <w:u w:val="single"/>
                              <w:lang w:eastAsia="uk-UA"/>
                            </w:rPr>
                            <w:t>О-ОБН</w:t>
                          </w:r>
                        </w:hyperlink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hyperlink r:id="rId10" w:tooltip="Слова в интервале ОБО-ОБР" w:history="1">
                          <w:r w:rsidRPr="00BB300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aps/>
                              <w:color w:val="666666"/>
                              <w:sz w:val="18"/>
                              <w:szCs w:val="18"/>
                              <w:u w:val="single"/>
                              <w:lang w:eastAsia="uk-UA"/>
                            </w:rPr>
                            <w:t>ОБО-ОБР</w:t>
                          </w:r>
                        </w:hyperlink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hyperlink r:id="rId11" w:tooltip="Слова в интервале ОБС-ОБЪ" w:history="1">
                          <w:r w:rsidRPr="00BB300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aps/>
                              <w:color w:val="666666"/>
                              <w:sz w:val="18"/>
                              <w:szCs w:val="18"/>
                              <w:u w:val="single"/>
                              <w:lang w:eastAsia="uk-UA"/>
                            </w:rPr>
                            <w:t>ОБС-ОБЪ</w:t>
                          </w:r>
                        </w:hyperlink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hyperlink r:id="rId12" w:tooltip="Слова в интервале ОБЫ-ОГА" w:history="1">
                          <w:r w:rsidRPr="00BB300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aps/>
                              <w:color w:val="666666"/>
                              <w:sz w:val="18"/>
                              <w:szCs w:val="18"/>
                              <w:u w:val="single"/>
                              <w:lang w:eastAsia="uk-UA"/>
                            </w:rPr>
                            <w:t>ОБЫ-ОГА</w:t>
                          </w:r>
                        </w:hyperlink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hyperlink r:id="rId13" w:tooltip="Слова в интервале ОГБ-ОДН" w:history="1">
                          <w:r w:rsidRPr="00BB300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aps/>
                              <w:color w:val="666666"/>
                              <w:sz w:val="18"/>
                              <w:szCs w:val="18"/>
                              <w:u w:val="single"/>
                              <w:lang w:eastAsia="uk-UA"/>
                            </w:rPr>
                            <w:t>ОГБ-ОДН</w:t>
                          </w:r>
                        </w:hyperlink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hyperlink r:id="rId14" w:tooltip="Слова в интервале ОДО-ОКЕ" w:history="1">
                          <w:r w:rsidRPr="00BB300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aps/>
                              <w:color w:val="666666"/>
                              <w:sz w:val="18"/>
                              <w:szCs w:val="18"/>
                              <w:u w:val="single"/>
                              <w:lang w:eastAsia="uk-UA"/>
                            </w:rPr>
                            <w:t>ОДО-ОКЕ</w:t>
                          </w:r>
                        </w:hyperlink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hyperlink r:id="rId15" w:tooltip="Слова в интервале ОКИ-ОКУ" w:history="1">
                          <w:r w:rsidRPr="00BB300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aps/>
                              <w:color w:val="666666"/>
                              <w:sz w:val="18"/>
                              <w:szCs w:val="18"/>
                              <w:u w:val="single"/>
                              <w:lang w:eastAsia="uk-UA"/>
                            </w:rPr>
                            <w:t>ОКИ-ОКУ</w:t>
                          </w:r>
                        </w:hyperlink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hyperlink r:id="rId16" w:tooltip="Слова в интервале ОКЬ-ОЛЬ" w:history="1">
                          <w:r w:rsidRPr="00BB300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aps/>
                              <w:color w:val="666666"/>
                              <w:sz w:val="18"/>
                              <w:szCs w:val="18"/>
                              <w:u w:val="single"/>
                              <w:lang w:eastAsia="uk-UA"/>
                            </w:rPr>
                            <w:t>ОКЬ-ОЛЬ</w:t>
                          </w:r>
                        </w:hyperlink>
                      </w:p>
                    </w:tc>
                  </w:tr>
                  <w:tr w:rsidR="00BB3002" w:rsidRPr="00BB3002">
                    <w:trPr>
                      <w:trHeight w:val="330"/>
                      <w:tblCellSpacing w:w="0" w:type="dxa"/>
                    </w:trPr>
                    <w:tc>
                      <w:tcPr>
                        <w:tcW w:w="0" w:type="auto"/>
                        <w:noWrap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hyperlink r:id="rId17" w:tooltip="Слова в интервале ОЛЮ-ОПЕ" w:history="1">
                          <w:r w:rsidRPr="00BB300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aps/>
                              <w:color w:val="666666"/>
                              <w:sz w:val="18"/>
                              <w:szCs w:val="18"/>
                              <w:u w:val="single"/>
                              <w:lang w:eastAsia="uk-UA"/>
                            </w:rPr>
                            <w:t>ОЛЮ-ОПЕ</w:t>
                          </w:r>
                        </w:hyperlink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hyperlink r:id="rId18" w:tooltip="Слова в интервале ОПИ-ОПЬ" w:history="1">
                          <w:r w:rsidRPr="00BB300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aps/>
                              <w:color w:val="666666"/>
                              <w:sz w:val="18"/>
                              <w:szCs w:val="18"/>
                              <w:u w:val="single"/>
                              <w:lang w:eastAsia="uk-UA"/>
                            </w:rPr>
                            <w:t>ОПИ-ОПЬ</w:t>
                          </w:r>
                        </w:hyperlink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hyperlink r:id="rId19" w:tooltip="Слова в интервале ОРА-ОРЕ" w:history="1">
                          <w:r w:rsidRPr="00BB300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aps/>
                              <w:color w:val="666666"/>
                              <w:sz w:val="18"/>
                              <w:szCs w:val="18"/>
                              <w:u w:val="single"/>
                              <w:lang w:eastAsia="uk-UA"/>
                            </w:rPr>
                            <w:t>ОРА-ОРЕ</w:t>
                          </w:r>
                        </w:hyperlink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hyperlink r:id="rId20" w:tooltip="Слова в интервале ОРЖ-ОРО" w:history="1">
                          <w:r w:rsidRPr="00BB300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aps/>
                              <w:color w:val="666666"/>
                              <w:sz w:val="18"/>
                              <w:szCs w:val="18"/>
                              <w:u w:val="single"/>
                              <w:lang w:eastAsia="uk-UA"/>
                            </w:rPr>
                            <w:t>ОРЖ-ОРО</w:t>
                          </w:r>
                        </w:hyperlink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hyperlink r:id="rId21" w:tooltip="Слова в интервале ОРП-ОСЕ" w:history="1">
                          <w:r w:rsidRPr="00BB300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aps/>
                              <w:color w:val="666666"/>
                              <w:sz w:val="18"/>
                              <w:szCs w:val="18"/>
                              <w:u w:val="single"/>
                              <w:lang w:eastAsia="uk-UA"/>
                            </w:rPr>
                            <w:t>ОРП-ОСЕ</w:t>
                          </w:r>
                        </w:hyperlink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hyperlink r:id="rId22" w:tooltip="Слова в интервале ОСИ-ОСТ" w:history="1">
                          <w:r w:rsidRPr="00BB300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aps/>
                              <w:color w:val="666666"/>
                              <w:sz w:val="18"/>
                              <w:szCs w:val="18"/>
                              <w:u w:val="single"/>
                              <w:lang w:eastAsia="uk-UA"/>
                            </w:rPr>
                            <w:t>ОСИ-ОСТ</w:t>
                          </w:r>
                        </w:hyperlink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hyperlink r:id="rId23" w:tooltip="Слова в интервале ОСУ-ОТЛ" w:history="1">
                          <w:r w:rsidRPr="00BB300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aps/>
                              <w:color w:val="666666"/>
                              <w:sz w:val="18"/>
                              <w:szCs w:val="18"/>
                              <w:u w:val="single"/>
                              <w:lang w:eastAsia="uk-UA"/>
                            </w:rPr>
                            <w:t>ОСУ-ОТЛ</w:t>
                          </w:r>
                        </w:hyperlink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hyperlink r:id="rId24" w:tooltip="Слова в интервале ОТМ-ОФИ" w:history="1">
                          <w:r w:rsidRPr="00BB300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aps/>
                              <w:color w:val="666666"/>
                              <w:sz w:val="18"/>
                              <w:szCs w:val="18"/>
                              <w:u w:val="single"/>
                              <w:lang w:eastAsia="uk-UA"/>
                            </w:rPr>
                            <w:t>ОТМ-ОФИ</w:t>
                          </w:r>
                        </w:hyperlink>
                      </w:p>
                    </w:tc>
                  </w:tr>
                  <w:tr w:rsidR="00BB3002" w:rsidRPr="00BB3002">
                    <w:trPr>
                      <w:trHeight w:val="330"/>
                      <w:tblCellSpacing w:w="0" w:type="dxa"/>
                    </w:trPr>
                    <w:tc>
                      <w:tcPr>
                        <w:tcW w:w="0" w:type="auto"/>
                        <w:noWrap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uk-UA"/>
                          </w:rPr>
                        </w:pPr>
                        <w:hyperlink r:id="rId25" w:tooltip="Слова в интервале ОФЛ-О’Х" w:history="1">
                          <w:r w:rsidRPr="00BB300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aps/>
                              <w:color w:val="666666"/>
                              <w:sz w:val="18"/>
                              <w:szCs w:val="18"/>
                              <w:u w:val="single"/>
                              <w:lang w:eastAsia="uk-UA"/>
                            </w:rPr>
                            <w:t>ОФЛ-О’Х</w:t>
                          </w:r>
                        </w:hyperlink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uk-UA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uk-UA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uk-UA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uk-UA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uk-UA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uk-UA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uk-UA"/>
                          </w:rPr>
                        </w:pPr>
                      </w:p>
                    </w:tc>
                  </w:tr>
                </w:tbl>
                <w:p w:rsidR="00BB3002" w:rsidRPr="00BB3002" w:rsidRDefault="00BB3002" w:rsidP="00BB30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BB3002" w:rsidRPr="00BB3002" w:rsidRDefault="00BB3002" w:rsidP="00BB30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</w:p>
              </w:tc>
            </w:tr>
          </w:tbl>
          <w:p w:rsidR="00BB3002" w:rsidRPr="00BB3002" w:rsidRDefault="00BB3002" w:rsidP="00BB3002">
            <w:pPr>
              <w:spacing w:after="75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  <w:p w:rsidR="00BB3002" w:rsidRPr="00BB3002" w:rsidRDefault="00BB3002" w:rsidP="00BB3002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666666"/>
                <w:sz w:val="18"/>
                <w:szCs w:val="18"/>
                <w:lang w:eastAsia="uk-UA"/>
              </w:rPr>
            </w:pPr>
            <w:hyperlink r:id="rId26" w:tooltip="Открытая разработка месторождений" w:history="1">
              <w:r w:rsidRPr="00BB3002">
                <w:rPr>
                  <w:rFonts w:ascii="Arial" w:eastAsia="Times New Roman" w:hAnsi="Arial" w:cs="Arial"/>
                  <w:color w:val="333333"/>
                  <w:sz w:val="18"/>
                  <w:szCs w:val="18"/>
                  <w:u w:val="single"/>
                  <w:lang w:eastAsia="uk-UA"/>
                </w:rPr>
                <w:t>по-</w:t>
              </w:r>
              <w:proofErr w:type="spellStart"/>
              <w:r w:rsidRPr="00BB3002">
                <w:rPr>
                  <w:rFonts w:ascii="Arial" w:eastAsia="Times New Roman" w:hAnsi="Arial" w:cs="Arial"/>
                  <w:color w:val="333333"/>
                  <w:sz w:val="18"/>
                  <w:szCs w:val="18"/>
                  <w:u w:val="single"/>
                  <w:lang w:eastAsia="uk-UA"/>
                </w:rPr>
                <w:t>русски</w:t>
              </w:r>
              <w:proofErr w:type="spellEnd"/>
              <w:r w:rsidRPr="00BB3002">
                <w:rPr>
                  <w:rFonts w:ascii="Arial" w:eastAsia="Times New Roman" w:hAnsi="Arial" w:cs="Arial"/>
                  <w:color w:val="333333"/>
                  <w:sz w:val="18"/>
                  <w:szCs w:val="18"/>
                  <w:lang w:eastAsia="uk-UA"/>
                </w:rPr>
                <w:t> </w:t>
              </w:r>
              <w:r w:rsidRPr="00BB3002">
                <w:rPr>
                  <w:rFonts w:ascii="Arial" w:eastAsia="Times New Roman" w:hAnsi="Arial" w:cs="Arial"/>
                  <w:noProof/>
                  <w:color w:val="333333"/>
                  <w:sz w:val="18"/>
                  <w:szCs w:val="18"/>
                  <w:lang w:eastAsia="uk-UA"/>
                </w:rPr>
                <w:drawing>
                  <wp:inline distT="0" distB="0" distL="0" distR="0">
                    <wp:extent cx="172720" cy="112395"/>
                    <wp:effectExtent l="0" t="0" r="0" b="1905"/>
                    <wp:docPr id="11" name="Рисунок 11" descr="http://vseslova.com.ua/images/flags/ru.gif">
                      <a:hlinkClick xmlns:a="http://schemas.openxmlformats.org/drawingml/2006/main" r:id="rId26" tooltip="&quot;Открытая разработка месторождений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 descr="http://vseslova.com.ua/images/flags/ru.gif">
                              <a:hlinkClick r:id="rId26" tooltip="&quot;Открытая разработка месторождений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2720" cy="112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:rsidR="00BB3002" w:rsidRPr="00BB3002" w:rsidRDefault="00BB3002" w:rsidP="00BB3002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uk-UA"/>
              </w:rPr>
            </w:pPr>
            <w:r w:rsidRPr="00BB3002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uk-UA"/>
              </w:rPr>
              <w:t>українською </w:t>
            </w:r>
            <w:r w:rsidRPr="00BB3002">
              <w:rPr>
                <w:rFonts w:ascii="Arial" w:eastAsia="Times New Roman" w:hAnsi="Arial" w:cs="Arial"/>
                <w:b/>
                <w:bCs/>
                <w:noProof/>
                <w:color w:val="666666"/>
                <w:sz w:val="18"/>
                <w:szCs w:val="18"/>
                <w:lang w:eastAsia="uk-UA"/>
              </w:rPr>
              <w:drawing>
                <wp:inline distT="0" distB="0" distL="0" distR="0">
                  <wp:extent cx="172720" cy="112395"/>
                  <wp:effectExtent l="0" t="0" r="0" b="1905"/>
                  <wp:docPr id="10" name="Рисунок 10" descr="http://vseslova.com.ua/images/flags/u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vseslova.com.ua/images/flags/u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3002" w:rsidRPr="00BB3002" w:rsidRDefault="00BB3002" w:rsidP="00BB3002">
            <w:pPr>
              <w:spacing w:before="120" w:after="100" w:afterAutospacing="1" w:line="240" w:lineRule="auto"/>
              <w:outlineLvl w:val="0"/>
              <w:rPr>
                <w:rFonts w:ascii="Arial" w:eastAsia="Times New Roman" w:hAnsi="Arial" w:cs="Arial"/>
                <w:b/>
                <w:bCs/>
                <w:color w:val="666666"/>
                <w:kern w:val="36"/>
                <w:sz w:val="48"/>
                <w:szCs w:val="48"/>
                <w:lang w:eastAsia="uk-UA"/>
              </w:rPr>
            </w:pPr>
            <w:r w:rsidRPr="00BB3002">
              <w:rPr>
                <w:rFonts w:ascii="Arial" w:eastAsia="Times New Roman" w:hAnsi="Arial" w:cs="Arial"/>
                <w:b/>
                <w:bCs/>
                <w:color w:val="666666"/>
                <w:kern w:val="36"/>
                <w:sz w:val="48"/>
                <w:szCs w:val="48"/>
                <w:lang w:eastAsia="uk-UA"/>
              </w:rPr>
              <w:t>Відкрита розробка родовищ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10"/>
            </w:tblGrid>
            <w:tr w:rsidR="00BB3002" w:rsidRPr="00BB3002" w:rsidTr="00BB300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B3002" w:rsidRPr="00BB3002" w:rsidRDefault="00BB3002" w:rsidP="00BB300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  <w:lang w:eastAsia="uk-UA"/>
                    </w:rPr>
                    <w:t>Відкрита розробка родовищ 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корисних копалини, відкриті гірські роботи, видобуток корисних копалин із земної поверхні (див. </w:t>
                  </w:r>
                  <w:hyperlink r:id="rId29" w:history="1">
                    <w:r w:rsidRPr="00BB3002">
                      <w:rPr>
                        <w:rFonts w:ascii="Times New Roman" w:eastAsia="Times New Roman" w:hAnsi="Times New Roman" w:cs="Times New Roman"/>
                        <w:i/>
                        <w:iCs/>
                        <w:color w:val="333333"/>
                        <w:sz w:val="24"/>
                        <w:szCs w:val="24"/>
                        <w:u w:val="single"/>
                        <w:lang w:eastAsia="uk-UA"/>
                      </w:rPr>
                      <w:t>Кар'єр</w:t>
                    </w:r>
                  </w:hyperlink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 ).</w:t>
                  </w:r>
                </w:p>
                <w:p w:rsidR="00BB3002" w:rsidRPr="00BB3002" w:rsidRDefault="00BB3002" w:rsidP="00BB300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  Найбільш древні відкриті розробки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каменя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відносяться до 6-го тис. до н.е.(наша ера)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Поліметаллічеськие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руди для виплавки бронзи витягувалися відкритим способом в 4-м-коді тис. до н.е.(наша ера) в Індії, на півострові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Синайськом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у районі Кавказу, в Північній Ефіопії і ін. О. р. м. залізняку відома з 2-го тис. до н.е.(наша ера) на Близькому Сході, в Індії і декілька пізніше в Південній Європі. В середні віки в значних масштабах здійснювалася О. р. м. руд кольорових металів в Іспанії (Ріо-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Тінто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), мармуру в Італії, мідних і желе руд на території Росії (Урал). У 18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ст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в Росії, спочатку на Уралі, а потім в Сибіру, поширилася відкрита розробка розсипних родовищ. На початку 20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ст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в США і Німеччині у зв'язку з розвитком машинної техніки стала бурхливо розвиватися О. р. м. У дореволюційній Росії на Уралі, в Кривому Розі, Сибіру переважали напівмеханізовані відкриті гірські роботи.</w:t>
                  </w:r>
                </w:p>
                <w:p w:rsidR="00BB3002" w:rsidRPr="00BB3002" w:rsidRDefault="00BB3002" w:rsidP="00BB3002">
                  <w:pPr>
                    <w:spacing w:after="75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загрузка...</w:t>
                  </w:r>
                </w:p>
                <w:p w:rsidR="00BB3002" w:rsidRPr="00BB3002" w:rsidRDefault="00BB3002" w:rsidP="00BB300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  В СРСР перші крупні кар'єри по видобутку вугілля, руд чорних і кольорових металів, неметалічних руд були створені в 1928—41. Важливу роль О. р. м. зіграла в роки Великої Вітчизняної війни 1941—45, дозволивши забезпечити швидке введення в експлуатацію підприємств і значне збільшення виробничих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потужностей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. Особливістю післявоєнного періоду є механізація всіх виробничих процесів, перехід на потужніші машини і механізми, уніфікація екскаваторного і транспортного устаткування. О. р. м. забезпечує 60—65% світового вжитку рудної і нерудної сировини і 30—35% твердого палива (1972). Це пояснюється економічною ефективністю відкритої розробки: наприклад, вартість відкритого видобутку вугілля в 2,5—3, а руди в 1,5—2 рази нижче, ніж при підземній розробці родовищ, а продуктивність праці в 2—3 рази вище. При використанні потужного гірського і транспортного устаткування, засобів автоматизації і обчислювальної техніки відкритими роботами освоюються крупні родовища з низьким вмістом металу в руді і тим самим збільшуються запаси дефіцитних сировинних ресурсів. В порівнянні з підземною розробкою втрати корисної копалини знижуються в 4—5 разів. У зв'язку з цим генеральний напрям розвитку гірничодобувній промисловості</w:t>
                  </w:r>
                  <w:bookmarkStart w:id="1" w:name="ole_link1"/>
                  <w:r w:rsidRPr="00BB3002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u w:val="single"/>
                      <w:lang w:eastAsia="uk-UA"/>
                    </w:rPr>
                    <w:t>— </w:t>
                  </w:r>
                  <w:bookmarkEnd w:id="1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зростання видобутку відкритим способом (див. таблиці.).</w:t>
                  </w:r>
                </w:p>
                <w:p w:rsidR="00BB3002" w:rsidRPr="00BB3002" w:rsidRDefault="00BB3002" w:rsidP="00BB300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Питома вага відкритої розробки родовищ корисних копалини в загальному видобутку в СРСР (%)</w:t>
                  </w:r>
                </w:p>
                <w:tbl>
                  <w:tblPr>
                    <w:tblW w:w="0" w:type="auto"/>
                    <w:jc w:val="center"/>
                    <w:tblCellSpacing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55"/>
                    <w:gridCol w:w="990"/>
                    <w:gridCol w:w="990"/>
                    <w:gridCol w:w="990"/>
                  </w:tblGrid>
                  <w:tr w:rsidR="00BB3002" w:rsidRPr="00BB3002">
                    <w:trPr>
                      <w:tblCellSpacing w:w="0" w:type="dxa"/>
                      <w:jc w:val="center"/>
                    </w:trPr>
                    <w:tc>
                      <w:tcPr>
                        <w:tcW w:w="265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Галузь гірської промисловості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1950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1960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1970</w:t>
                        </w:r>
                      </w:p>
                    </w:tc>
                  </w:tr>
                  <w:tr w:rsidR="00BB3002" w:rsidRPr="00BB3002">
                    <w:trPr>
                      <w:tblCellSpacing w:w="0" w:type="dxa"/>
                      <w:jc w:val="center"/>
                    </w:trPr>
                    <w:tc>
                      <w:tcPr>
                        <w:tcW w:w="265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Вугільна.........</w:t>
                        </w:r>
                      </w:p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Залізорудна.......</w:t>
                        </w:r>
                      </w:p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proofErr w:type="spellStart"/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Марганцоворудная</w:t>
                        </w:r>
                        <w:proofErr w:type="spellEnd"/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...</w:t>
                        </w:r>
                      </w:p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Кольорових металів....</w:t>
                        </w:r>
                      </w:p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Гірничо-хімічна....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16,6</w:t>
                        </w:r>
                      </w:p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48,9</w:t>
                        </w:r>
                      </w:p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—</w:t>
                        </w:r>
                      </w:p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50,0</w:t>
                        </w:r>
                      </w:p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—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20,0</w:t>
                        </w:r>
                      </w:p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57,1</w:t>
                        </w:r>
                      </w:p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29,5</w:t>
                        </w:r>
                      </w:p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53,0</w:t>
                        </w:r>
                      </w:p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39,2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28,3</w:t>
                        </w:r>
                      </w:p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79,2</w:t>
                        </w:r>
                      </w:p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61,0</w:t>
                        </w:r>
                      </w:p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67,0</w:t>
                        </w:r>
                      </w:p>
                      <w:p w:rsidR="00BB3002" w:rsidRPr="00BB3002" w:rsidRDefault="00BB3002" w:rsidP="00BB3002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</w:pPr>
                        <w:r w:rsidRPr="00BB3002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uk-UA"/>
                          </w:rPr>
                          <w:t>56,0</w:t>
                        </w:r>
                      </w:p>
                    </w:tc>
                  </w:tr>
                </w:tbl>
                <w:p w:rsidR="00BB3002" w:rsidRPr="00BB3002" w:rsidRDefault="00BB3002" w:rsidP="00BB300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lastRenderedPageBreak/>
                    <w:t xml:space="preserve">  О. р. м. в СРСР дозволяє створювати потужні комплекси по видобутку, переробці і вжитку сировини, що відрізняються високою концентрацією виробництва, розвиненою мережею транспортних комунікацій, мінімальною відстанню перевезень сировини і низькими витратами на виробництво. Так, на базі родовищ басейну Кансько-ачинського і на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Екибастузськом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вугільному родовищі створюються підприємства виробництв. потужністю 45—60 млн. </w:t>
                  </w:r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m 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вугілля в рік, в залізорудній промисловості працюють підприємства з видобутком до 30 млн. </w:t>
                  </w:r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т  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сирої руди в рік, в промисловості будівельних матеріалів працюють підприємства з річним видобутком 30—35 млн. </w:t>
                  </w:r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т 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азбестової руди, будуються (1974) підприємства з річним видобутком 10—12 млн. </w:t>
                  </w:r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т 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граніту для виробництва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щебеня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.</w:t>
                  </w:r>
                </w:p>
                <w:p w:rsidR="00BB3002" w:rsidRPr="00BB3002" w:rsidRDefault="00BB3002" w:rsidP="00BB300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  Об'єм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вськришних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порід, що видаляються у відвал, при О. р. м. зазвичай значно перевищує об'єм корисної копалини, що добувається. Відношення цих об'ємів характеризується коефіцієнтом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вськриши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, який інколи досягає 25, тобто на 1 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т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корисної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копалини доводиться 25 </w:t>
                  </w:r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т 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вськришних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порід. Раціональне планерування гірських робіт по періодах здійснюється по графіках режиму гірських робіт і календарних планах. Від форми і глибини залягання родовища корисних копалини, кількості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вськришних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(порожніх) порід, їх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фізіко-механічніх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властивостей залежать способи розтину (див. </w:t>
                  </w:r>
                  <w:hyperlink r:id="rId30" w:history="1">
                    <w:r w:rsidRPr="00BB3002">
                      <w:rPr>
                        <w:rFonts w:ascii="Times New Roman" w:eastAsia="Times New Roman" w:hAnsi="Times New Roman" w:cs="Times New Roman"/>
                        <w:i/>
                        <w:iCs/>
                        <w:color w:val="333333"/>
                        <w:sz w:val="24"/>
                        <w:szCs w:val="24"/>
                        <w:u w:val="single"/>
                        <w:lang w:eastAsia="uk-UA"/>
                      </w:rPr>
                      <w:t>Розтин родовища</w:t>
                    </w:r>
                  </w:hyperlink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 ) і системи відкритої розробки.</w:t>
                  </w:r>
                </w:p>
                <w:p w:rsidR="00BB3002" w:rsidRPr="00BB3002" w:rsidRDefault="00BB3002" w:rsidP="00BB300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  О. р. м. веде до зміни форм земній поверхні, агротехнічних властивостей землі і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гидрогеологичеських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режимів районів. Залежно від цінності порушеної землі виробляється її повна або часткова рекультивація.</w:t>
                  </w:r>
                </w:p>
                <w:p w:rsidR="00BB3002" w:rsidRPr="00BB3002" w:rsidRDefault="00BB3002" w:rsidP="00BB300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  О. р. м. включає етапи: підготовку поверхні, </w:t>
                  </w:r>
                  <w:hyperlink r:id="rId31" w:history="1">
                    <w:r w:rsidRPr="00BB3002">
                      <w:rPr>
                        <w:rFonts w:ascii="Times New Roman" w:eastAsia="Times New Roman" w:hAnsi="Times New Roman" w:cs="Times New Roman"/>
                        <w:i/>
                        <w:iCs/>
                        <w:color w:val="333333"/>
                        <w:sz w:val="24"/>
                        <w:szCs w:val="24"/>
                        <w:u w:val="single"/>
                        <w:lang w:eastAsia="uk-UA"/>
                      </w:rPr>
                      <w:t>осушення родовищ корисних копалини</w:t>
                    </w:r>
                  </w:hyperlink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, гірничо-капітальні роботи (</w:t>
                  </w:r>
                  <w:r w:rsidRPr="00BB3002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  <w:lang w:eastAsia="uk-UA"/>
                    </w:rPr>
                    <w:t> 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мал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. 1 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),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вськришниє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роботи (видалення порожніх порід, що покривають або вміщають корисну копалину) і роботи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видобутків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.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Вськришниє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і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видобутки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роботи включають процеси відбою, виїмки, транспортування і розвантаження корисної копалини. Ці основні виробництв. процеси об'єднуються в єдину технологію на базі комплексної механізації і автоматизації. До допоміжним процесам при О. р. м. відносяться зачистка уступів, ремонт і будівництво доріг (автомобільних, залізних), водовідлив і ін. Відбій полягає у відділенні гірської маси від масиву з одночасним її дробленням за допомогою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буропідривних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робіт (див. </w:t>
                  </w:r>
                  <w:hyperlink r:id="rId32" w:history="1">
                    <w:r w:rsidRPr="00BB3002">
                      <w:rPr>
                        <w:rFonts w:ascii="Times New Roman" w:eastAsia="Times New Roman" w:hAnsi="Times New Roman" w:cs="Times New Roman"/>
                        <w:i/>
                        <w:iCs/>
                        <w:color w:val="333333"/>
                        <w:sz w:val="24"/>
                        <w:szCs w:val="24"/>
                        <w:u w:val="single"/>
                        <w:lang w:eastAsia="uk-UA"/>
                      </w:rPr>
                      <w:t>Буріння</w:t>
                    </w:r>
                  </w:hyperlink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, </w:t>
                  </w:r>
                  <w:hyperlink r:id="rId33" w:history="1">
                    <w:r w:rsidRPr="00BB3002">
                      <w:rPr>
                        <w:rFonts w:ascii="Times New Roman" w:eastAsia="Times New Roman" w:hAnsi="Times New Roman" w:cs="Times New Roman"/>
                        <w:i/>
                        <w:iCs/>
                        <w:color w:val="333333"/>
                        <w:sz w:val="24"/>
                        <w:szCs w:val="24"/>
                        <w:u w:val="single"/>
                        <w:lang w:eastAsia="uk-UA"/>
                      </w:rPr>
                      <w:t>Вибухові роботи</w:t>
                    </w:r>
                  </w:hyperlink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 ). Виїмка-вантаження виробляється, як правило, </w:t>
                  </w:r>
                  <w:hyperlink r:id="rId34" w:history="1">
                    <w:r w:rsidRPr="00BB3002">
                      <w:rPr>
                        <w:rFonts w:ascii="Times New Roman" w:eastAsia="Times New Roman" w:hAnsi="Times New Roman" w:cs="Times New Roman"/>
                        <w:i/>
                        <w:iCs/>
                        <w:color w:val="333333"/>
                        <w:sz w:val="24"/>
                        <w:szCs w:val="24"/>
                        <w:u w:val="single"/>
                        <w:lang w:eastAsia="uk-UA"/>
                      </w:rPr>
                      <w:t>екскаваторами</w:t>
                    </w:r>
                  </w:hyperlink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 і навантажувачами. Гірську масу переміщають із забою засобами </w:t>
                  </w:r>
                  <w:hyperlink r:id="rId35" w:history="1">
                    <w:r w:rsidRPr="00BB3002">
                      <w:rPr>
                        <w:rFonts w:ascii="Times New Roman" w:eastAsia="Times New Roman" w:hAnsi="Times New Roman" w:cs="Times New Roman"/>
                        <w:i/>
                        <w:iCs/>
                        <w:color w:val="333333"/>
                        <w:sz w:val="24"/>
                        <w:szCs w:val="24"/>
                        <w:u w:val="single"/>
                        <w:lang w:eastAsia="uk-UA"/>
                      </w:rPr>
                      <w:t>кар'єрного транспорту</w:t>
                    </w:r>
                  </w:hyperlink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 . Масив, складений неміцними гірськими породами, не вимагає попереднього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спушення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; в цьому випадку відбій і вантаження складають єдиний процес, здійснюваний екскаваторами, скреперами, навантажувачами, бульдозерами або ін. механічними засобами або за допомогою 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u w:val="single"/>
                      <w:lang w:eastAsia="uk-UA"/>
                    </w:rPr>
                    <w:fldChar w:fldCharType="begin"/>
                  </w:r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u w:val="single"/>
                      <w:lang w:eastAsia="uk-UA"/>
                    </w:rPr>
                    <w:instrText xml:space="preserve"> HYPERLINK "http://vseslova.com.ua/word/%D0%93%D0%B8%D0%B4%D1%80%D0%BE%D0%BC%D0%B5%D1%85%D0%B0%D0%BD%D1%96%D0%B7%D0%B0%D1%86%D0%B8%D1%8F-24543u" </w:instrText>
                  </w:r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u w:val="single"/>
                      <w:lang w:eastAsia="uk-UA"/>
                    </w:rPr>
                    <w:fldChar w:fldCharType="separate"/>
                  </w:r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u w:val="single"/>
                      <w:lang w:eastAsia="uk-UA"/>
                    </w:rPr>
                    <w:t>гидромеханізациі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u w:val="single"/>
                      <w:lang w:eastAsia="uk-UA"/>
                    </w:rPr>
                    <w:fldChar w:fldCharType="end"/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 . При розробці розсипів успішно застосовуються </w:t>
                  </w:r>
                  <w:hyperlink r:id="rId36" w:history="1">
                    <w:r w:rsidRPr="00BB3002">
                      <w:rPr>
                        <w:rFonts w:ascii="Times New Roman" w:eastAsia="Times New Roman" w:hAnsi="Times New Roman" w:cs="Times New Roman"/>
                        <w:i/>
                        <w:iCs/>
                        <w:color w:val="333333"/>
                        <w:sz w:val="24"/>
                        <w:szCs w:val="24"/>
                        <w:u w:val="single"/>
                        <w:lang w:eastAsia="uk-UA"/>
                      </w:rPr>
                      <w:t>драги</w:t>
                    </w:r>
                  </w:hyperlink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 . Корисні копалини транспортуються на склади або місця їх переробки, порожня порода – у відвали.</w:t>
                  </w:r>
                </w:p>
                <w:p w:rsidR="00BB3002" w:rsidRPr="00BB3002" w:rsidRDefault="00BB3002" w:rsidP="00BB300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  Розрізняють циклічну, циклічно-потокову і потокову технологію О. р. м. При циклічній технології процеси виїмки і транспортування уриваються технологічними паузами. При циклічно-потоковій технології (</w:t>
                  </w:r>
                  <w:r w:rsidRPr="00BB3002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  <w:lang w:eastAsia="uk-UA"/>
                    </w:rPr>
                    <w:t> 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мал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. 2 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) виїмка здійснюється машинами циклічної дії (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одноковшовими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екскаваторами або навантажувачами), а переміщення — стрічковими конвеєрами або поєднанням конвеєрного транспорту з автомобільним (інколи із застосуванням самохідних дробильних агрегатів або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напівстаціонарних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і стаціонарних дробильних, дробильно-сортувальних або сортувальних установок) або ж.-д.(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железнодорожний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) транспортом. При потоковій технології процеси відбою, виїмки, транспортування, розвантаження виконуються механізмами безперервної дії (наприклад,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багаточерпаковими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екскаваторами, стрічковими конвеєрами або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гидромеханізацией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). Для циклічної і циклічно-потокової технології розроблені і створені системи автоматизованого управління окремими процесами, інформація про протікання яких обробляється за допомогою засобів обчислювальної техніки. Для потокової технології, і перш за все техніка безперервного дії, існують автоматизовані системи управління виробництвом. Техніка безперервної дії в СРСР створюється на базі комплексів устаткування з роторними екскаваторами і теоретичною продуктивністю 630, 1250, 1500, 2500, 5000, 10000, 12500 </w:t>
                  </w:r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м-код 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vertAlign w:val="superscript"/>
                      <w:lang w:eastAsia="uk-UA"/>
                    </w:rPr>
                    <w:t>3 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/</w:t>
                  </w:r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 ч 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. Найбільш освоєний вигляд техніки безперервної дії — роторні екскаватори з нормальним зусиллям різання. Вдосконалення потокових схем гірських робіт пов'язане з вживанням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напівстаціонарних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і самохідних дробильних і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дробільно-грохотільних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агрегатів продуктивністю до 2000 </w:t>
                  </w:r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т 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/</w:t>
                  </w:r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 ч 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а також надійних конвеєрів із стрічками, здатними переміщати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крупнокусковий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абразивний матеріал.</w:t>
                  </w:r>
                </w:p>
                <w:p w:rsidR="00BB3002" w:rsidRPr="00BB3002" w:rsidRDefault="00BB3002" w:rsidP="00BB300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  Вибір раціональних параметрів О. р. м. і устаткування виробляється з врахуванням кліматичних особливостей, району розробки, властивостей гірських порід, запасів корисної копалини, форми родовища і ін., а також вимог що пред'являються до якості готової продукції.</w:t>
                  </w:r>
                </w:p>
                <w:p w:rsidR="00BB3002" w:rsidRPr="00BB3002" w:rsidRDefault="00BB3002" w:rsidP="00BB300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  Порядок відкритих гірських робіт, що забезпечують економічну і безпечну експлуатацію родовища, називається системою розробки (</w:t>
                  </w:r>
                  <w:r w:rsidRPr="00BB3002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  <w:lang w:eastAsia="uk-UA"/>
                    </w:rPr>
                    <w:t> 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мал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. 3 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). Існує декількох систем О. р. м. Найбільшого поширення в СРСР набула класифікація систем О. р. м. Н. В. Мельникова (1950), яка заснована на способі переміщення порожніх порід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вськриши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у відвали і типові вживаного устаткування і 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lastRenderedPageBreak/>
                    <w:t xml:space="preserve">складається з 5 груп.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Безтранспортні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при яких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вськришниє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породи переміщаються із забою у вироблений простір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вськришним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екскаватором. Транспортно-відвальні, такі, що характеризуються переміщенням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вськришних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порід у відвали транспортно-відвальними мостами або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отвалообразователямі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. Вантаження породи на стрічкові конвеєри транспортно-відвальних мостів і консольних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отвалообразователей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здійснюється зазвичай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багаточерпаковими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а інколи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одноковшовими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екскаваторами. Транспортні системи, при яких переміщення порід у внутрішні (розташовані у виробленому просторі) або зовнішні (розташовані за межами кар'єру) відвали виробляється залізничним, автомобільним, конвеєрним,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ськиповим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і комбінованим транспортом. Спеціальні системи, при яких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вськришниє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породи віддаляються кабельними екскаваторами, бульдозерами, колісними скреперами або засобами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гидромеханізациі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. Комбіновані системи, при яких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вськришниє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породи верхньої зони родовища засобами транспорту вивозяться на зовнішні або внутрішні відвали; породи нижньої зони переміщаються у внутрішні відвали екскаваторами, транспортно-відвальними мостами або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отвалообразователямі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.</w:t>
                  </w:r>
                </w:p>
                <w:p w:rsidR="00BB3002" w:rsidRPr="00BB3002" w:rsidRDefault="00BB3002" w:rsidP="00BB300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  Великі об'єми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вськришних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робіт і складні умови розробки на кар'єрах зумовили переважаюче вживання транспортних систем розробки, які в СРСР займатимуть домінуюче положення на відкритих роботах всіх галузей гірської промисловості. При розробці родовищ пластів вугілля, марганцевих руд і гірничо-хімічної сировини успішно застосовуються високоефективні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безтранспортні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і транспортно-відвальні системи розробки.</w:t>
                  </w:r>
                </w:p>
                <w:p w:rsidR="00BB3002" w:rsidRPr="00BB3002" w:rsidRDefault="00BB3002" w:rsidP="00BB300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  Відомі також класифікації систем О. р. м. Е. Ф.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Шешко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(1950), В. В.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Ржевського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(1963) і ін.</w:t>
                  </w:r>
                </w:p>
                <w:p w:rsidR="00BB3002" w:rsidRPr="00BB3002" w:rsidRDefault="00BB3002" w:rsidP="00BB300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  Вдосконалення О. р. м. здійснюється за допомогою комплексної механізації і оптимізації параметрів гірських робіт і устаткування, розробки і впровадження нових раціональних технологічних схем, переважного використання вибухових речовин простого складу, вживання техніки безперервної дії, збільшення сфери застосування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безтранспортних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систем розробки і циклічно-потокової технології на базі основного кар'єрного і спеціально створюваного устаткування, вживання оптимальних схем комбінованого транспорту.</w:t>
                  </w:r>
                </w:p>
                <w:p w:rsidR="00BB3002" w:rsidRPr="00BB3002" w:rsidRDefault="00BB3002" w:rsidP="00BB300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  Перспективи розробки вугілля відкритим способом до СРСР базуються на родовищах, розташованих в східних районах країни (головним чином Кансько-ачинський, Коваль і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Екибастузський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басейни), де зосереджено близько 98% геологічних запасів вугілля, придатного для відкритої розробки. Видобуток залізняку відкритим способом концентрується на родовищах України (Криворізький басейн), Центру (Курська магнітна аномалія), Казахстану (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Соколовсько-сарбайськоє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Качарськоє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Лісаковськоє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Аятськоє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родовища) і Уралу. Видобуток руд кольорових металів відкритим способом переважно здійснюється в Сибіру і Казахстані.</w:t>
                  </w:r>
                </w:p>
                <w:p w:rsidR="00BB3002" w:rsidRPr="00BB3002" w:rsidRDefault="00BB3002" w:rsidP="00BB300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  За кордоном за допомогою О. р. м. добувається приблизно 30% вугілля, близько 75% залізняку, до 80% руд кольорових металів, понад 90% неметалічних корисних (азбест, графить, каолін, слюда, тальк) копалини, майже 100% нерудних будівельних матеріалів. Найбільша кількість О. р. м. є в США; відкритим способом ведеться видобуток корисних копалин також в Австралії країнах Південної Америки (Бразилія, Венесуела і ін.), Канаді, Китаї, Європі (ГДР, ФРН(Федеральна Республіка Німеччини), ПНР(Польська Народна Республіка), ЧССР(Чехословацька Соціалістична Республіка)).</w:t>
                  </w:r>
                </w:p>
                <w:p w:rsidR="00BB3002" w:rsidRPr="00BB3002" w:rsidRDefault="00BB3002" w:rsidP="00BB300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  При видобутку руд найбільше поширення має транспортна система, що застосовує транспортні засоби великої вантажопідйомності (наприклад, автосамоскиди з ємкістю кузова понад 100 </w:t>
                  </w:r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м-код 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vertAlign w:val="superscript"/>
                      <w:lang w:eastAsia="uk-UA"/>
                    </w:rPr>
                    <w:t>3 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) і екскаватори з великими параметрами (ємкість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ковша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мехлопати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до 20 </w:t>
                  </w:r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м-код 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vertAlign w:val="superscript"/>
                      <w:lang w:eastAsia="uk-UA"/>
                    </w:rPr>
                    <w:t>3 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). При видобутку вугілля в США поширена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безтранспортна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система розробки з екскаваторами великих параметрів (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вськришниє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мехлопати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з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ковшом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ємкістю до 150 </w:t>
                  </w:r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м-код 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vertAlign w:val="superscript"/>
                      <w:lang w:eastAsia="uk-UA"/>
                    </w:rPr>
                    <w:t>3 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і драглайни — до 160 </w:t>
                  </w:r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м-код 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vertAlign w:val="superscript"/>
                      <w:lang w:eastAsia="uk-UA"/>
                    </w:rPr>
                    <w:t>3 </w: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), в ГДР(Німецька Демократична Республіка) і ФРН(Федеральна Республіка Німеччини) — потужні транспортно-відвальні комплекси (див. </w:t>
                  </w:r>
                  <w:hyperlink r:id="rId37" w:history="1">
                    <w:r w:rsidRPr="00BB3002">
                      <w:rPr>
                        <w:rFonts w:ascii="Times New Roman" w:eastAsia="Times New Roman" w:hAnsi="Times New Roman" w:cs="Times New Roman"/>
                        <w:i/>
                        <w:iCs/>
                        <w:color w:val="333333"/>
                        <w:sz w:val="24"/>
                        <w:szCs w:val="24"/>
                        <w:u w:val="single"/>
                        <w:lang w:eastAsia="uk-UA"/>
                      </w:rPr>
                      <w:t>Транспортно-відвальний міст</w:t>
                    </w:r>
                  </w:hyperlink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 ). При видобутку нерудних будівельних матеріалів використовується циклічно-потокова технологія, при якій в кар'єрі розташовуються стаціонарні або самохідні дробильно-сортувальні установки.</w:t>
                  </w:r>
                </w:p>
                <w:p w:rsidR="00BB3002" w:rsidRPr="00BB3002" w:rsidRDefault="00BB3002" w:rsidP="00BB300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  </w:t>
                  </w:r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Літ.: 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Вініцкий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До. Е., Параметри систем відкритої розробки родовищ, М., 1966;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Ржевський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Ст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Ст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Технологія і комплексна механізація відкритих гірських робіт, М., 1968; Мірошників Н.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Ст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Коротке довідник по відкритих гірських роботах, 2 видавництва, М., 1968; Розвиток відкритих гірських робіт в СРСР, під ред. Н.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Ст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Мельникова, М., 1968; Проектування кар'єрів, М., 1969;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Симкин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Би. А., Технологія і процеси відкритих гірських робіт, М., 1970;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Арсентьев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А. І., Визначення продуктивності і кордонів кар'єрів, 2 видавництва, М., 1970;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Юматов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Би. П., Бунін Же.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Ст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Будівництво і реконструкція рудних кар'єрів, М., 1970; Питання вибору виробничої потужності кар'єру, М., 1971; Майбутнє відкритих гірських розробок. [Сб. статей], М., 1972; Теорія і практика відкритих розробок, М., 1974;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Surface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mining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ed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. Е. P.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Pfleider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N. Y., 1968;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Sinclair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Y.,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Quarrying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opencast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and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alluvial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mining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Amst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., 1969;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Opencast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mining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quarrying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and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alluvial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mining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L., 1965;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Samujłł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J. S.,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Roboty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strzelnicze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w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górnictwe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odkrywkowym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Katowice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1968;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Hawrylak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H.,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Sobolski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R. C.,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Maszyny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podstawowe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górnictwa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odkrywkowego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Katowice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1967;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Wiśniewski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S.,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Zasady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projektowania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i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budowy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kopalń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odkrywkowych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Katowice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1971;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Memento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des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mines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et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carrieres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14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ed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., P., 1972;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Poradnik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górnictwa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odkrywkowego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 xml:space="preserve">,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lastRenderedPageBreak/>
                    <w:t>Katowice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t>, 1968.</w:t>
                  </w:r>
                </w:p>
                <w:p w:rsidR="00BB3002" w:rsidRPr="00BB3002" w:rsidRDefault="00BB3002" w:rsidP="00BB300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  Н.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Ст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 Мірошників, Би. А.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Симкин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.</w:t>
                  </w:r>
                </w:p>
                <w:p w:rsidR="00BB3002" w:rsidRPr="00BB3002" w:rsidRDefault="00BB3002" w:rsidP="00BB30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u w:val="single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fldChar w:fldCharType="begin"/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instrText xml:space="preserve"> HYPERLINK "http://vseslova.com.ua/images/bse/0007/76618/1_big.jpg" \t "_blank" </w:instrTex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fldChar w:fldCharType="separate"/>
                  </w:r>
                  <w:r w:rsidRPr="00BB3002">
                    <w:rPr>
                      <w:rFonts w:ascii="Times New Roman" w:eastAsia="Times New Roman" w:hAnsi="Times New Roman" w:cs="Times New Roman"/>
                      <w:noProof/>
                      <w:color w:val="333333"/>
                      <w:sz w:val="24"/>
                      <w:szCs w:val="24"/>
                      <w:lang w:eastAsia="uk-UA"/>
                    </w:rPr>
                    <w:drawing>
                      <wp:inline distT="0" distB="0" distL="0" distR="0">
                        <wp:extent cx="1224915" cy="569595"/>
                        <wp:effectExtent l="0" t="0" r="0" b="1905"/>
                        <wp:docPr id="9" name="Рисунок 9" descr="http://vseslova.com.ua/images/bse/0007/76618/1.jpg">
                          <a:hlinkClick xmlns:a="http://schemas.openxmlformats.org/drawingml/2006/main" r:id="rId3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vseslova.com.ua/images/bse/0007/76618/1.jpg">
                                  <a:hlinkClick r:id="rId3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4915" cy="5695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3002" w:rsidRPr="00BB3002" w:rsidRDefault="00BB3002" w:rsidP="00BB300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u w:val="single"/>
                      <w:lang w:eastAsia="uk-UA"/>
                    </w:rPr>
                    <w:t>Мал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u w:val="single"/>
                      <w:lang w:eastAsia="uk-UA"/>
                    </w:rPr>
                    <w:t xml:space="preserve">. 3. Системи відкритої розробки: а — </w:t>
                  </w: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u w:val="single"/>
                      <w:lang w:eastAsia="uk-UA"/>
                    </w:rPr>
                    <w:t>безтранспортна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u w:val="single"/>
                      <w:lang w:eastAsia="uk-UA"/>
                    </w:rPr>
                    <w:t>; б — транспортно-відвальна; у — транспортна (похилі пласти); г — транспортна (круті пласти). Стрілками показаний напрям розвитку гірських робіт.</w:t>
                  </w:r>
                </w:p>
                <w:p w:rsidR="00BB3002" w:rsidRPr="00BB3002" w:rsidRDefault="00BB3002" w:rsidP="00BB30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fldChar w:fldCharType="end"/>
                  </w:r>
                </w:p>
                <w:p w:rsidR="00BB3002" w:rsidRPr="00BB3002" w:rsidRDefault="00BB3002" w:rsidP="00BB30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u w:val="single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fldChar w:fldCharType="begin"/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instrText xml:space="preserve"> HYPERLINK "http://vseslova.com.ua/images/bse/0007/76618/2_big.jpg" \t "_blank" </w:instrText>
                  </w: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fldChar w:fldCharType="separate"/>
                  </w:r>
                  <w:r w:rsidRPr="00BB3002">
                    <w:rPr>
                      <w:rFonts w:ascii="Times New Roman" w:eastAsia="Times New Roman" w:hAnsi="Times New Roman" w:cs="Times New Roman"/>
                      <w:noProof/>
                      <w:color w:val="333333"/>
                      <w:sz w:val="24"/>
                      <w:szCs w:val="24"/>
                      <w:lang w:eastAsia="uk-UA"/>
                    </w:rPr>
                    <w:drawing>
                      <wp:inline distT="0" distB="0" distL="0" distR="0">
                        <wp:extent cx="1259205" cy="569595"/>
                        <wp:effectExtent l="0" t="0" r="0" b="1905"/>
                        <wp:docPr id="8" name="Рисунок 8" descr="http://vseslova.com.ua/images/bse/0007/76618/2.jpg">
                          <a:hlinkClick xmlns:a="http://schemas.openxmlformats.org/drawingml/2006/main" r:id="rId40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vseslova.com.ua/images/bse/0007/76618/2.jpg">
                                  <a:hlinkClick r:id="rId40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9205" cy="5695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3002" w:rsidRPr="00BB3002" w:rsidRDefault="00BB3002" w:rsidP="00BB300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proofErr w:type="spellStart"/>
                  <w:r w:rsidRPr="00BB3002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u w:val="single"/>
                      <w:lang w:eastAsia="uk-UA"/>
                    </w:rPr>
                    <w:t>Мал</w:t>
                  </w:r>
                  <w:proofErr w:type="spellEnd"/>
                  <w:r w:rsidRPr="00BB3002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u w:val="single"/>
                      <w:lang w:eastAsia="uk-UA"/>
                    </w:rPr>
                    <w:t>. 2. Циклічно-потокова технологія відкритої розробки родовищ: 1 — буровий верстат; 2 — екскаватор; 3 — автосамоскид; 4 — бункер; 5 — гуркіт; 6 — дробарка; 7 — стрічковий конвеєр; 8 — перевантажувач.</w:t>
                  </w:r>
                </w:p>
                <w:p w:rsidR="00BB3002" w:rsidRPr="00BB3002" w:rsidRDefault="00BB3002" w:rsidP="00BB30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</w:pPr>
                  <w:r w:rsidRPr="00BB3002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uk-UA"/>
                    </w:rPr>
                    <w:fldChar w:fldCharType="end"/>
                  </w:r>
                </w:p>
              </w:tc>
            </w:tr>
          </w:tbl>
          <w:p w:rsidR="00BB3002" w:rsidRPr="00BB3002" w:rsidRDefault="00BB3002" w:rsidP="00BB300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uk-UA"/>
              </w:rPr>
            </w:pPr>
          </w:p>
        </w:tc>
      </w:tr>
    </w:tbl>
    <w:p w:rsidR="00BB3002" w:rsidRPr="00BB3002" w:rsidRDefault="00BB3002" w:rsidP="00BB3002">
      <w:pPr>
        <w:tabs>
          <w:tab w:val="left" w:pos="3614"/>
        </w:tabs>
      </w:pPr>
    </w:p>
    <w:sectPr w:rsidR="00BB3002" w:rsidRPr="00BB30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F5241"/>
    <w:multiLevelType w:val="multilevel"/>
    <w:tmpl w:val="A8C0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E00"/>
    <w:rsid w:val="00717E00"/>
    <w:rsid w:val="007D2356"/>
    <w:rsid w:val="007F15F8"/>
    <w:rsid w:val="00BB3002"/>
    <w:rsid w:val="00C459B5"/>
    <w:rsid w:val="00D65700"/>
    <w:rsid w:val="00D72083"/>
    <w:rsid w:val="00D7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E22E39-E8AC-4F12-953F-FC55191D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30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1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15F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F1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B300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6">
    <w:name w:val="Hyperlink"/>
    <w:basedOn w:val="a0"/>
    <w:uiPriority w:val="99"/>
    <w:semiHidden/>
    <w:unhideWhenUsed/>
    <w:rsid w:val="00BB3002"/>
    <w:rPr>
      <w:color w:val="0000FF"/>
      <w:u w:val="single"/>
    </w:rPr>
  </w:style>
  <w:style w:type="character" w:customStyle="1" w:styleId="apple-converted-space">
    <w:name w:val="apple-converted-space"/>
    <w:basedOn w:val="a0"/>
    <w:rsid w:val="00BB3002"/>
  </w:style>
  <w:style w:type="paragraph" w:styleId="a7">
    <w:name w:val="Normal (Web)"/>
    <w:basedOn w:val="a"/>
    <w:uiPriority w:val="99"/>
    <w:semiHidden/>
    <w:unhideWhenUsed/>
    <w:rsid w:val="00BB3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8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64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5336">
              <w:marLeft w:val="15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4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4992">
          <w:marLeft w:val="15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vseslova.com.ua/nse_letter/%D0%BE%D0%B3%D0%B1-%D0%BE%D0%B4%D0%BD/" TargetMode="External"/><Relationship Id="rId18" Type="http://schemas.openxmlformats.org/officeDocument/2006/relationships/hyperlink" Target="http://vseslova.com.ua/nse_letter/%D0%BE%D0%BF%D0%B8-%D0%BE%D0%BF%D1%8C/" TargetMode="External"/><Relationship Id="rId26" Type="http://schemas.openxmlformats.org/officeDocument/2006/relationships/hyperlink" Target="http://vseslova.com.ua/word/%D0%9E%D1%82%D0%BA%D1%80%D1%8B%D1%82%D0%B0%D1%8F_%D1%80%D0%B0%D0%B7%D1%80%D0%B0%D0%B1%D0%BE%D1%82%D0%BA%D0%B0_%D0%BC%D0%B5%D1%81%D1%82%D0%BE%D1%80%D0%BE%D0%B6%D0%B4%D0%B5%D0%BD%D0%B8%D0%B9-76618" TargetMode="External"/><Relationship Id="rId39" Type="http://schemas.openxmlformats.org/officeDocument/2006/relationships/image" Target="media/image7.jpeg"/><Relationship Id="rId21" Type="http://schemas.openxmlformats.org/officeDocument/2006/relationships/hyperlink" Target="http://vseslova.com.ua/nse_letter/%D0%BE%D1%80%D0%BF-%D0%BE%D1%81%D0%B5/" TargetMode="External"/><Relationship Id="rId34" Type="http://schemas.openxmlformats.org/officeDocument/2006/relationships/hyperlink" Target="http://vseslova.com.ua/word/%D0%95%D0%BA%D1%81%D0%BA%D0%B0%D0%B2%D0%B0%D1%82%D0%BE%D1%80-124689u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://vseslova.com.ua/nse_letter/%D0%BE%D0%BA%D1%8C-%D0%BE%D0%BB%D1%8C/" TargetMode="External"/><Relationship Id="rId20" Type="http://schemas.openxmlformats.org/officeDocument/2006/relationships/hyperlink" Target="http://vseslova.com.ua/nse_letter/%D0%BE%D1%80%D0%B6-%D0%BE%D1%80%D0%BE/" TargetMode="External"/><Relationship Id="rId29" Type="http://schemas.openxmlformats.org/officeDocument/2006/relationships/hyperlink" Target="http://vseslova.com.ua/word/%D0%9A%D0%B0%D1%80%27%D1%94%D1%80-45127u" TargetMode="External"/><Relationship Id="rId41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vseslova.com.ua/nse_letter/%D0%BE%D0%B1%D1%81-%D0%BE%D0%B1%D1%8A/" TargetMode="External"/><Relationship Id="rId24" Type="http://schemas.openxmlformats.org/officeDocument/2006/relationships/hyperlink" Target="http://vseslova.com.ua/nse_letter/%D0%BE%D1%82%D0%BC-%D0%BE%D1%84%D0%B8/" TargetMode="External"/><Relationship Id="rId32" Type="http://schemas.openxmlformats.org/officeDocument/2006/relationships/hyperlink" Target="http://vseslova.com.ua/word/%D0%91%D1%83%D1%80%D1%96%D0%BD%D0%BD%D1%8F-14474u" TargetMode="External"/><Relationship Id="rId37" Type="http://schemas.openxmlformats.org/officeDocument/2006/relationships/hyperlink" Target="http://vseslova.com.ua/word/%D1%82%D1%80%D0%B0%D0%BD%D1%81%D0%BF%D0%BE%D1%80%D1%82%D0%BD%D0%BE-%D0%B2%D1%96%D0%B4%D0%B2%D0%B0%D0%BB%D1%8C%D0%BD%D0%B8%D0%B9_%D0%BC%D1%96%D1%81%D1%82-108556u" TargetMode="External"/><Relationship Id="rId40" Type="http://schemas.openxmlformats.org/officeDocument/2006/relationships/hyperlink" Target="http://vseslova.com.ua/images/bse/0007/76618/2_big.jp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vseslova.com.ua/nse_letter/%D0%BE%D0%BA%D0%B8-%D0%BE%D0%BA%D1%83/" TargetMode="External"/><Relationship Id="rId23" Type="http://schemas.openxmlformats.org/officeDocument/2006/relationships/hyperlink" Target="http://vseslova.com.ua/nse_letter/%D0%BE%D1%81%D1%83-%D0%BE%D1%82%D0%BB/" TargetMode="External"/><Relationship Id="rId28" Type="http://schemas.openxmlformats.org/officeDocument/2006/relationships/image" Target="media/image6.gif"/><Relationship Id="rId36" Type="http://schemas.openxmlformats.org/officeDocument/2006/relationships/hyperlink" Target="http://vseslova.com.ua/word/%D0%94%D1%80%D0%B0%D0%B3%D0%B0-33725u" TargetMode="External"/><Relationship Id="rId10" Type="http://schemas.openxmlformats.org/officeDocument/2006/relationships/hyperlink" Target="http://vseslova.com.ua/nse_letter/%D0%BE%D0%B1%D0%BE-%D0%BE%D0%B1%D1%80/" TargetMode="External"/><Relationship Id="rId19" Type="http://schemas.openxmlformats.org/officeDocument/2006/relationships/hyperlink" Target="http://vseslova.com.ua/nse_letter/%D0%BE%D1%80%D0%B0-%D0%BE%D1%80%D0%B5/" TargetMode="External"/><Relationship Id="rId31" Type="http://schemas.openxmlformats.org/officeDocument/2006/relationships/hyperlink" Target="http://vseslova.com.ua/word/%D0%9E%D1%81%D1%83%D1%88%D0%B5%D0%BD%D0%BD%D1%8F_%D1%80%D0%BE%D0%B4%D0%BE%D0%B2%D0%B8%D1%89_%D0%BA%D0%BE%D1%80%D0%B8%D1%81%D0%BD%D0%B8%D1%85_%D0%BA%D0%BE%D0%BF%D0%B0%D0%BB%D0%B8%D0%BD-76437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eslova.com.ua/nse_letter/%D0%BE-%D0%BE%D0%B1%D0%BD/" TargetMode="External"/><Relationship Id="rId14" Type="http://schemas.openxmlformats.org/officeDocument/2006/relationships/hyperlink" Target="http://vseslova.com.ua/nse_letter/%D0%BE%D0%B4%D0%BE-%D0%BE%D0%BA%D0%B5/" TargetMode="External"/><Relationship Id="rId22" Type="http://schemas.openxmlformats.org/officeDocument/2006/relationships/hyperlink" Target="http://vseslova.com.ua/nse_letter/%D0%BE%D1%81%D0%B8-%D0%BE%D1%81%D1%82/" TargetMode="External"/><Relationship Id="rId27" Type="http://schemas.openxmlformats.org/officeDocument/2006/relationships/image" Target="media/image5.gif"/><Relationship Id="rId30" Type="http://schemas.openxmlformats.org/officeDocument/2006/relationships/hyperlink" Target="http://vseslova.com.ua/word/%D0%A0%D0%BE%D0%B7%D1%82%D0%B8%D0%BD_%D1%80%D0%BE%D0%B4%D0%BE%D0%B2%D0%B8%D1%89%D0%B0-20800u" TargetMode="External"/><Relationship Id="rId35" Type="http://schemas.openxmlformats.org/officeDocument/2006/relationships/hyperlink" Target="http://vseslova.com.ua/word/%D0%9A%D0%B0%D1%80%27%D1%94%D1%80%D0%BD%D0%B8%D0%B9_%D1%82%D1%80%D0%B0%D0%BD%D1%81%D0%BF%D0%BE%D1%80%D1%82-45132u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://vseslova.com.ua/nse_letter/%D0%BE%D0%B1%D1%8B-%D0%BE%D0%B3%D0%B0/" TargetMode="External"/><Relationship Id="rId17" Type="http://schemas.openxmlformats.org/officeDocument/2006/relationships/hyperlink" Target="http://vseslova.com.ua/nse_letter/%D0%BE%D0%BB%D1%8E-%D0%BE%D0%BF%D0%B5/" TargetMode="External"/><Relationship Id="rId25" Type="http://schemas.openxmlformats.org/officeDocument/2006/relationships/hyperlink" Target="http://vseslova.com.ua/nse_letter/%D0%BE%D1%84%D0%BB-%D0%BE%E2%80%99%D1%85/" TargetMode="External"/><Relationship Id="rId33" Type="http://schemas.openxmlformats.org/officeDocument/2006/relationships/hyperlink" Target="http://vseslova.com.ua/word/%D0%92%D0%B8%D0%B1%D1%83%D1%85%D0%BE%D0%B2%D1%96_%D1%80%D0%BE%D0%B1%D0%BE%D1%82%D0%B8-17694u" TargetMode="External"/><Relationship Id="rId38" Type="http://schemas.openxmlformats.org/officeDocument/2006/relationships/hyperlink" Target="http://vseslova.com.ua/images/bse/0007/76618/1_big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11605</Words>
  <Characters>6616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Максим Павленко</cp:lastModifiedBy>
  <cp:revision>3</cp:revision>
  <dcterms:created xsi:type="dcterms:W3CDTF">2015-06-20T18:51:00Z</dcterms:created>
  <dcterms:modified xsi:type="dcterms:W3CDTF">2015-06-20T21:32:00Z</dcterms:modified>
</cp:coreProperties>
</file>