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2424"/>
        <w:gridCol w:w="2160"/>
        <w:gridCol w:w="2178"/>
      </w:tblGrid>
      <w:tr w:rsidR="00D7019E" w:rsidRPr="00F34FDD" w:rsidTr="00D7019E">
        <w:trPr>
          <w:trHeight w:val="303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b/>
                <w:lang w:val="uk-UA"/>
              </w:rPr>
            </w:pPr>
            <w:r w:rsidRPr="00824648">
              <w:rPr>
                <w:b/>
                <w:lang w:val="uk-UA"/>
              </w:rPr>
              <w:t>Параметри</w:t>
            </w:r>
          </w:p>
        </w:tc>
        <w:tc>
          <w:tcPr>
            <w:tcW w:w="2424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b/>
                <w:lang w:val="uk-UA"/>
              </w:rPr>
            </w:pPr>
            <w:r w:rsidRPr="00824648">
              <w:rPr>
                <w:b/>
                <w:lang w:val="uk-UA"/>
              </w:rPr>
              <w:t>Автомобільний</w:t>
            </w:r>
          </w:p>
        </w:tc>
        <w:tc>
          <w:tcPr>
            <w:tcW w:w="2160" w:type="dxa"/>
            <w:shd w:val="clear" w:color="auto" w:fill="auto"/>
          </w:tcPr>
          <w:p w:rsidR="00D7019E" w:rsidRPr="00824648" w:rsidRDefault="00D7019E" w:rsidP="006E4DB4">
            <w:pPr>
              <w:tabs>
                <w:tab w:val="left" w:pos="1965"/>
              </w:tabs>
              <w:spacing w:before="240"/>
              <w:rPr>
                <w:b/>
                <w:lang w:val="uk-UA"/>
              </w:rPr>
            </w:pPr>
            <w:r w:rsidRPr="00824648">
              <w:rPr>
                <w:b/>
                <w:lang w:val="uk-UA"/>
              </w:rPr>
              <w:t>Кар</w:t>
            </w:r>
            <w:r w:rsidRPr="00824648">
              <w:rPr>
                <w:b/>
                <w:lang w:val="en-US"/>
              </w:rPr>
              <w:t>’</w:t>
            </w:r>
            <w:proofErr w:type="spellStart"/>
            <w:r w:rsidRPr="00824648">
              <w:rPr>
                <w:b/>
                <w:lang w:val="uk-UA"/>
              </w:rPr>
              <w:t>єрний</w:t>
            </w:r>
            <w:proofErr w:type="spellEnd"/>
            <w:r w:rsidRPr="00824648">
              <w:rPr>
                <w:b/>
                <w:lang w:val="uk-UA"/>
              </w:rPr>
              <w:t xml:space="preserve"> </w:t>
            </w:r>
            <w:r w:rsidRPr="00824648">
              <w:rPr>
                <w:b/>
                <w:lang w:val="uk-UA"/>
              </w:rPr>
              <w:tab/>
            </w:r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tabs>
                <w:tab w:val="left" w:pos="1965"/>
              </w:tabs>
              <w:spacing w:before="240"/>
              <w:rPr>
                <w:b/>
                <w:lang w:val="uk-UA"/>
              </w:rPr>
            </w:pPr>
            <w:r w:rsidRPr="00824648">
              <w:rPr>
                <w:b/>
                <w:lang w:val="uk-UA"/>
              </w:rPr>
              <w:t>Залізничний</w:t>
            </w:r>
          </w:p>
        </w:tc>
      </w:tr>
      <w:tr w:rsidR="00D7019E" w:rsidRPr="00F34FDD" w:rsidTr="00D7019E">
        <w:trPr>
          <w:trHeight w:val="312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>Об</w:t>
            </w:r>
            <w:r w:rsidRPr="00824648">
              <w:rPr>
                <w:lang w:val="en-US"/>
              </w:rPr>
              <w:t>’</w:t>
            </w:r>
            <w:proofErr w:type="spellStart"/>
            <w:r w:rsidRPr="00824648">
              <w:rPr>
                <w:lang w:val="uk-UA"/>
              </w:rPr>
              <w:t>єм</w:t>
            </w:r>
            <w:proofErr w:type="spellEnd"/>
            <w:r w:rsidRPr="00824648">
              <w:rPr>
                <w:lang w:val="uk-UA"/>
              </w:rPr>
              <w:t xml:space="preserve"> перевезень</w:t>
            </w:r>
          </w:p>
        </w:tc>
        <w:tc>
          <w:tcPr>
            <w:tcW w:w="2424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 xml:space="preserve">27-180 </w:t>
            </w:r>
            <w:proofErr w:type="spellStart"/>
            <w:r w:rsidRPr="00824648">
              <w:rPr>
                <w:lang w:val="uk-UA"/>
              </w:rPr>
              <w:t>тис.тон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 xml:space="preserve">40 </w:t>
            </w:r>
            <w:proofErr w:type="spellStart"/>
            <w:r w:rsidRPr="00824648">
              <w:rPr>
                <w:lang w:val="uk-UA"/>
              </w:rPr>
              <w:t>тис.тон</w:t>
            </w:r>
            <w:proofErr w:type="spellEnd"/>
            <w:r w:rsidRPr="00824648">
              <w:rPr>
                <w:lang w:val="en-US"/>
              </w:rPr>
              <w:t>/</w:t>
            </w:r>
            <w:proofErr w:type="spellStart"/>
            <w:r w:rsidRPr="00824648">
              <w:rPr>
                <w:lang w:val="uk-UA"/>
              </w:rPr>
              <w:t>год</w:t>
            </w:r>
            <w:proofErr w:type="spellEnd"/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 xml:space="preserve">150-300 </w:t>
            </w:r>
            <w:proofErr w:type="spellStart"/>
            <w:r w:rsidRPr="00824648">
              <w:rPr>
                <w:lang w:val="uk-UA"/>
              </w:rPr>
              <w:t>тис.тон</w:t>
            </w:r>
            <w:proofErr w:type="spellEnd"/>
            <w:r w:rsidRPr="00824648">
              <w:rPr>
                <w:lang w:val="uk-UA"/>
              </w:rPr>
              <w:t>/</w:t>
            </w:r>
            <w:proofErr w:type="spellStart"/>
            <w:r w:rsidRPr="00824648">
              <w:rPr>
                <w:lang w:val="uk-UA"/>
              </w:rPr>
              <w:t>год</w:t>
            </w:r>
            <w:proofErr w:type="spellEnd"/>
          </w:p>
        </w:tc>
      </w:tr>
      <w:tr w:rsidR="00D7019E" w:rsidRPr="00F34FDD" w:rsidTr="00D7019E">
        <w:trPr>
          <w:trHeight w:val="303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>Довжина транспортування</w:t>
            </w:r>
          </w:p>
        </w:tc>
        <w:tc>
          <w:tcPr>
            <w:tcW w:w="2424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3-4 км</w:t>
            </w:r>
          </w:p>
        </w:tc>
        <w:tc>
          <w:tcPr>
            <w:tcW w:w="2160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3-20 км</w:t>
            </w:r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2-3 км</w:t>
            </w:r>
          </w:p>
        </w:tc>
      </w:tr>
      <w:tr w:rsidR="00D7019E" w:rsidRPr="00F34FDD" w:rsidTr="00D7019E">
        <w:trPr>
          <w:trHeight w:val="312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>Продуктивність</w:t>
            </w:r>
          </w:p>
        </w:tc>
        <w:tc>
          <w:tcPr>
            <w:tcW w:w="2424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 xml:space="preserve">До 25 </w:t>
            </w:r>
            <w:proofErr w:type="spellStart"/>
            <w:r w:rsidRPr="00824648">
              <w:rPr>
                <w:lang w:val="uk-UA"/>
              </w:rPr>
              <w:t>млн</w:t>
            </w:r>
            <w:proofErr w:type="spellEnd"/>
            <w:r w:rsidRPr="00824648">
              <w:rPr>
                <w:lang w:val="uk-UA"/>
              </w:rPr>
              <w:t xml:space="preserve"> т</w:t>
            </w:r>
            <w:r w:rsidRPr="00F34FDD">
              <w:t>/</w:t>
            </w:r>
            <w:proofErr w:type="spellStart"/>
            <w:r w:rsidRPr="00824648">
              <w:rPr>
                <w:lang w:val="uk-UA"/>
              </w:rPr>
              <w:t>год</w:t>
            </w:r>
            <w:proofErr w:type="spellEnd"/>
            <w:r w:rsidRPr="00824648">
              <w:rPr>
                <w:lang w:val="uk-UA"/>
              </w:rPr>
              <w:t xml:space="preserve"> в рік</w:t>
            </w:r>
          </w:p>
        </w:tc>
        <w:tc>
          <w:tcPr>
            <w:tcW w:w="2160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 xml:space="preserve">20 </w:t>
            </w:r>
            <w:proofErr w:type="spellStart"/>
            <w:r w:rsidRPr="00824648">
              <w:rPr>
                <w:lang w:val="uk-UA"/>
              </w:rPr>
              <w:t>млн</w:t>
            </w:r>
            <w:proofErr w:type="spellEnd"/>
            <w:r w:rsidRPr="00824648">
              <w:rPr>
                <w:lang w:val="uk-UA"/>
              </w:rPr>
              <w:t xml:space="preserve"> т</w:t>
            </w:r>
            <w:r w:rsidRPr="00824648">
              <w:rPr>
                <w:lang w:val="en-US"/>
              </w:rPr>
              <w:t>/</w:t>
            </w:r>
            <w:proofErr w:type="spellStart"/>
            <w:r w:rsidRPr="00824648">
              <w:rPr>
                <w:lang w:val="uk-UA"/>
              </w:rPr>
              <w:t>год</w:t>
            </w:r>
            <w:proofErr w:type="spellEnd"/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 xml:space="preserve">25 </w:t>
            </w:r>
            <w:proofErr w:type="spellStart"/>
            <w:r w:rsidRPr="00824648">
              <w:rPr>
                <w:lang w:val="uk-UA"/>
              </w:rPr>
              <w:t>млн</w:t>
            </w:r>
            <w:proofErr w:type="spellEnd"/>
            <w:r w:rsidRPr="00824648">
              <w:rPr>
                <w:lang w:val="uk-UA"/>
              </w:rPr>
              <w:t xml:space="preserve"> т/</w:t>
            </w:r>
            <w:proofErr w:type="spellStart"/>
            <w:r w:rsidRPr="00824648">
              <w:rPr>
                <w:lang w:val="uk-UA"/>
              </w:rPr>
              <w:t>год</w:t>
            </w:r>
            <w:proofErr w:type="spellEnd"/>
            <w:r w:rsidRPr="00824648">
              <w:rPr>
                <w:lang w:val="uk-UA"/>
              </w:rPr>
              <w:t xml:space="preserve"> в рік і більше</w:t>
            </w:r>
          </w:p>
        </w:tc>
      </w:tr>
      <w:tr w:rsidR="00D7019E" w:rsidRPr="00824648" w:rsidTr="00D7019E">
        <w:trPr>
          <w:trHeight w:val="303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>Викиди газів</w:t>
            </w:r>
          </w:p>
        </w:tc>
        <w:tc>
          <w:tcPr>
            <w:tcW w:w="2424" w:type="dxa"/>
            <w:shd w:val="clear" w:color="auto" w:fill="auto"/>
          </w:tcPr>
          <w:p w:rsidR="00D7019E" w:rsidRPr="00824648" w:rsidRDefault="00D7019E" w:rsidP="006E4DB4">
            <w:pPr>
              <w:spacing w:line="360" w:lineRule="auto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Окиси вуглецю,</w:t>
            </w:r>
          </w:p>
          <w:p w:rsidR="00D7019E" w:rsidRPr="00824648" w:rsidRDefault="00D7019E" w:rsidP="006E4DB4">
            <w:pPr>
              <w:spacing w:line="360" w:lineRule="auto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вуглеводнів,</w:t>
            </w:r>
          </w:p>
          <w:p w:rsidR="00D7019E" w:rsidRPr="00824648" w:rsidRDefault="00D7019E" w:rsidP="006E4DB4">
            <w:pPr>
              <w:spacing w:line="360" w:lineRule="auto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Оксидів азоту,</w:t>
            </w:r>
          </w:p>
          <w:p w:rsidR="00D7019E" w:rsidRPr="00824648" w:rsidRDefault="00D7019E" w:rsidP="006E4DB4">
            <w:pPr>
              <w:spacing w:line="360" w:lineRule="auto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оксид сірки,сажа</w:t>
            </w:r>
          </w:p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</w:p>
        </w:tc>
        <w:tc>
          <w:tcPr>
            <w:tcW w:w="2160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Відсутні</w:t>
            </w:r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spacing w:before="240" w:line="360" w:lineRule="auto"/>
              <w:jc w:val="center"/>
              <w:rPr>
                <w:lang w:val="uk-UA"/>
              </w:rPr>
            </w:pPr>
            <w:r w:rsidRPr="00824648">
              <w:rPr>
                <w:color w:val="000000"/>
                <w:lang w:val="uk-UA"/>
              </w:rPr>
              <w:t>окис вуглецю, окис і двоокис азоту, різні вуглеводні, сірчистий ангідрид, сажа</w:t>
            </w:r>
          </w:p>
        </w:tc>
      </w:tr>
      <w:tr w:rsidR="00D7019E" w:rsidRPr="00F34FDD" w:rsidTr="00D7019E">
        <w:trPr>
          <w:trHeight w:val="312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 xml:space="preserve">Глибина кар’єра </w:t>
            </w:r>
          </w:p>
        </w:tc>
        <w:tc>
          <w:tcPr>
            <w:tcW w:w="2424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250-390 м</w:t>
            </w:r>
          </w:p>
        </w:tc>
        <w:tc>
          <w:tcPr>
            <w:tcW w:w="2160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Від 150 м</w:t>
            </w:r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>400-500 м</w:t>
            </w:r>
          </w:p>
        </w:tc>
      </w:tr>
      <w:tr w:rsidR="00D7019E" w:rsidRPr="00F34FDD" w:rsidTr="00D7019E">
        <w:trPr>
          <w:trHeight w:val="312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 xml:space="preserve">Доля транспорту в транспортній роботі </w:t>
            </w:r>
          </w:p>
        </w:tc>
        <w:tc>
          <w:tcPr>
            <w:tcW w:w="2424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en-US"/>
              </w:rPr>
            </w:pPr>
            <w:r w:rsidRPr="00824648">
              <w:rPr>
                <w:lang w:val="uk-UA"/>
              </w:rPr>
              <w:t xml:space="preserve">65,8 </w:t>
            </w:r>
            <w:r w:rsidRPr="00824648">
              <w:rPr>
                <w:lang w:val="en-US"/>
              </w:rPr>
              <w:t>%</w:t>
            </w:r>
          </w:p>
        </w:tc>
        <w:tc>
          <w:tcPr>
            <w:tcW w:w="2160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16,5</w:t>
            </w:r>
            <w:r w:rsidRPr="00824648">
              <w:rPr>
                <w:lang w:val="en-US"/>
              </w:rPr>
              <w:t>%</w:t>
            </w:r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17,7 %</w:t>
            </w:r>
          </w:p>
        </w:tc>
      </w:tr>
      <w:tr w:rsidR="00D7019E" w:rsidRPr="00F34FDD" w:rsidTr="00D7019E">
        <w:trPr>
          <w:trHeight w:val="312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  <w:r w:rsidRPr="00824648">
              <w:rPr>
                <w:lang w:val="uk-UA"/>
              </w:rPr>
              <w:t>Швидкість</w:t>
            </w:r>
          </w:p>
        </w:tc>
        <w:tc>
          <w:tcPr>
            <w:tcW w:w="2424" w:type="dxa"/>
            <w:shd w:val="clear" w:color="auto" w:fill="auto"/>
          </w:tcPr>
          <w:p w:rsidR="00D7019E" w:rsidRPr="00F34FDD" w:rsidRDefault="00D7019E" w:rsidP="006E4DB4">
            <w:pPr>
              <w:spacing w:before="240"/>
              <w:jc w:val="center"/>
            </w:pPr>
            <w:r w:rsidRPr="00824648">
              <w:rPr>
                <w:lang w:val="uk-UA"/>
              </w:rPr>
              <w:t>15-60 м</w:t>
            </w:r>
            <w:r w:rsidRPr="00824648">
              <w:rPr>
                <w:lang w:val="en-US"/>
              </w:rPr>
              <w:t>/</w:t>
            </w:r>
            <w:r w:rsidRPr="00F34FDD">
              <w:t>с</w:t>
            </w:r>
          </w:p>
        </w:tc>
        <w:tc>
          <w:tcPr>
            <w:tcW w:w="2160" w:type="dxa"/>
            <w:shd w:val="clear" w:color="auto" w:fill="auto"/>
          </w:tcPr>
          <w:p w:rsidR="00D7019E" w:rsidRPr="00F34FDD" w:rsidRDefault="00D7019E" w:rsidP="006E4DB4">
            <w:pPr>
              <w:spacing w:before="240"/>
              <w:jc w:val="center"/>
            </w:pPr>
            <w:r w:rsidRPr="00824648">
              <w:rPr>
                <w:lang w:val="uk-UA"/>
              </w:rPr>
              <w:t>6-12</w:t>
            </w:r>
            <w:r w:rsidRPr="00824648">
              <w:rPr>
                <w:lang w:val="en-US"/>
              </w:rPr>
              <w:t xml:space="preserve"> </w:t>
            </w:r>
            <w:r w:rsidRPr="00F34FDD">
              <w:t>м</w:t>
            </w:r>
            <w:r w:rsidRPr="00824648">
              <w:rPr>
                <w:lang w:val="en-US"/>
              </w:rPr>
              <w:t>/</w:t>
            </w:r>
            <w:r w:rsidRPr="00F34FDD">
              <w:t>с</w:t>
            </w:r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  <w:r w:rsidRPr="00824648">
              <w:rPr>
                <w:lang w:val="uk-UA"/>
              </w:rPr>
              <w:t>До 20 м/с</w:t>
            </w:r>
          </w:p>
        </w:tc>
      </w:tr>
      <w:tr w:rsidR="00D7019E" w:rsidRPr="00F34FDD" w:rsidTr="00D7019E">
        <w:trPr>
          <w:trHeight w:val="312"/>
        </w:trPr>
        <w:tc>
          <w:tcPr>
            <w:tcW w:w="1963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rPr>
                <w:lang w:val="uk-UA"/>
              </w:rPr>
            </w:pPr>
          </w:p>
        </w:tc>
        <w:tc>
          <w:tcPr>
            <w:tcW w:w="2424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</w:p>
        </w:tc>
        <w:tc>
          <w:tcPr>
            <w:tcW w:w="2160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</w:p>
        </w:tc>
        <w:tc>
          <w:tcPr>
            <w:tcW w:w="2178" w:type="dxa"/>
            <w:shd w:val="clear" w:color="auto" w:fill="auto"/>
          </w:tcPr>
          <w:p w:rsidR="00D7019E" w:rsidRPr="00824648" w:rsidRDefault="00D7019E" w:rsidP="006E4DB4">
            <w:pPr>
              <w:spacing w:before="240"/>
              <w:jc w:val="center"/>
              <w:rPr>
                <w:lang w:val="uk-UA"/>
              </w:rPr>
            </w:pPr>
          </w:p>
        </w:tc>
      </w:tr>
    </w:tbl>
    <w:p w:rsidR="00B63D52" w:rsidRDefault="00D7019E">
      <w:pPr>
        <w:rPr>
          <w:sz w:val="28"/>
          <w:szCs w:val="28"/>
          <w:lang w:val="uk-UA"/>
        </w:rPr>
      </w:pPr>
      <w:r w:rsidRPr="00AB457B">
        <w:rPr>
          <w:sz w:val="28"/>
          <w:szCs w:val="28"/>
          <w:lang w:val="uk-UA"/>
        </w:rPr>
        <w:t>Порівняння техніко-економічн</w:t>
      </w:r>
      <w:r>
        <w:rPr>
          <w:sz w:val="28"/>
          <w:szCs w:val="28"/>
          <w:lang w:val="uk-UA"/>
        </w:rPr>
        <w:t>их показників автомобільного,</w:t>
      </w:r>
      <w:r w:rsidRPr="00AB457B">
        <w:rPr>
          <w:sz w:val="28"/>
          <w:szCs w:val="28"/>
          <w:lang w:val="uk-UA"/>
        </w:rPr>
        <w:t xml:space="preserve"> конвеєрного </w:t>
      </w:r>
      <w:r>
        <w:rPr>
          <w:sz w:val="28"/>
          <w:szCs w:val="28"/>
          <w:lang w:val="uk-UA"/>
        </w:rPr>
        <w:t xml:space="preserve">та залізничного </w:t>
      </w:r>
      <w:r w:rsidRPr="00AB457B">
        <w:rPr>
          <w:sz w:val="28"/>
          <w:szCs w:val="28"/>
          <w:lang w:val="uk-UA"/>
        </w:rPr>
        <w:t>транспорту</w:t>
      </w:r>
    </w:p>
    <w:p w:rsidR="00D7019E" w:rsidRPr="00D7019E" w:rsidRDefault="00D7019E">
      <w:pPr>
        <w:rPr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474237" cy="1530220"/>
            <wp:effectExtent l="0" t="0" r="0" b="0"/>
            <wp:docPr id="1" name="Рисунок 1" descr="C:\Users\Саша\Desktop\257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Саша\Desktop\2573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45" cy="153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</w:t>
      </w:r>
      <w:r>
        <w:rPr>
          <w:noProof/>
          <w:lang w:val="uk-UA" w:eastAsia="uk-UA"/>
        </w:rPr>
        <w:drawing>
          <wp:inline distT="0" distB="0" distL="0" distR="0">
            <wp:extent cx="1791477" cy="1716574"/>
            <wp:effectExtent l="0" t="0" r="0" b="0"/>
            <wp:docPr id="2" name="Рисунок 2" descr="http://library.stroit.ru/articles/trankar/pic/pi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brary.stroit.ru/articles/trankar/pic/pic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47" cy="17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</w:t>
      </w:r>
      <w:r>
        <w:rPr>
          <w:noProof/>
          <w:lang w:val="uk-UA" w:eastAsia="uk-UA"/>
        </w:rPr>
        <w:drawing>
          <wp:inline distT="0" distB="0" distL="0" distR="0">
            <wp:extent cx="4758690" cy="2183130"/>
            <wp:effectExtent l="0" t="0" r="3810" b="7620"/>
            <wp:docPr id="3" name="Рисунок 3" descr="http://www.mining-media.ru/images/2010/02/07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ining-media.ru/images/2010/02/071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19E" w:rsidRPr="00D701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CA"/>
    <w:rsid w:val="00275DCA"/>
    <w:rsid w:val="00D7019E"/>
    <w:rsid w:val="00D72083"/>
    <w:rsid w:val="00D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1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019E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1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019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2015-06-20T18:45:00Z</dcterms:created>
  <dcterms:modified xsi:type="dcterms:W3CDTF">2015-06-20T18:50:00Z</dcterms:modified>
</cp:coreProperties>
</file>