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2.3</w:t>
      </w:r>
      <w:r>
        <w:rPr>
          <w:rFonts w:ascii="Times New Roman" w:hAnsi="Times New Roman" w:cs="Times New Roman"/>
          <w:b/>
          <w:iCs/>
          <w:sz w:val="28"/>
        </w:rPr>
        <w:tab/>
      </w:r>
      <w:r w:rsidRPr="009D1E27">
        <w:rPr>
          <w:rFonts w:ascii="Times New Roman" w:hAnsi="Times New Roman" w:cs="Times New Roman"/>
          <w:b/>
          <w:iCs/>
          <w:sz w:val="28"/>
        </w:rPr>
        <w:t>ВИЗНАЧЕННЯ ТА КЕРУВАННЯ СЕЙСМОНЕБЕЗПЕЧНИМИ ЗОНАМИ</w:t>
      </w:r>
      <w:r>
        <w:rPr>
          <w:rFonts w:ascii="Times New Roman" w:hAnsi="Times New Roman" w:cs="Times New Roman"/>
          <w:b/>
          <w:iCs/>
          <w:sz w:val="28"/>
        </w:rPr>
        <w:t xml:space="preserve"> В УМОВАХ </w:t>
      </w:r>
      <w:r w:rsidRPr="009D1E27">
        <w:rPr>
          <w:rFonts w:ascii="Times New Roman" w:hAnsi="Times New Roman" w:cs="Times New Roman"/>
          <w:b/>
          <w:iCs/>
          <w:sz w:val="28"/>
        </w:rPr>
        <w:t>«ПАТ КОРОСТЕНСЬКИЙ КАР'ЄР»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9D1E27">
        <w:rPr>
          <w:rFonts w:ascii="Times New Roman" w:hAnsi="Times New Roman" w:cs="Times New Roman"/>
          <w:sz w:val="28"/>
          <w:szCs w:val="28"/>
        </w:rPr>
        <w:t xml:space="preserve">арактер розподілу ізоліній відповідного рівня сейсмічності для всіх класів має еліпсоподібну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сейсмобезпечну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межу. Побудова останньої потребує проведення спеціальних науково-експериментальних досліджень щодо розробки методу аналітичного розрахунку розмірів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зон в конкретних геолого-тектонічних умовах проведення підривних робіт в кар’єрах.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Даний метод побудови еліпсоподібних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меж включає етапи, пов’язані з аналітичними дослідженнями та експериментальними роботами по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сейсмовимірюванню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хвильових коливань від дії вибуху в конкретних місцевостях на території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E27">
        <w:rPr>
          <w:rFonts w:ascii="Times New Roman" w:hAnsi="Times New Roman" w:cs="Times New Roman"/>
          <w:sz w:val="28"/>
          <w:szCs w:val="28"/>
        </w:rPr>
        <w:t>«ПАТ Коростенський кар'єр», в яких розташовані кар’єр і прилегла до нього зона об’єктів, що охороняються.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Враховуючи приведені вище дослідження в анізотропних гірничих масивах, де розташований кар’єр і прилегла до нього охоронна зона, можна стверджувати, що навколо вибуху утворюються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ізосейсми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еліпсоподібної форми, а рівняння еліпса має наступний канонічний вигляд: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8"/>
        <w:gridCol w:w="4811"/>
      </w:tblGrid>
      <w:tr w:rsidR="001F23AC" w:rsidRPr="009D1E27" w:rsidTr="009E6833">
        <w:trPr>
          <w:trHeight w:val="331"/>
        </w:trPr>
        <w:tc>
          <w:tcPr>
            <w:tcW w:w="4889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5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16.5pt" o:ole="" fillcolor="window">
                  <v:imagedata r:id="rId4" o:title=""/>
                </v:shape>
                <o:OLEObject Type="Embed" ProgID="Equation.3" ShapeID="_x0000_i1025" DrawAspect="Content" ObjectID="_1554806554" r:id="rId5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890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де   </w:t>
      </w:r>
      <w:r w:rsidRPr="009D1E27">
        <w:rPr>
          <w:rFonts w:ascii="Times New Roman" w:hAnsi="Times New Roman" w:cs="Times New Roman"/>
          <w:i/>
          <w:sz w:val="28"/>
          <w:szCs w:val="28"/>
        </w:rPr>
        <w:t>а, b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велика і мала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вісі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еліпса відповідно.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У полярних координатах: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3"/>
        <w:gridCol w:w="4816"/>
      </w:tblGrid>
      <w:tr w:rsidR="001F23AC" w:rsidRPr="009D1E27" w:rsidTr="009E6833">
        <w:trPr>
          <w:trHeight w:val="320"/>
        </w:trPr>
        <w:tc>
          <w:tcPr>
            <w:tcW w:w="4898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80" w:dyaOrig="340">
                <v:shape id="_x0000_i1026" type="#_x0000_t75" style="width:9.75pt;height:16.5pt" o:ole="" fillcolor="window">
                  <v:imagedata r:id="rId6" o:title=""/>
                </v:shape>
                <o:OLEObject Type="Embed" ProgID="Equation.3" ShapeID="_x0000_i1026" DrawAspect="Content" ObjectID="_1554806555" r:id="rId7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940" w:dyaOrig="240">
                <v:shape id="_x0000_i1027" type="#_x0000_t75" style="width:46.5pt;height:12pt" o:ole="" fillcolor="window">
                  <v:imagedata r:id="rId8" o:title=""/>
                </v:shape>
                <o:OLEObject Type="Embed" ProgID="Equation.3" ShapeID="_x0000_i1027" DrawAspect="Content" ObjectID="_1554806556" r:id="rId9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920" w:dyaOrig="300">
                <v:shape id="_x0000_i1028" type="#_x0000_t75" style="width:45.75pt;height:15.75pt" o:ole="" fillcolor="window">
                  <v:imagedata r:id="rId10" o:title=""/>
                </v:shape>
                <o:OLEObject Type="Embed" ProgID="Equation.3" ShapeID="_x0000_i1028" DrawAspect="Content" ObjectID="_1554806557" r:id="rId11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(2.4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де  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72"/>
      </w:r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9D1E27">
        <w:rPr>
          <w:rFonts w:ascii="Times New Roman" w:hAnsi="Times New Roman" w:cs="Times New Roman"/>
          <w:sz w:val="28"/>
          <w:szCs w:val="28"/>
        </w:rPr>
        <w:t xml:space="preserve"> – відповідно полярні радіус і кут.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Підставляючи  (2.2) в (2.3</w:t>
      </w:r>
      <w:r w:rsidRPr="009D1E27">
        <w:rPr>
          <w:rFonts w:ascii="Times New Roman" w:hAnsi="Times New Roman" w:cs="Times New Roman"/>
          <w:sz w:val="28"/>
          <w:szCs w:val="28"/>
        </w:rPr>
        <w:t xml:space="preserve">) та враховуючи, що </w:t>
      </w:r>
      <w:r w:rsidRPr="009D1E27">
        <w:rPr>
          <w:rFonts w:ascii="Times New Roman" w:hAnsi="Times New Roman" w:cs="Times New Roman"/>
          <w:sz w:val="28"/>
          <w:szCs w:val="28"/>
        </w:rPr>
        <w:object w:dxaOrig="1480" w:dyaOrig="340">
          <v:shape id="_x0000_i1029" type="#_x0000_t75" style="width:74.25pt;height:16.5pt" o:ole="" fillcolor="window">
            <v:imagedata r:id="rId12" o:title=""/>
          </v:shape>
          <o:OLEObject Type="Embed" ProgID="Equation.3" ShapeID="_x0000_i1029" DrawAspect="Content" ObjectID="_1554806558" r:id="rId13"/>
        </w:object>
      </w:r>
      <w:r w:rsidRPr="009D1E27">
        <w:rPr>
          <w:rFonts w:ascii="Times New Roman" w:hAnsi="Times New Roman" w:cs="Times New Roman"/>
          <w:sz w:val="28"/>
          <w:szCs w:val="28"/>
        </w:rPr>
        <w:t>, отримаємо формулу для визначення полярного радіуса: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2"/>
        <w:gridCol w:w="4797"/>
      </w:tblGrid>
      <w:tr w:rsidR="001F23AC" w:rsidRPr="009D1E27" w:rsidTr="009E6833">
        <w:trPr>
          <w:trHeight w:val="20"/>
        </w:trPr>
        <w:tc>
          <w:tcPr>
            <w:tcW w:w="4914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140" w:dyaOrig="660">
                <v:shape id="_x0000_i1030" type="#_x0000_t75" style="width:106.5pt;height:33.75pt" o:ole="" fillcolor="window">
                  <v:imagedata r:id="rId14" o:title=""/>
                </v:shape>
                <o:OLEObject Type="Embed" ProgID="Equation.3" ShapeID="_x0000_i1030" DrawAspect="Content" ObjectID="_1554806559" r:id="rId15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15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Ураховуючи</w:t>
      </w:r>
      <w:r w:rsidRPr="009D1E27">
        <w:rPr>
          <w:rFonts w:ascii="Times New Roman" w:hAnsi="Times New Roman" w:cs="Times New Roman"/>
          <w:sz w:val="28"/>
          <w:szCs w:val="28"/>
        </w:rPr>
        <w:t xml:space="preserve">, що зона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завжди розташована в масиві порід так, що велика її вісь співпадає з напрямком розкритих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>, а мала – перпенди</w:t>
      </w:r>
      <w:r>
        <w:rPr>
          <w:rFonts w:ascii="Times New Roman" w:hAnsi="Times New Roman" w:cs="Times New Roman"/>
          <w:sz w:val="28"/>
          <w:szCs w:val="28"/>
        </w:rPr>
        <w:t>кулярна їм, можна вважати з (2.3</w:t>
      </w:r>
      <w:r w:rsidRPr="009D1E27">
        <w:rPr>
          <w:rFonts w:ascii="Times New Roman" w:hAnsi="Times New Roman" w:cs="Times New Roman"/>
          <w:sz w:val="28"/>
          <w:szCs w:val="28"/>
        </w:rPr>
        <w:t xml:space="preserve">), що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9D1E27">
        <w:rPr>
          <w:rFonts w:ascii="Times New Roman" w:hAnsi="Times New Roman" w:cs="Times New Roman"/>
          <w:i/>
          <w:sz w:val="28"/>
          <w:szCs w:val="28"/>
        </w:rPr>
        <w:t>= а</w:t>
      </w:r>
      <w:r w:rsidRPr="009D1E27">
        <w:rPr>
          <w:rFonts w:ascii="Times New Roman" w:hAnsi="Times New Roman" w:cs="Times New Roman"/>
          <w:sz w:val="28"/>
          <w:szCs w:val="28"/>
        </w:rPr>
        <w:t xml:space="preserve">;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9D1E27">
        <w:rPr>
          <w:rFonts w:ascii="Times New Roman" w:hAnsi="Times New Roman" w:cs="Times New Roman"/>
          <w:i/>
          <w:sz w:val="28"/>
          <w:szCs w:val="28"/>
        </w:rPr>
        <w:t xml:space="preserve">= b;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72"/>
      </w:r>
      <w:r w:rsidRPr="009D1E27">
        <w:rPr>
          <w:rFonts w:ascii="Times New Roman" w:hAnsi="Times New Roman" w:cs="Times New Roman"/>
          <w:i/>
          <w:sz w:val="28"/>
          <w:szCs w:val="28"/>
        </w:rPr>
        <w:t> = R.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Радіуси великої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 xml:space="preserve"> та малої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осей зони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сейсмобезпеки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розраховуються за формулами: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28"/>
        <w:gridCol w:w="4711"/>
      </w:tblGrid>
      <w:tr w:rsidR="001F23AC" w:rsidRPr="009D1E27" w:rsidTr="009E6833">
        <w:trPr>
          <w:trHeight w:val="20"/>
        </w:trPr>
        <w:tc>
          <w:tcPr>
            <w:tcW w:w="4928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939" w:dyaOrig="380">
                <v:shape id="_x0000_i1031" type="#_x0000_t75" style="width:97.5pt;height:19.5pt" o:ole="" fillcolor="window">
                  <v:imagedata r:id="rId16" o:title=""/>
                </v:shape>
                <o:OLEObject Type="Embed" ProgID="Equation.3" ShapeID="_x0000_i1031" DrawAspect="Content" ObjectID="_1554806560" r:id="rId17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;   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020" w:dyaOrig="380">
                <v:shape id="_x0000_i1032" type="#_x0000_t75" style="width:100.5pt;height:19.5pt" o:ole="" fillcolor="window">
                  <v:imagedata r:id="rId18" o:title=""/>
                </v:shape>
                <o:OLEObject Type="Embed" ProgID="Equation.3" ShapeID="_x0000_i1032" DrawAspect="Content" ObjectID="_1554806561" r:id="rId19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де  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K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– коефіцієнт, який враховує умови вибуху; </w:t>
      </w:r>
    </w:p>
    <w:p w:rsidR="001F23AC" w:rsidRPr="009D1E27" w:rsidRDefault="001F23AC" w:rsidP="001F23AC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lastRenderedPageBreak/>
        <w:t>K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>,</w:t>
      </w:r>
      <w:r w:rsidRPr="009D1E27">
        <w:rPr>
          <w:rFonts w:ascii="Times New Roman" w:hAnsi="Times New Roman" w:cs="Times New Roman"/>
          <w:i/>
          <w:sz w:val="28"/>
          <w:szCs w:val="28"/>
        </w:rPr>
        <w:t xml:space="preserve"> K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коефіцієнти пропорційності відповідно паралельному та перпендикулярному простяганню розкритих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F23AC" w:rsidRPr="009D1E27" w:rsidRDefault="001F23AC" w:rsidP="001F23AC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[V]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швидкість допустимого рівня коливань, см/с; </w:t>
      </w:r>
    </w:p>
    <w:p w:rsidR="001F23AC" w:rsidRPr="009D1E27" w:rsidRDefault="001F23AC" w:rsidP="001F23AC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>;</w:t>
      </w:r>
      <w:r w:rsidRPr="009D1E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показники ступенів загасання відповідно паралельному та перпендикулярному простяганню розкритих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F23AC" w:rsidRPr="009D1E27" w:rsidRDefault="001F23AC" w:rsidP="001F23AC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Q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маса вибухової речовини на одне сповільнення, кг (4.1).</w:t>
      </w:r>
    </w:p>
    <w:p w:rsidR="001F23AC" w:rsidRPr="009D1E27" w:rsidRDefault="001F23AC" w:rsidP="001F23AC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Підставивши (2.6) в (2.5</w:t>
      </w:r>
      <w:r w:rsidRPr="009D1E27">
        <w:rPr>
          <w:rFonts w:ascii="Times New Roman" w:hAnsi="Times New Roman" w:cs="Times New Roman"/>
          <w:sz w:val="28"/>
          <w:szCs w:val="28"/>
        </w:rPr>
        <w:t xml:space="preserve">) одержимо залежність для визначення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сейсмобезпечної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відстані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</w:rPr>
        <w:t>, (м)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</w:t>
      </w:r>
      <w:r w:rsidRPr="001C1C2C">
        <w:rPr>
          <w:rFonts w:ascii="Times New Roman" w:hAnsi="Times New Roman" w:cs="Times New Roman"/>
          <w:sz w:val="28"/>
          <w:szCs w:val="28"/>
        </w:rPr>
        <w:t>«ПАТ</w:t>
      </w:r>
      <w:proofErr w:type="spellEnd"/>
      <w:r w:rsidRPr="001C1C2C">
        <w:rPr>
          <w:rFonts w:ascii="Times New Roman" w:hAnsi="Times New Roman" w:cs="Times New Roman"/>
          <w:sz w:val="28"/>
          <w:szCs w:val="28"/>
        </w:rPr>
        <w:t xml:space="preserve"> Коростенський кар'єр»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E27">
        <w:rPr>
          <w:rFonts w:ascii="Times New Roman" w:hAnsi="Times New Roman" w:cs="Times New Roman"/>
          <w:sz w:val="28"/>
          <w:szCs w:val="28"/>
        </w:rPr>
        <w:t xml:space="preserve"> в тріщинуватому масиві в різних напрямках від епіцентру вибуху: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5211"/>
        <w:gridCol w:w="4428"/>
      </w:tblGrid>
      <w:tr w:rsidR="001F23AC" w:rsidRPr="009D1E27" w:rsidTr="009E6833">
        <w:tc>
          <w:tcPr>
            <w:tcW w:w="5211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4220" w:dyaOrig="740">
                <v:shape id="_x0000_i1033" type="#_x0000_t75" style="width:224.25pt;height:37.5pt" o:ole="" fillcolor="window">
                  <v:imagedata r:id="rId20" o:title=""/>
                </v:shape>
                <o:OLEObject Type="Embed" ProgID="Equation.3" ShapeID="_x0000_i1033" DrawAspect="Content" ObjectID="_1554806562" r:id="rId21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де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9D1E27">
        <w:rPr>
          <w:rFonts w:ascii="Times New Roman" w:hAnsi="Times New Roman" w:cs="Times New Roman"/>
          <w:sz w:val="28"/>
          <w:szCs w:val="28"/>
        </w:rPr>
        <w:t xml:space="preserve"> – в</w:t>
      </w:r>
      <w:r>
        <w:rPr>
          <w:rFonts w:ascii="Times New Roman" w:hAnsi="Times New Roman" w:cs="Times New Roman"/>
          <w:sz w:val="28"/>
          <w:szCs w:val="28"/>
        </w:rPr>
        <w:t>ідповідний полярному куту з (2.2</w:t>
      </w:r>
      <w:r w:rsidRPr="009D1E27">
        <w:rPr>
          <w:rFonts w:ascii="Times New Roman" w:hAnsi="Times New Roman" w:cs="Times New Roman"/>
          <w:sz w:val="28"/>
          <w:szCs w:val="28"/>
        </w:rPr>
        <w:t xml:space="preserve">) кут (град.) між радіусом зони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і профілем II–II (</w:t>
      </w:r>
      <w:r>
        <w:rPr>
          <w:rFonts w:ascii="Times New Roman" w:hAnsi="Times New Roman" w:cs="Times New Roman"/>
          <w:i/>
          <w:sz w:val="28"/>
          <w:szCs w:val="28"/>
        </w:rPr>
        <w:t>рис. 2.7</w:t>
      </w:r>
      <w:r w:rsidRPr="009D1E27">
        <w:rPr>
          <w:rFonts w:ascii="Times New Roman" w:hAnsi="Times New Roman" w:cs="Times New Roman"/>
          <w:sz w:val="28"/>
          <w:szCs w:val="28"/>
        </w:rPr>
        <w:t>).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Для обчислення емпіри</w:t>
      </w:r>
      <w:r>
        <w:rPr>
          <w:rFonts w:ascii="Times New Roman" w:hAnsi="Times New Roman" w:cs="Times New Roman"/>
          <w:sz w:val="28"/>
          <w:szCs w:val="28"/>
        </w:rPr>
        <w:t>чних коефіцієнтів з формули (2.5</w:t>
      </w:r>
      <w:r w:rsidRPr="009D1E27">
        <w:rPr>
          <w:rFonts w:ascii="Times New Roman" w:hAnsi="Times New Roman" w:cs="Times New Roman"/>
          <w:sz w:val="28"/>
          <w:szCs w:val="28"/>
        </w:rPr>
        <w:t>) необхідно отримати дані про реальні тріщинуваті масиви порід у такій послідовності.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Спочатку визначимо азимут розкритої системи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у районі, підготовленому до висадження блоку "2" (</w:t>
      </w:r>
      <w:r>
        <w:rPr>
          <w:rFonts w:ascii="Times New Roman" w:hAnsi="Times New Roman" w:cs="Times New Roman"/>
          <w:i/>
          <w:sz w:val="28"/>
          <w:szCs w:val="28"/>
        </w:rPr>
        <w:t>рис. 2.7</w:t>
      </w:r>
      <w:r w:rsidRPr="009D1E27">
        <w:rPr>
          <w:rFonts w:ascii="Times New Roman" w:hAnsi="Times New Roman" w:cs="Times New Roman"/>
          <w:sz w:val="28"/>
          <w:szCs w:val="28"/>
        </w:rPr>
        <w:t xml:space="preserve">). У паралельному і перпендикулярному напрямках цієї системи тріщини задаються в профілі вимірювань I–І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II–II. На кожному профілі встановлюється не менше двох точок реєстрації коливань: ("</w:t>
      </w:r>
      <w:r w:rsidRPr="009D1E27">
        <w:rPr>
          <w:rFonts w:ascii="Times New Roman" w:hAnsi="Times New Roman" w:cs="Times New Roman"/>
          <w:i/>
          <w:sz w:val="28"/>
          <w:szCs w:val="28"/>
        </w:rPr>
        <w:t>а</w:t>
      </w:r>
      <w:r w:rsidRPr="009D1E27">
        <w:rPr>
          <w:rFonts w:ascii="Times New Roman" w:hAnsi="Times New Roman" w:cs="Times New Roman"/>
          <w:sz w:val="28"/>
          <w:szCs w:val="28"/>
        </w:rPr>
        <w:t>", "</w:t>
      </w:r>
      <w:r w:rsidRPr="009D1E27">
        <w:rPr>
          <w:rFonts w:ascii="Times New Roman" w:hAnsi="Times New Roman" w:cs="Times New Roman"/>
          <w:i/>
          <w:sz w:val="28"/>
          <w:szCs w:val="28"/>
        </w:rPr>
        <w:t>б</w:t>
      </w:r>
      <w:r w:rsidRPr="009D1E27">
        <w:rPr>
          <w:rFonts w:ascii="Times New Roman" w:hAnsi="Times New Roman" w:cs="Times New Roman"/>
          <w:sz w:val="28"/>
          <w:szCs w:val="28"/>
        </w:rPr>
        <w:t>" – профіль I–І; "</w:t>
      </w:r>
      <w:r w:rsidRPr="009D1E27">
        <w:rPr>
          <w:rFonts w:ascii="Times New Roman" w:hAnsi="Times New Roman" w:cs="Times New Roman"/>
          <w:i/>
          <w:sz w:val="28"/>
          <w:szCs w:val="28"/>
        </w:rPr>
        <w:t>в</w:t>
      </w:r>
      <w:r w:rsidRPr="009D1E27">
        <w:rPr>
          <w:rFonts w:ascii="Times New Roman" w:hAnsi="Times New Roman" w:cs="Times New Roman"/>
          <w:sz w:val="28"/>
          <w:szCs w:val="28"/>
        </w:rPr>
        <w:t>", "</w:t>
      </w:r>
      <w:r w:rsidRPr="009D1E27">
        <w:rPr>
          <w:rFonts w:ascii="Times New Roman" w:hAnsi="Times New Roman" w:cs="Times New Roman"/>
          <w:i/>
          <w:sz w:val="28"/>
          <w:szCs w:val="28"/>
        </w:rPr>
        <w:t>г</w:t>
      </w:r>
      <w:r w:rsidRPr="009D1E27">
        <w:rPr>
          <w:rFonts w:ascii="Times New Roman" w:hAnsi="Times New Roman" w:cs="Times New Roman"/>
          <w:sz w:val="28"/>
          <w:szCs w:val="28"/>
        </w:rPr>
        <w:t xml:space="preserve">" – профіль II–II), з відстанями між ними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г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. Записи коливань частинок породи від вибуху в усіх точках по кожному профілю реєструються одночасно. Швидкість коливань у кожній точці заміру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V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9D1E2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V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proofErr w:type="spellEnd"/>
      <w:r w:rsidRPr="009D1E2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V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proofErr w:type="spellEnd"/>
      <w:r w:rsidRPr="009D1E2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V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г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визначається шляхом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розшифровки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сейсмограм від вибуху у висадженому блоці.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01570C4" wp14:editId="5193C9A5">
            <wp:extent cx="4087245" cy="4563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13" cy="45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2.7</w:t>
      </w:r>
      <w:r w:rsidRPr="009D1E27">
        <w:rPr>
          <w:rFonts w:ascii="Times New Roman" w:hAnsi="Times New Roman" w:cs="Times New Roman"/>
          <w:b/>
          <w:sz w:val="28"/>
          <w:szCs w:val="28"/>
        </w:rPr>
        <w:t> Схема до визначення розмірів еліпсоподібної сейсмонебезпечної зони в анізотропному гірському масиві І та II класів, з центральним збудником коливань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умов </w:t>
      </w:r>
      <w:r w:rsidRPr="001C1C2C">
        <w:rPr>
          <w:rFonts w:ascii="Times New Roman" w:hAnsi="Times New Roman" w:cs="Times New Roman"/>
          <w:b/>
          <w:sz w:val="28"/>
          <w:szCs w:val="28"/>
        </w:rPr>
        <w:t>«ПАТ Коростенський кар'єр»</w:t>
      </w:r>
      <w:r w:rsidRPr="009D1E27">
        <w:rPr>
          <w:rFonts w:ascii="Times New Roman" w:hAnsi="Times New Roman" w:cs="Times New Roman"/>
          <w:b/>
          <w:sz w:val="28"/>
          <w:szCs w:val="28"/>
        </w:rPr>
        <w:t>: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І-І, ІІ-ІІ – профілі встановлення сейсмоприймачів на відстанях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г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. </w:t>
      </w:r>
      <w:r w:rsidRPr="009D1E27">
        <w:rPr>
          <w:rFonts w:ascii="Times New Roman" w:hAnsi="Times New Roman" w:cs="Times New Roman"/>
          <w:sz w:val="28"/>
          <w:szCs w:val="28"/>
        </w:rPr>
        <w:br/>
        <w:t xml:space="preserve">1 – система тріщинуватості гірського масиву; 2 –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висаджуємий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блок;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великий, малий і під кутом </w:t>
      </w:r>
      <w:r w:rsidRPr="009D1E27">
        <w:rPr>
          <w:rFonts w:ascii="Times New Roman" w:hAnsi="Times New Roman" w:cs="Times New Roman"/>
          <w:i/>
          <w:sz w:val="28"/>
          <w:szCs w:val="28"/>
        </w:rPr>
        <w:t>φ</w:t>
      </w:r>
      <w:r w:rsidRPr="009D1E27">
        <w:rPr>
          <w:rFonts w:ascii="Times New Roman" w:hAnsi="Times New Roman" w:cs="Times New Roman"/>
          <w:sz w:val="28"/>
          <w:szCs w:val="28"/>
        </w:rPr>
        <w:t xml:space="preserve"> до системи тріщинуватості радіуси осей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відповідно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Підставивши у формули (2.6</w:t>
      </w:r>
      <w:r w:rsidRPr="009D1E27">
        <w:rPr>
          <w:rFonts w:ascii="Times New Roman" w:hAnsi="Times New Roman" w:cs="Times New Roman"/>
          <w:sz w:val="28"/>
          <w:szCs w:val="28"/>
        </w:rPr>
        <w:t>) значення приведених мас для кожної із точок профілю, одержимо системи з двох рівнянь для визначення швидкостей коливань по кожному профілю окремо.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Паралельно розкритим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тріщинам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(профіль I–І):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4"/>
        <w:gridCol w:w="4805"/>
      </w:tblGrid>
      <w:tr w:rsidR="001F23AC" w:rsidRPr="009D1E27" w:rsidTr="009E6833">
        <w:trPr>
          <w:trHeight w:val="20"/>
        </w:trPr>
        <w:tc>
          <w:tcPr>
            <w:tcW w:w="4906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180" w:dyaOrig="999">
                <v:shape id="_x0000_i1034" type="#_x0000_t75" style="width:86.25pt;height:39.75pt" o:ole="" fillcolor="window">
                  <v:imagedata r:id="rId23" o:title=""/>
                </v:shape>
                <o:OLEObject Type="Embed" ProgID="Equation.3" ShapeID="_x0000_i1034" DrawAspect="Content" ObjectID="_1554806563" r:id="rId24"/>
              </w:object>
            </w:r>
          </w:p>
        </w:tc>
        <w:tc>
          <w:tcPr>
            <w:tcW w:w="4907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Перпендикулярно розкритим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тріщинам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(профіль II–II):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9"/>
        <w:gridCol w:w="6120"/>
      </w:tblGrid>
      <w:tr w:rsidR="001F23AC" w:rsidRPr="009D1E27" w:rsidTr="009E6833">
        <w:trPr>
          <w:trHeight w:val="20"/>
        </w:trPr>
        <w:tc>
          <w:tcPr>
            <w:tcW w:w="3519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820" w:dyaOrig="900">
                <v:shape id="_x0000_i1035" type="#_x0000_t75" style="width:91.5pt;height:45.75pt" o:ole="" fillcolor="window">
                  <v:imagedata r:id="rId25" o:title=""/>
                </v:shape>
                <o:OLEObject Type="Embed" ProgID="Equation.3" ShapeID="_x0000_i1035" DrawAspect="Content" ObjectID="_1554806564" r:id="rId26"/>
              </w:object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Знаючи масу заряду в групі, відстань від епіцентру вибуху заряду до кожної точки (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г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) і враховуючи, що коефіцієнт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4B"/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r w:rsidRPr="009D1E27">
        <w:rPr>
          <w:rFonts w:ascii="Times New Roman" w:hAnsi="Times New Roman" w:cs="Times New Roman"/>
          <w:i/>
          <w:sz w:val="28"/>
          <w:szCs w:val="28"/>
        </w:rPr>
        <w:t> </w:t>
      </w:r>
      <w:r w:rsidRPr="009D1E27">
        <w:rPr>
          <w:rFonts w:ascii="Times New Roman" w:hAnsi="Times New Roman" w:cs="Times New Roman"/>
          <w:sz w:val="28"/>
          <w:szCs w:val="28"/>
        </w:rPr>
        <w:t xml:space="preserve">= 1 для прийнятих умов вибуху, визначимо коефіцієнти </w:t>
      </w:r>
      <w:r w:rsidRPr="009D1E27">
        <w:rPr>
          <w:rFonts w:ascii="Times New Roman" w:hAnsi="Times New Roman" w:cs="Times New Roman"/>
          <w:i/>
          <w:sz w:val="28"/>
          <w:szCs w:val="28"/>
        </w:rPr>
        <w:t>K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 xml:space="preserve"> і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 xml:space="preserve"> з розв'язку системи рівнянь (4.7):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4"/>
        <w:gridCol w:w="4805"/>
      </w:tblGrid>
      <w:tr w:rsidR="001F23AC" w:rsidRPr="009D1E27" w:rsidTr="009E6833">
        <w:trPr>
          <w:trHeight w:val="20"/>
        </w:trPr>
        <w:tc>
          <w:tcPr>
            <w:tcW w:w="4889" w:type="dxa"/>
            <w:shd w:val="clear" w:color="auto" w:fill="auto"/>
          </w:tcPr>
          <w:p w:rsidR="001F23AC" w:rsidRPr="009D1E27" w:rsidRDefault="001F23AC" w:rsidP="009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280" w:dyaOrig="680">
                <v:shape id="_x0000_i1036" type="#_x0000_t75" style="width:63.75pt;height:33.75pt" o:ole="" fillcolor="window">
                  <v:imagedata r:id="rId27" o:title=""/>
                </v:shape>
                <o:OLEObject Type="Embed" ProgID="Equation.3" ShapeID="_x0000_i1036" DrawAspect="Content" ObjectID="_1554806565" r:id="rId28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079" w:dyaOrig="300">
                <v:shape id="_x0000_i1037" type="#_x0000_t75" style="width:104.25pt;height:15.75pt" o:ole="" fillcolor="window">
                  <v:imagedata r:id="rId29" o:title=""/>
                </v:shape>
                <o:OLEObject Type="Embed" ProgID="Equation.3" ShapeID="_x0000_i1037" DrawAspect="Content" ObjectID="_1554806566" r:id="rId30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890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а </w:t>
      </w:r>
      <w:r w:rsidRPr="009D1E27">
        <w:rPr>
          <w:rFonts w:ascii="Times New Roman" w:hAnsi="Times New Roman" w:cs="Times New Roman"/>
          <w:i/>
          <w:sz w:val="28"/>
          <w:szCs w:val="28"/>
        </w:rPr>
        <w:t>K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і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системи рівнянь (2</w:t>
      </w:r>
      <w:r w:rsidRPr="009D1E27">
        <w:rPr>
          <w:rFonts w:ascii="Times New Roman" w:hAnsi="Times New Roman" w:cs="Times New Roman"/>
          <w:sz w:val="28"/>
          <w:szCs w:val="28"/>
          <w:lang w:val="ru-RU"/>
        </w:rPr>
        <w:t>.2.7</w:t>
      </w:r>
      <w:r w:rsidRPr="009D1E2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14"/>
        <w:gridCol w:w="6025"/>
      </w:tblGrid>
      <w:tr w:rsidR="001F23AC" w:rsidRPr="009D1E27" w:rsidTr="009E6833">
        <w:trPr>
          <w:trHeight w:val="20"/>
        </w:trPr>
        <w:tc>
          <w:tcPr>
            <w:tcW w:w="3614" w:type="dxa"/>
            <w:shd w:val="clear" w:color="auto" w:fill="auto"/>
          </w:tcPr>
          <w:p w:rsidR="001F23AC" w:rsidRPr="009D1E27" w:rsidRDefault="001F23AC" w:rsidP="009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359" w:dyaOrig="680">
                <v:shape id="_x0000_i1038" type="#_x0000_t75" style="width:68.25pt;height:33.75pt" o:ole="" fillcolor="window">
                  <v:imagedata r:id="rId31" o:title=""/>
                </v:shape>
                <o:OLEObject Type="Embed" ProgID="Equation.3" ShapeID="_x0000_i1038" DrawAspect="Content" ObjectID="_1554806567" r:id="rId32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140" w:dyaOrig="300">
                <v:shape id="_x0000_i1039" type="#_x0000_t75" style="width:106.5pt;height:15.75pt" o:ole="" fillcolor="window">
                  <v:imagedata r:id="rId33" o:title=""/>
                </v:shape>
                <o:OLEObject Type="Embed" ProgID="Equation.3" ShapeID="_x0000_i1039" DrawAspect="Content" ObjectID="_1554806568" r:id="rId34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025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Визначені за формулами (2.10) та (2.11</w:t>
      </w:r>
      <w:r w:rsidRPr="009D1E27">
        <w:rPr>
          <w:rFonts w:ascii="Times New Roman" w:hAnsi="Times New Roman" w:cs="Times New Roman"/>
          <w:sz w:val="28"/>
          <w:szCs w:val="28"/>
        </w:rPr>
        <w:t xml:space="preserve">) значення коефіцієнтів підставивши в (4.6) дадуть змогу отримати емпіричну залежність для розрахунку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сейсмобезпечної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відстані з послідуючою побудовою меж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сейсмобезпечності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 конкретних умовах місцевості, в якій розташовані кар'єр та прилеглі до нього об'єкти, що охороняються. Для оперативного визначення радіусів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відстаней розроблена номограма зображена на </w:t>
      </w:r>
      <w:r>
        <w:rPr>
          <w:rFonts w:ascii="Times New Roman" w:hAnsi="Times New Roman" w:cs="Times New Roman"/>
          <w:i/>
          <w:sz w:val="28"/>
          <w:szCs w:val="28"/>
        </w:rPr>
        <w:t>рис. 2.8</w:t>
      </w:r>
      <w:r w:rsidRPr="009D1E27">
        <w:rPr>
          <w:rFonts w:ascii="Times New Roman" w:hAnsi="Times New Roman" w:cs="Times New Roman"/>
          <w:sz w:val="28"/>
          <w:szCs w:val="28"/>
        </w:rPr>
        <w:t xml:space="preserve">, а показники ступенів затухання та коефіцієнти пропорційності відповідно паралельному та перпендикулярному простяганню розкритих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умовах  </w:t>
      </w:r>
      <w:r w:rsidRPr="001C1C2C">
        <w:rPr>
          <w:rFonts w:ascii="Times New Roman" w:hAnsi="Times New Roman" w:cs="Times New Roman"/>
          <w:sz w:val="28"/>
          <w:szCs w:val="28"/>
        </w:rPr>
        <w:t>«ПАТ Коростенський кар'</w:t>
      </w:r>
      <w:proofErr w:type="spellStart"/>
      <w:r w:rsidRPr="001C1C2C">
        <w:rPr>
          <w:rFonts w:ascii="Times New Roman" w:hAnsi="Times New Roman" w:cs="Times New Roman"/>
          <w:sz w:val="28"/>
          <w:szCs w:val="28"/>
        </w:rPr>
        <w:t>єр</w:t>
      </w:r>
      <w:proofErr w:type="spellEnd"/>
      <w:r w:rsidRPr="001C1C2C">
        <w:rPr>
          <w:rFonts w:ascii="Times New Roman" w:hAnsi="Times New Roman" w:cs="Times New Roman"/>
          <w:sz w:val="28"/>
          <w:szCs w:val="28"/>
        </w:rPr>
        <w:t>»:</w:t>
      </w:r>
      <w:r w:rsidRPr="009D1E27">
        <w:rPr>
          <w:rFonts w:ascii="Times New Roman" w:hAnsi="Times New Roman" w:cs="Times New Roman"/>
          <w:sz w:val="28"/>
          <w:szCs w:val="28"/>
        </w:rPr>
        <w:t xml:space="preserve">приведені в </w:t>
      </w:r>
      <w:r>
        <w:rPr>
          <w:rFonts w:ascii="Times New Roman" w:hAnsi="Times New Roman" w:cs="Times New Roman"/>
          <w:i/>
          <w:sz w:val="28"/>
          <w:szCs w:val="28"/>
        </w:rPr>
        <w:t>табл. 2.3</w:t>
      </w:r>
      <w:r w:rsidRPr="009D1E27">
        <w:rPr>
          <w:rFonts w:ascii="Times New Roman" w:hAnsi="Times New Roman" w:cs="Times New Roman"/>
          <w:sz w:val="28"/>
          <w:szCs w:val="28"/>
        </w:rPr>
        <w:t>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Коефіцієнт </w:t>
      </w: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9D1E27">
        <w:rPr>
          <w:rFonts w:ascii="Times New Roman" w:hAnsi="Times New Roman" w:cs="Times New Roman"/>
          <w:sz w:val="28"/>
          <w:szCs w:val="28"/>
        </w:rPr>
        <w:t>, який залежить від умов проведення вибуху та поширення сейсмічних вибухових хвиль, обчислюють як добуток ряду коефіцієнтів, кожний з яких враховує один з чинників: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1F23AC" w:rsidRPr="009D1E27" w:rsidTr="009E6833">
        <w:trPr>
          <w:trHeight w:val="179"/>
        </w:trPr>
        <w:tc>
          <w:tcPr>
            <w:tcW w:w="4536" w:type="dxa"/>
            <w:shd w:val="clear" w:color="auto" w:fill="auto"/>
          </w:tcPr>
          <w:p w:rsidR="001F23AC" w:rsidRPr="009D1E27" w:rsidRDefault="001F23AC" w:rsidP="009E6833">
            <w:pPr>
              <w:ind w:right="-8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у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245" w:type="dxa"/>
            <w:shd w:val="clear" w:color="auto" w:fill="auto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де  </w:t>
      </w: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sz w:val="28"/>
          <w:szCs w:val="28"/>
        </w:rPr>
        <w:t xml:space="preserve"> – коефіцієнт, який враховує особливості ґрунту, що підлягає висаджуванню; 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 коефіцієнт, який враховує особливості ґрунту під фундаментом будівлі, </w:t>
      </w:r>
      <w:r w:rsidRPr="009D1E27">
        <w:rPr>
          <w:rFonts w:ascii="Times New Roman" w:hAnsi="Times New Roman" w:cs="Times New Roman"/>
          <w:sz w:val="28"/>
          <w:szCs w:val="28"/>
        </w:rPr>
        <w:object w:dxaOrig="1600" w:dyaOrig="400">
          <v:shape id="_x0000_i1040" type="#_x0000_t75" style="width:80.25pt;height:20.25pt" o:ole="">
            <v:imagedata r:id="rId35" o:title=""/>
          </v:shape>
          <o:OLEObject Type="Embed" ProgID="Equation.3" ShapeID="_x0000_i1040" DrawAspect="Content" ObjectID="_1554806569" r:id="rId36"/>
        </w:object>
      </w:r>
      <w:r w:rsidRPr="009D1E27">
        <w:rPr>
          <w:rFonts w:ascii="Times New Roman" w:hAnsi="Times New Roman" w:cs="Times New Roman"/>
          <w:sz w:val="28"/>
          <w:szCs w:val="28"/>
        </w:rPr>
        <w:t xml:space="preserve">, де </w:t>
      </w:r>
      <w:r w:rsidRPr="009D1E27">
        <w:rPr>
          <w:rFonts w:ascii="Times New Roman" w:hAnsi="Times New Roman" w:cs="Times New Roman"/>
          <w:i/>
          <w:sz w:val="28"/>
          <w:szCs w:val="28"/>
        </w:rPr>
        <w:sym w:font="Symbol" w:char="F067"/>
      </w:r>
      <w:r w:rsidRPr="009D1E2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V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– об’ємна маса ґрунту, який підлягає висаджуванню та швидкість поширення в ньому поздовжньої хвилі; </w:t>
      </w:r>
      <w:r w:rsidRPr="009D1E27">
        <w:rPr>
          <w:rFonts w:ascii="Times New Roman" w:hAnsi="Times New Roman" w:cs="Times New Roman"/>
          <w:sz w:val="28"/>
          <w:szCs w:val="28"/>
        </w:rPr>
        <w:object w:dxaOrig="580" w:dyaOrig="320">
          <v:shape id="_x0000_i1041" type="#_x0000_t75" style="width:28.5pt;height:15.75pt" o:ole="">
            <v:imagedata r:id="rId37" o:title=""/>
          </v:shape>
          <o:OLEObject Type="Embed" ProgID="Equation.3" ShapeID="_x0000_i1041" DrawAspect="Content" ObjectID="_1554806570" r:id="rId38"/>
        </w:object>
      </w:r>
      <w:r w:rsidRPr="009D1E27">
        <w:rPr>
          <w:rFonts w:ascii="Times New Roman" w:hAnsi="Times New Roman" w:cs="Times New Roman"/>
          <w:sz w:val="28"/>
          <w:szCs w:val="28"/>
        </w:rPr>
        <w:t xml:space="preserve"> – те саме під фундаментом будівлі; 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Значення коефіцієнтів </w:t>
      </w: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D1E27">
        <w:rPr>
          <w:rFonts w:ascii="Times New Roman" w:hAnsi="Times New Roman" w:cs="Times New Roman"/>
          <w:sz w:val="28"/>
          <w:szCs w:val="28"/>
        </w:rPr>
        <w:t xml:space="preserve">і </w:t>
      </w: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sz w:val="28"/>
          <w:szCs w:val="28"/>
        </w:rPr>
        <w:t xml:space="preserve"> наведені в </w:t>
      </w:r>
      <w:r>
        <w:rPr>
          <w:rFonts w:ascii="Times New Roman" w:hAnsi="Times New Roman" w:cs="Times New Roman"/>
          <w:i/>
          <w:sz w:val="28"/>
          <w:szCs w:val="28"/>
        </w:rPr>
        <w:t>табл. 2</w:t>
      </w:r>
      <w:r w:rsidRPr="009D1E27">
        <w:rPr>
          <w:rFonts w:ascii="Times New Roman" w:hAnsi="Times New Roman" w:cs="Times New Roman"/>
          <w:i/>
          <w:sz w:val="28"/>
          <w:szCs w:val="28"/>
        </w:rPr>
        <w:t>.3</w:t>
      </w:r>
      <w:r w:rsidRPr="009D1E27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9D1E27">
        <w:rPr>
          <w:rFonts w:ascii="Times New Roman" w:hAnsi="Times New Roman" w:cs="Times New Roman"/>
          <w:i/>
          <w:sz w:val="28"/>
          <w:szCs w:val="28"/>
        </w:rPr>
        <w:t>.4</w:t>
      </w:r>
      <w:r w:rsidRPr="009D1E27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D1E27">
        <w:rPr>
          <w:rFonts w:ascii="Times New Roman" w:hAnsi="Times New Roman" w:cs="Times New Roman"/>
          <w:sz w:val="28"/>
          <w:szCs w:val="28"/>
        </w:rPr>
        <w:t> – коефіцієнт, який враховує сезонність робіт і має значення: весна і осінь – 1,0; зима – 0,9; літо – 0,8;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lastRenderedPageBreak/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коефіцієнт орієнтування об’єкту відносно блока, що підлягає висаджуванню (</w:t>
      </w:r>
      <w:r>
        <w:rPr>
          <w:rFonts w:ascii="Times New Roman" w:hAnsi="Times New Roman" w:cs="Times New Roman"/>
          <w:i/>
          <w:sz w:val="28"/>
          <w:szCs w:val="28"/>
        </w:rPr>
        <w:t>табл. 2</w:t>
      </w:r>
      <w:r w:rsidRPr="009D1E27">
        <w:rPr>
          <w:rFonts w:ascii="Times New Roman" w:hAnsi="Times New Roman" w:cs="Times New Roman"/>
          <w:i/>
          <w:sz w:val="28"/>
          <w:szCs w:val="28"/>
        </w:rPr>
        <w:t>.5</w:t>
      </w:r>
      <w:r w:rsidRPr="009D1E27">
        <w:rPr>
          <w:rFonts w:ascii="Times New Roman" w:hAnsi="Times New Roman" w:cs="Times New Roman"/>
          <w:sz w:val="28"/>
          <w:szCs w:val="28"/>
        </w:rPr>
        <w:t>);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D1E27">
        <w:rPr>
          <w:rFonts w:ascii="Times New Roman" w:hAnsi="Times New Roman" w:cs="Times New Roman"/>
          <w:sz w:val="28"/>
          <w:szCs w:val="28"/>
        </w:rPr>
        <w:t> – коефіцієнт ступеня свободи масиву, що підлягає висаджуванню (</w:t>
      </w:r>
      <w:r>
        <w:rPr>
          <w:rFonts w:ascii="Times New Roman" w:hAnsi="Times New Roman" w:cs="Times New Roman"/>
          <w:i/>
          <w:sz w:val="28"/>
          <w:szCs w:val="28"/>
        </w:rPr>
        <w:t>табл. 2</w:t>
      </w:r>
      <w:r w:rsidRPr="009D1E27">
        <w:rPr>
          <w:rFonts w:ascii="Times New Roman" w:hAnsi="Times New Roman" w:cs="Times New Roman"/>
          <w:i/>
          <w:sz w:val="28"/>
          <w:szCs w:val="28"/>
        </w:rPr>
        <w:t>.7</w:t>
      </w:r>
      <w:r w:rsidRPr="009D1E27">
        <w:rPr>
          <w:rFonts w:ascii="Times New Roman" w:hAnsi="Times New Roman" w:cs="Times New Roman"/>
          <w:sz w:val="28"/>
          <w:szCs w:val="28"/>
        </w:rPr>
        <w:t>);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D1E27">
        <w:rPr>
          <w:rFonts w:ascii="Times New Roman" w:hAnsi="Times New Roman" w:cs="Times New Roman"/>
          <w:sz w:val="28"/>
          <w:szCs w:val="28"/>
        </w:rPr>
        <w:t xml:space="preserve"> – коефіцієнт, який ураховує діаметр заряду. У разі інших значень діаметра заряду, наведених у </w:t>
      </w:r>
      <w:r w:rsidRPr="009D1E27">
        <w:rPr>
          <w:rFonts w:ascii="Times New Roman" w:hAnsi="Times New Roman" w:cs="Times New Roman"/>
          <w:i/>
          <w:sz w:val="28"/>
          <w:szCs w:val="28"/>
        </w:rPr>
        <w:t>табл. 4.6</w:t>
      </w:r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r w:rsidRPr="009D1E27">
        <w:rPr>
          <w:rFonts w:ascii="Times New Roman" w:hAnsi="Times New Roman" w:cs="Times New Roman"/>
          <w:sz w:val="28"/>
          <w:szCs w:val="28"/>
        </w:rPr>
        <w:object w:dxaOrig="1160" w:dyaOrig="340">
          <v:shape id="_x0000_i1042" type="#_x0000_t75" style="width:57.75pt;height:16.5pt" o:ole="">
            <v:imagedata r:id="rId39" o:title=""/>
          </v:shape>
          <o:OLEObject Type="Embed" ProgID="Equation.3" ShapeID="_x0000_i1042" DrawAspect="Content" ObjectID="_1554806571" r:id="rId40"/>
        </w:object>
      </w:r>
      <w:r w:rsidRPr="009D1E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d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– діаметр заряду, мм);</w:t>
      </w:r>
    </w:p>
    <w:p w:rsidR="001F23AC" w:rsidRPr="009D1E27" w:rsidRDefault="001F23AC" w:rsidP="001F23AC">
      <w:pPr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7 </w:t>
      </w:r>
      <w:r w:rsidRPr="009D1E27">
        <w:rPr>
          <w:rFonts w:ascii="Times New Roman" w:hAnsi="Times New Roman" w:cs="Times New Roman"/>
          <w:sz w:val="28"/>
          <w:szCs w:val="28"/>
        </w:rPr>
        <w:t xml:space="preserve">– коефіцієнт, який враховує вплив кількості груп зарядів (ступенів уповільнення) на сейсмічний ефект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короткосповільненого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висаджування (</w:t>
      </w:r>
      <w:r>
        <w:rPr>
          <w:rFonts w:ascii="Times New Roman" w:hAnsi="Times New Roman" w:cs="Times New Roman"/>
          <w:i/>
          <w:sz w:val="28"/>
          <w:szCs w:val="28"/>
        </w:rPr>
        <w:t>табл. 2</w:t>
      </w:r>
      <w:r w:rsidRPr="009D1E27">
        <w:rPr>
          <w:rFonts w:ascii="Times New Roman" w:hAnsi="Times New Roman" w:cs="Times New Roman"/>
          <w:i/>
          <w:sz w:val="28"/>
          <w:szCs w:val="28"/>
        </w:rPr>
        <w:t>.8</w:t>
      </w:r>
      <w:r w:rsidRPr="009D1E27">
        <w:rPr>
          <w:rFonts w:ascii="Times New Roman" w:hAnsi="Times New Roman" w:cs="Times New Roman"/>
          <w:sz w:val="28"/>
          <w:szCs w:val="28"/>
        </w:rPr>
        <w:t xml:space="preserve">). У разі кількості груп зарядів більше ніж 10, то </w:t>
      </w:r>
      <w:r w:rsidRPr="009D1E27">
        <w:rPr>
          <w:rFonts w:ascii="Times New Roman" w:hAnsi="Times New Roman" w:cs="Times New Roman"/>
          <w:sz w:val="28"/>
          <w:szCs w:val="28"/>
        </w:rPr>
        <w:object w:dxaOrig="1219" w:dyaOrig="360">
          <v:shape id="_x0000_i1043" type="#_x0000_t75" style="width:61.5pt;height:18pt" o:ole="">
            <v:imagedata r:id="rId41" o:title=""/>
          </v:shape>
          <o:OLEObject Type="Embed" ProgID="Equation.3" ShapeID="_x0000_i1043" DrawAspect="Content" ObjectID="_1554806572" r:id="rId42"/>
        </w:object>
      </w:r>
      <w:r w:rsidRPr="009D1E27">
        <w:rPr>
          <w:rFonts w:ascii="Times New Roman" w:hAnsi="Times New Roman" w:cs="Times New Roman"/>
          <w:sz w:val="28"/>
          <w:szCs w:val="28"/>
        </w:rPr>
        <w:t xml:space="preserve"> (</w:t>
      </w:r>
      <w:r w:rsidRPr="009D1E27">
        <w:rPr>
          <w:rFonts w:ascii="Times New Roman" w:hAnsi="Times New Roman" w:cs="Times New Roman"/>
          <w:i/>
          <w:sz w:val="28"/>
          <w:szCs w:val="28"/>
        </w:rPr>
        <w:t>m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кількість груп зарядів).</w:t>
      </w:r>
    </w:p>
    <w:p w:rsidR="001F23AC" w:rsidRPr="009D1E27" w:rsidRDefault="001F23AC" w:rsidP="001F23A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Таблиця 2</w:t>
      </w:r>
      <w:r w:rsidRPr="009D1E27">
        <w:rPr>
          <w:rFonts w:ascii="Times New Roman" w:hAnsi="Times New Roman" w:cs="Times New Roman"/>
          <w:i/>
          <w:sz w:val="28"/>
          <w:szCs w:val="28"/>
        </w:rPr>
        <w:t>.3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 xml:space="preserve">Значення коефіцієнта, що враховує особливості </w:t>
      </w:r>
      <w:proofErr w:type="spellStart"/>
      <w:r w:rsidRPr="009D1E27">
        <w:rPr>
          <w:rFonts w:ascii="Times New Roman" w:hAnsi="Times New Roman" w:cs="Times New Roman"/>
          <w:b/>
          <w:sz w:val="28"/>
          <w:szCs w:val="28"/>
        </w:rPr>
        <w:t>висаджуваного</w:t>
      </w:r>
      <w:proofErr w:type="spellEnd"/>
      <w:r w:rsidRPr="009D1E27">
        <w:rPr>
          <w:rFonts w:ascii="Times New Roman" w:hAnsi="Times New Roman" w:cs="Times New Roman"/>
          <w:b/>
          <w:sz w:val="28"/>
          <w:szCs w:val="28"/>
        </w:rPr>
        <w:t xml:space="preserve"> ґрунту</w:t>
      </w:r>
    </w:p>
    <w:tbl>
      <w:tblPr>
        <w:tblW w:w="63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417"/>
      </w:tblGrid>
      <w:tr w:rsidR="001F23AC" w:rsidRPr="009D1E27" w:rsidTr="009E6833">
        <w:trPr>
          <w:trHeight w:val="320"/>
          <w:jc w:val="center"/>
        </w:trPr>
        <w:tc>
          <w:tcPr>
            <w:tcW w:w="492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Ґрунт, який підлягає висаджуванню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1F23AC" w:rsidRPr="009D1E27" w:rsidTr="009E6833">
        <w:trPr>
          <w:jc w:val="center"/>
        </w:trPr>
        <w:tc>
          <w:tcPr>
            <w:tcW w:w="4928" w:type="dxa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Скельний, вище середньої міцності (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f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= 13–16)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Скельний, нижче середньої міцності (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f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= 8–12)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Таблиця 2</w:t>
      </w:r>
      <w:r w:rsidRPr="009D1E27">
        <w:rPr>
          <w:rFonts w:ascii="Times New Roman" w:hAnsi="Times New Roman" w:cs="Times New Roman"/>
          <w:i/>
          <w:sz w:val="28"/>
          <w:szCs w:val="28"/>
        </w:rPr>
        <w:t>.4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>Коефіцієнт, що враховує особливості ґрунту під фундаментом будівлі</w:t>
      </w:r>
    </w:p>
    <w:tbl>
      <w:tblPr>
        <w:tblW w:w="63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417"/>
      </w:tblGrid>
      <w:tr w:rsidR="001F23AC" w:rsidRPr="009D1E27" w:rsidTr="009E6833">
        <w:trPr>
          <w:trHeight w:val="320"/>
          <w:jc w:val="center"/>
        </w:trPr>
        <w:tc>
          <w:tcPr>
            <w:tcW w:w="492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Ґрунт під фундаментом будівлі, яка підлягає збереженню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1F23AC" w:rsidRPr="009D1E27" w:rsidTr="009E6833">
        <w:trPr>
          <w:jc w:val="center"/>
        </w:trPr>
        <w:tc>
          <w:tcPr>
            <w:tcW w:w="4928" w:type="dxa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Скельний цільний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Скельний тріщинуватий, порушений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Галечниковий і щебеневий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Піщаний і глинистий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Насипний 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Таблиця 2</w:t>
      </w:r>
      <w:r w:rsidRPr="009D1E27">
        <w:rPr>
          <w:rFonts w:ascii="Times New Roman" w:hAnsi="Times New Roman" w:cs="Times New Roman"/>
          <w:i/>
          <w:sz w:val="28"/>
          <w:szCs w:val="28"/>
        </w:rPr>
        <w:t>.5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>Значення коефіцієнта місця розташування об’єкту відносно блоку зарядів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9"/>
        <w:gridCol w:w="1820"/>
      </w:tblGrid>
      <w:tr w:rsidR="001F23AC" w:rsidRPr="009D1E27" w:rsidTr="009E6833">
        <w:trPr>
          <w:trHeight w:val="320"/>
        </w:trPr>
        <w:tc>
          <w:tcPr>
            <w:tcW w:w="79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Розташування об’єкта, який підлягає збереженню</w:t>
            </w:r>
          </w:p>
        </w:tc>
        <w:tc>
          <w:tcPr>
            <w:tcW w:w="184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F23AC" w:rsidRPr="009D1E27" w:rsidTr="009E6833">
        <w:tc>
          <w:tcPr>
            <w:tcW w:w="7905" w:type="dxa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 тилу блоку, що підлягає висаджуванню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У фланзі блоку, що підлягає висаджуванню: детонація зарядів у блоці спрямована в протилежний від об’єкта бік 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У фланзі блоку, що підлягає висаджуванню: детонація зарядів у блоці спрямована в бік об’єкта 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Перед блоком, що підлягає висаджуванню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0,70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Таблиця 2</w:t>
      </w:r>
      <w:r w:rsidRPr="009D1E27">
        <w:rPr>
          <w:rFonts w:ascii="Times New Roman" w:hAnsi="Times New Roman" w:cs="Times New Roman"/>
          <w:i/>
          <w:sz w:val="28"/>
          <w:szCs w:val="28"/>
        </w:rPr>
        <w:t>.6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 xml:space="preserve">Значення коефіцієнта, що враховує діаметр заряду </w:t>
      </w:r>
      <w:proofErr w:type="spellStart"/>
      <w:r w:rsidRPr="009D1E27">
        <w:rPr>
          <w:rFonts w:ascii="Times New Roman" w:hAnsi="Times New Roman" w:cs="Times New Roman"/>
          <w:i/>
          <w:sz w:val="28"/>
          <w:szCs w:val="28"/>
        </w:rPr>
        <w:t>d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1436"/>
        <w:gridCol w:w="1582"/>
        <w:gridCol w:w="1676"/>
        <w:gridCol w:w="1538"/>
        <w:gridCol w:w="1953"/>
      </w:tblGrid>
      <w:tr w:rsidR="001F23AC" w:rsidRPr="009D1E27" w:rsidTr="009E6833">
        <w:tc>
          <w:tcPr>
            <w:tcW w:w="1444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455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604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701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559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984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1F23AC" w:rsidRPr="009D1E27" w:rsidTr="009E6833">
        <w:tc>
          <w:tcPr>
            <w:tcW w:w="1444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55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04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01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559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984" w:type="dxa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Таблиця 2</w:t>
      </w:r>
      <w:r w:rsidRPr="009D1E27">
        <w:rPr>
          <w:rFonts w:ascii="Times New Roman" w:hAnsi="Times New Roman" w:cs="Times New Roman"/>
          <w:i/>
          <w:sz w:val="28"/>
          <w:szCs w:val="28"/>
        </w:rPr>
        <w:t>.7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>Коефіцієнт ступеня свободи масиву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3"/>
        <w:gridCol w:w="1926"/>
      </w:tblGrid>
      <w:tr w:rsidR="001F23AC" w:rsidRPr="009D1E27" w:rsidTr="009E6833">
        <w:trPr>
          <w:trHeight w:val="320"/>
        </w:trPr>
        <w:tc>
          <w:tcPr>
            <w:tcW w:w="399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Умови висаджування</w:t>
            </w:r>
          </w:p>
        </w:tc>
        <w:tc>
          <w:tcPr>
            <w:tcW w:w="100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1F23AC" w:rsidRPr="009D1E27" w:rsidTr="009E6833">
        <w:trPr>
          <w:trHeight w:val="20"/>
        </w:trPr>
        <w:tc>
          <w:tcPr>
            <w:tcW w:w="3998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У звичайному фронтальному забої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У забої з однією вільною поверхнею (проходження траншей на всю довжину і перетин одночасно, висаджування на неприбрану гірничу масу, коли число рядів свердловинних зарядів більше ніж чотири, висаджування в затисненому середовищі тощо)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У ціликах з (4–5) вільними поверхнями</w:t>
            </w:r>
          </w:p>
        </w:tc>
        <w:tc>
          <w:tcPr>
            <w:tcW w:w="1002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</w:tbl>
    <w:p w:rsidR="001F23AC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F23AC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F23AC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F23AC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F23AC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Таблиця 2</w:t>
      </w:r>
      <w:r w:rsidRPr="009D1E27">
        <w:rPr>
          <w:rFonts w:ascii="Times New Roman" w:hAnsi="Times New Roman" w:cs="Times New Roman"/>
          <w:i/>
          <w:sz w:val="28"/>
          <w:szCs w:val="28"/>
        </w:rPr>
        <w:t>.8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>Коефіцієнт, що враховує кількість груп зарядів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0"/>
        <w:gridCol w:w="706"/>
        <w:gridCol w:w="802"/>
        <w:gridCol w:w="820"/>
        <w:gridCol w:w="820"/>
        <w:gridCol w:w="820"/>
        <w:gridCol w:w="820"/>
        <w:gridCol w:w="820"/>
        <w:gridCol w:w="821"/>
      </w:tblGrid>
      <w:tr w:rsidR="001F23AC" w:rsidRPr="009D1E27" w:rsidTr="009E6833">
        <w:trPr>
          <w:trHeight w:val="20"/>
        </w:trPr>
        <w:tc>
          <w:tcPr>
            <w:tcW w:w="1655" w:type="pct"/>
            <w:tcBorders>
              <w:top w:val="double" w:sz="4" w:space="0" w:color="auto"/>
              <w:bottom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Кількість груп </w: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br/>
              <w:t>(ступенів уповільнення)</w:t>
            </w:r>
          </w:p>
        </w:tc>
        <w:tc>
          <w:tcPr>
            <w:tcW w:w="36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F23AC" w:rsidRPr="009D1E27" w:rsidTr="009E6833">
        <w:trPr>
          <w:trHeight w:val="20"/>
        </w:trPr>
        <w:tc>
          <w:tcPr>
            <w:tcW w:w="1655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64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0,68</w:t>
            </w:r>
          </w:p>
        </w:tc>
        <w:tc>
          <w:tcPr>
            <w:tcW w:w="427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427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0,60</w:t>
            </w:r>
          </w:p>
        </w:tc>
        <w:tc>
          <w:tcPr>
            <w:tcW w:w="427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427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  <w:tc>
          <w:tcPr>
            <w:tcW w:w="427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</w:p>
        </w:tc>
        <w:tc>
          <w:tcPr>
            <w:tcW w:w="427" w:type="pct"/>
            <w:tcBorders>
              <w:top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0,50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Вище розглянуто метод побудови еліпсоподібної зони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з центральним епіцентром вибуху, тобто коли він співпадає з центром еліпса.</w:t>
      </w:r>
    </w:p>
    <w:p w:rsidR="001F23AC" w:rsidRDefault="001F23AC" w:rsidP="001F23AC">
      <w:pPr>
        <w:jc w:val="both"/>
      </w:pPr>
      <w:r w:rsidRPr="009D1E27">
        <w:rPr>
          <w:rFonts w:ascii="Times New Roman" w:hAnsi="Times New Roman" w:cs="Times New Roman"/>
          <w:sz w:val="28"/>
          <w:szCs w:val="28"/>
        </w:rPr>
        <w:t xml:space="preserve">Але на практиці частіше за все залежно від умов, при яких, наприклад, змінюється напрямок ініціювання свердловинних зарядів вибухової речовини в блоці, який підривається, еліпс, окреслюючи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сейсмобезпечну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межу, може зміщуватися відносно центру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висаджуваного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блоку. При цьому, в залежності від місця розташування охоронних об'єктів, останні будуть знаходитись в умовах сейсмічного навантаження на них, тобто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наражені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</w:t>
      </w:r>
      <w:r>
        <w:rPr>
          <w:rFonts w:ascii="Times New Roman" w:hAnsi="Times New Roman" w:cs="Times New Roman"/>
          <w:sz w:val="28"/>
          <w:szCs w:val="28"/>
        </w:rPr>
        <w:t>небезпеку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ж ні.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ABB2DC" wp14:editId="2EF962F6">
            <wp:extent cx="4762500" cy="4752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2.8</w:t>
      </w:r>
      <w:r w:rsidRPr="009D1E27">
        <w:rPr>
          <w:rFonts w:ascii="Times New Roman" w:hAnsi="Times New Roman" w:cs="Times New Roman"/>
          <w:b/>
          <w:sz w:val="28"/>
          <w:szCs w:val="28"/>
        </w:rPr>
        <w:t xml:space="preserve"> Номограма визначення радіусів </w:t>
      </w:r>
      <w:proofErr w:type="spellStart"/>
      <w:r w:rsidRPr="009D1E27">
        <w:rPr>
          <w:rFonts w:ascii="Times New Roman" w:hAnsi="Times New Roman" w:cs="Times New Roman"/>
          <w:b/>
          <w:sz w:val="28"/>
          <w:szCs w:val="28"/>
        </w:rPr>
        <w:t>сейсмобезпечних</w:t>
      </w:r>
      <w:proofErr w:type="spellEnd"/>
      <w:r w:rsidRPr="009D1E27">
        <w:rPr>
          <w:rFonts w:ascii="Times New Roman" w:hAnsi="Times New Roman" w:cs="Times New Roman"/>
          <w:b/>
          <w:sz w:val="28"/>
          <w:szCs w:val="28"/>
        </w:rPr>
        <w:t xml:space="preserve"> відстаней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умов 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lastRenderedPageBreak/>
        <w:t xml:space="preserve">Тому були проведені дослідження по розробці методу, який дозволяє не тільки проводити розрахунки щодо розмірів еліпса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сейсмобезпечності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але і накреслити його зміщення відносно епіцентру вибуху, тобто визначити координати уявного центру в залежності від умов проведення вибухових робіт, які враховуються коефіцієнтом </w:t>
      </w:r>
      <w:r w:rsidRPr="009D1E27">
        <w:rPr>
          <w:rFonts w:ascii="Times New Roman" w:hAnsi="Times New Roman" w:cs="Times New Roman"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у формулі (4.12</w:t>
      </w:r>
      <w:r w:rsidRPr="009D1E27">
        <w:rPr>
          <w:rFonts w:ascii="Times New Roman" w:hAnsi="Times New Roman" w:cs="Times New Roman"/>
          <w:sz w:val="28"/>
          <w:szCs w:val="28"/>
        </w:rPr>
        <w:t>).</w:t>
      </w:r>
    </w:p>
    <w:p w:rsidR="001F23AC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i/>
          <w:sz w:val="28"/>
          <w:szCs w:val="28"/>
        </w:rPr>
        <w:t>рис. 2.9</w:t>
      </w:r>
      <w:r w:rsidRPr="009D1E27">
        <w:rPr>
          <w:rFonts w:ascii="Times New Roman" w:hAnsi="Times New Roman" w:cs="Times New Roman"/>
          <w:sz w:val="28"/>
          <w:szCs w:val="28"/>
        </w:rPr>
        <w:t xml:space="preserve"> зображено схему до розрахунку основних параметрів зміщених відносно епіцентру вибуху еліпсоподібних сейсмонебезпечних зон</w:t>
      </w:r>
      <w:r>
        <w:rPr>
          <w:rFonts w:ascii="Times New Roman" w:hAnsi="Times New Roman" w:cs="Times New Roman"/>
          <w:sz w:val="28"/>
          <w:szCs w:val="28"/>
        </w:rPr>
        <w:t xml:space="preserve"> для умов «ПАТ Коростенський кар'єр»</w:t>
      </w:r>
      <w:r w:rsidRPr="009D1E27">
        <w:rPr>
          <w:rFonts w:ascii="Times New Roman" w:hAnsi="Times New Roman" w:cs="Times New Roman"/>
          <w:sz w:val="28"/>
          <w:szCs w:val="28"/>
        </w:rPr>
        <w:t>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1C1C2C" w:rsidRDefault="001F23AC" w:rsidP="001F2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564452" wp14:editId="7887C62B">
            <wp:extent cx="3424555" cy="1397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AC" w:rsidRPr="00687196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2.9</w:t>
      </w:r>
      <w:r w:rsidRPr="00687196">
        <w:rPr>
          <w:rFonts w:ascii="Times New Roman" w:hAnsi="Times New Roman" w:cs="Times New Roman"/>
          <w:b/>
          <w:sz w:val="28"/>
          <w:szCs w:val="28"/>
        </w:rPr>
        <w:t xml:space="preserve"> Схема до розрахунку координат відносно </w:t>
      </w:r>
      <w:proofErr w:type="spellStart"/>
      <w:r w:rsidRPr="00687196">
        <w:rPr>
          <w:rFonts w:ascii="Times New Roman" w:hAnsi="Times New Roman" w:cs="Times New Roman"/>
          <w:b/>
          <w:sz w:val="28"/>
          <w:szCs w:val="28"/>
        </w:rPr>
        <w:t>висаджуваного</w:t>
      </w:r>
      <w:proofErr w:type="spellEnd"/>
      <w:r w:rsidRPr="00687196">
        <w:rPr>
          <w:rFonts w:ascii="Times New Roman" w:hAnsi="Times New Roman" w:cs="Times New Roman"/>
          <w:b/>
          <w:sz w:val="28"/>
          <w:szCs w:val="28"/>
        </w:rPr>
        <w:t xml:space="preserve"> блоку уявного епіцентру вибуху та побудови еліпсоподібної сейсмонебезпечної зони для умов «ПАТ Коростенський кар'єр»: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1, 2 – зони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сейсмонебезпеки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відповідно з центральним та умовним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збуджувачами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коливань; 3, 3' – відповідно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висаджуваний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та уявний блоки; 4– охоронний об'єкт; </w:t>
      </w:r>
      <w:r w:rsidRPr="009D1E27">
        <w:rPr>
          <w:rFonts w:ascii="Times New Roman" w:hAnsi="Times New Roman" w:cs="Times New Roman"/>
          <w:sz w:val="28"/>
          <w:szCs w:val="28"/>
        </w:rPr>
        <w:br/>
      </w:r>
      <w:r w:rsidRPr="009D1E27">
        <w:rPr>
          <w:rFonts w:ascii="Times New Roman" w:hAnsi="Times New Roman" w:cs="Times New Roman"/>
          <w:i/>
          <w:sz w:val="28"/>
          <w:szCs w:val="28"/>
        </w:rPr>
        <w:t>∆</w:t>
      </w:r>
      <w:r w:rsidRPr="009D1E27">
        <w:rPr>
          <w:rFonts w:ascii="Times New Roman" w:hAnsi="Times New Roman" w:cs="Times New Roman"/>
          <w:sz w:val="28"/>
          <w:szCs w:val="28"/>
        </w:rPr>
        <w:t>Х</w:t>
      </w:r>
      <w:r w:rsidRPr="009D1E27">
        <w:rPr>
          <w:rFonts w:ascii="Times New Roman" w:hAnsi="Times New Roman" w:cs="Times New Roman"/>
          <w:i/>
          <w:sz w:val="28"/>
          <w:szCs w:val="28"/>
        </w:rPr>
        <w:t>,∆</w:t>
      </w:r>
      <w:r w:rsidRPr="009D1E27">
        <w:rPr>
          <w:rFonts w:ascii="Times New Roman" w:hAnsi="Times New Roman" w:cs="Times New Roman"/>
          <w:sz w:val="28"/>
          <w:szCs w:val="28"/>
        </w:rPr>
        <w:t xml:space="preserve">У – величини координат уявного епіцентру вибуху;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9D1E27">
        <w:rPr>
          <w:rFonts w:ascii="Times New Roman" w:hAnsi="Times New Roman" w:cs="Times New Roman"/>
          <w:sz w:val="28"/>
          <w:szCs w:val="28"/>
        </w:rPr>
        <w:t xml:space="preserve">,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9D1E27">
        <w:rPr>
          <w:rFonts w:ascii="Times New Roman" w:hAnsi="Times New Roman" w:cs="Times New Roman"/>
          <w:sz w:val="28"/>
          <w:szCs w:val="28"/>
        </w:rPr>
        <w:t xml:space="preserve"> – відповідно великий та малий радіуси осей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Рівняння еліпса для визначення координат уявного епіцентру вибуху має вигляд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2"/>
        <w:gridCol w:w="4807"/>
      </w:tblGrid>
      <w:tr w:rsidR="001F23AC" w:rsidRPr="009D1E27" w:rsidTr="009E6833">
        <w:trPr>
          <w:trHeight w:val="285"/>
        </w:trPr>
        <w:tc>
          <w:tcPr>
            <w:tcW w:w="4873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260" w:dyaOrig="620">
                <v:shape id="_x0000_i1044" type="#_x0000_t75" style="width:112.5pt;height:31.5pt" o:ole="" fillcolor="window">
                  <v:imagedata r:id="rId45" o:title=""/>
                </v:shape>
                <o:OLEObject Type="Embed" ProgID="Equation.3" ShapeID="_x0000_i1044" DrawAspect="Content" ObjectID="_1554806573" r:id="rId46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74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(2.11)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Головними параметрами, які характеризують еліптичні зони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є: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1) відстань від центру до фокуса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4817"/>
      </w:tblGrid>
      <w:tr w:rsidR="001F23AC" w:rsidRPr="009D1E27" w:rsidTr="009E6833">
        <w:trPr>
          <w:trHeight w:val="83"/>
        </w:trPr>
        <w:tc>
          <w:tcPr>
            <w:tcW w:w="4881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080" w:dyaOrig="300">
                <v:shape id="_x0000_i1045" type="#_x0000_t75" style="width:54pt;height:15.75pt" o:ole="" fillcolor="window">
                  <v:imagedata r:id="rId47" o:title=""/>
                </v:shape>
                <o:OLEObject Type="Embed" ProgID="Equation.3" ShapeID="_x0000_i1045" DrawAspect="Content" ObjectID="_1554806574" r:id="rId48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882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(2.12)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підставивши у формулу (4.13) значення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9D1E27">
        <w:rPr>
          <w:rFonts w:ascii="Times New Roman" w:hAnsi="Times New Roman" w:cs="Times New Roman"/>
          <w:sz w:val="28"/>
          <w:szCs w:val="28"/>
        </w:rPr>
        <w:t xml:space="preserve"> та </w:t>
      </w:r>
      <w:r w:rsidRPr="009D1E27">
        <w:rPr>
          <w:rFonts w:ascii="Times New Roman" w:hAnsi="Times New Roman" w:cs="Times New Roman"/>
          <w:i/>
          <w:sz w:val="28"/>
          <w:szCs w:val="28"/>
        </w:rPr>
        <w:t>R</w:t>
      </w:r>
      <w:r w:rsidRPr="009D1E27">
        <w:rPr>
          <w:rFonts w:ascii="Times New Roman" w:hAnsi="Times New Roman" w:cs="Times New Roman"/>
          <w:sz w:val="28"/>
          <w:szCs w:val="28"/>
          <w:vertAlign w:val="subscript"/>
        </w:rPr>
        <w:t>М,</w:t>
      </w:r>
      <w:r w:rsidRPr="009D1E27">
        <w:rPr>
          <w:rFonts w:ascii="Times New Roman" w:hAnsi="Times New Roman" w:cs="Times New Roman"/>
          <w:sz w:val="28"/>
          <w:szCs w:val="28"/>
        </w:rPr>
        <w:t xml:space="preserve"> одержимо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67"/>
        <w:gridCol w:w="4172"/>
      </w:tblGrid>
      <w:tr w:rsidR="001F23AC" w:rsidRPr="009D1E27" w:rsidTr="009E6833">
        <w:trPr>
          <w:trHeight w:val="224"/>
        </w:trPr>
        <w:tc>
          <w:tcPr>
            <w:tcW w:w="2836" w:type="pct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720" w:dyaOrig="499">
                <v:shape id="_x0000_i1046" type="#_x0000_t75" style="width:135.75pt;height:25.5pt" o:ole="" fillcolor="window">
                  <v:imagedata r:id="rId49" o:title=""/>
                </v:shape>
                <o:OLEObject Type="Embed" ProgID="Equation.3" ShapeID="_x0000_i1046" DrawAspect="Content" ObjectID="_1554806575" r:id="rId50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164" w:type="pct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(2.13)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2) ексцентриситет еліпса: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02"/>
        <w:gridCol w:w="6137"/>
      </w:tblGrid>
      <w:tr w:rsidR="001F23AC" w:rsidRPr="009D1E27" w:rsidTr="009E6833">
        <w:trPr>
          <w:trHeight w:val="415"/>
        </w:trPr>
        <w:tc>
          <w:tcPr>
            <w:tcW w:w="3502" w:type="dxa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500" w:dyaOrig="420">
                <v:shape id="_x0000_i1047" type="#_x0000_t75" style="width:75.75pt;height:21.75pt" o:ole="" fillcolor="window">
                  <v:imagedata r:id="rId51" o:title=""/>
                </v:shape>
                <o:OLEObject Type="Embed" ProgID="Equation.3" ShapeID="_x0000_i1047" DrawAspect="Content" ObjectID="_1554806576" r:id="rId52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137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(2.14)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3) радіуси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правого і лівого фокусів відповідно: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0"/>
        <w:gridCol w:w="2020"/>
        <w:gridCol w:w="2799"/>
      </w:tblGrid>
      <w:tr w:rsidR="001F23AC" w:rsidRPr="009D1E27" w:rsidTr="009E6833">
        <w:trPr>
          <w:trHeight w:val="699"/>
        </w:trPr>
        <w:tc>
          <w:tcPr>
            <w:tcW w:w="3548" w:type="pct"/>
            <w:gridSpan w:val="2"/>
            <w:shd w:val="clear" w:color="auto" w:fill="auto"/>
          </w:tcPr>
          <w:p w:rsidR="001F23AC" w:rsidRPr="009D1E27" w:rsidRDefault="001F23AC" w:rsidP="009E6833">
            <w:pPr>
              <w:ind w:firstLine="1313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700" w:dyaOrig="680">
                <v:shape id="_x0000_i1048" type="#_x0000_t75" style="width:85.5pt;height:33.75pt" o:ole="" fillcolor="window">
                  <v:imagedata r:id="rId53" o:title=""/>
                </v:shape>
                <o:OLEObject Type="Embed" ProgID="Equation.3" ShapeID="_x0000_i1048" DrawAspect="Content" ObjectID="_1554806577" r:id="rId54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452" w:type="pct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(2.15)</w:t>
            </w:r>
          </w:p>
        </w:tc>
      </w:tr>
      <w:tr w:rsidR="001F23AC" w:rsidRPr="009D1E27" w:rsidTr="009E6833">
        <w:trPr>
          <w:trHeight w:val="398"/>
        </w:trPr>
        <w:tc>
          <w:tcPr>
            <w:tcW w:w="2500" w:type="pct"/>
            <w:shd w:val="clear" w:color="auto" w:fill="auto"/>
          </w:tcPr>
          <w:p w:rsidR="001F23AC" w:rsidRPr="009D1E27" w:rsidRDefault="001F23AC" w:rsidP="009E6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1840" w:dyaOrig="700">
                <v:shape id="_x0000_i1049" type="#_x0000_t75" style="width:92.25pt;height:34.5pt" o:ole="" fillcolor="window">
                  <v:imagedata r:id="rId55" o:title=""/>
                </v:shape>
                <o:OLEObject Type="Embed" ProgID="Equation.3" ShapeID="_x0000_i1049" DrawAspect="Content" ObjectID="_1554806578" r:id="rId56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(2.16)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>4)</w:t>
      </w:r>
      <w:r w:rsidRPr="009D1E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1E27">
        <w:rPr>
          <w:rFonts w:ascii="Times New Roman" w:hAnsi="Times New Roman" w:cs="Times New Roman"/>
          <w:sz w:val="28"/>
          <w:szCs w:val="28"/>
        </w:rPr>
        <w:t>директриса: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9"/>
        <w:gridCol w:w="4800"/>
      </w:tblGrid>
      <w:tr w:rsidR="001F23AC" w:rsidRPr="009D1E27" w:rsidTr="009E6833">
        <w:trPr>
          <w:trHeight w:val="531"/>
        </w:trPr>
        <w:tc>
          <w:tcPr>
            <w:tcW w:w="4914" w:type="dxa"/>
            <w:shd w:val="clear" w:color="auto" w:fill="auto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object w:dxaOrig="2060" w:dyaOrig="580">
                <v:shape id="_x0000_i1050" type="#_x0000_t75" style="width:103.5pt;height:28.5pt" o:ole="" fillcolor="window">
                  <v:imagedata r:id="rId57" o:title=""/>
                </v:shape>
                <o:OLEObject Type="Embed" ProgID="Equation.3" ShapeID="_x0000_i1050" DrawAspect="Content" ObjectID="_1554806579" r:id="rId58"/>
              </w:object>
            </w: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15" w:type="dxa"/>
            <w:shd w:val="clear" w:color="auto" w:fill="auto"/>
            <w:vAlign w:val="center"/>
          </w:tcPr>
          <w:p w:rsidR="001F23AC" w:rsidRPr="009D1E27" w:rsidRDefault="001F23AC" w:rsidP="009E68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(2.17)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BCA4B4C" wp14:editId="6AB756D5">
                <wp:simplePos x="0" y="0"/>
                <wp:positionH relativeFrom="column">
                  <wp:posOffset>-1263015</wp:posOffset>
                </wp:positionH>
                <wp:positionV relativeFrom="paragraph">
                  <wp:posOffset>1266190</wp:posOffset>
                </wp:positionV>
                <wp:extent cx="91440" cy="91440"/>
                <wp:effectExtent l="0" t="0" r="22860" b="2286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D964" id="Прямоугольник 14" o:spid="_x0000_s1026" style="position:absolute;margin-left:-99.45pt;margin-top:99.7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" o:allowincell="f"/>
            </w:pict>
          </mc:Fallback>
        </mc:AlternateContent>
      </w:r>
      <w:r w:rsidRPr="009D1E27">
        <w:rPr>
          <w:rFonts w:ascii="Times New Roman" w:hAnsi="Times New Roman" w:cs="Times New Roman"/>
          <w:sz w:val="28"/>
          <w:szCs w:val="28"/>
        </w:rPr>
        <w:t xml:space="preserve">Приведені вище аналітичні вирази для розрахунку параметрів еліпса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, які окреслюють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сейсмобезпечну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межу, показують, що вона залежить від сейсмічних властивостей анізотропних порід, які постійні для конкретних регіонів. Зміщення центру сейсмонебезпечної зони (утворення уявного епіцентру вибуху) можливо за рахунок втручання у технологічні фактори підривних робіт. При цьому, епіцентр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</w:t>
      </w:r>
      <w:r w:rsidRPr="009D1E27">
        <w:rPr>
          <w:rFonts w:ascii="Times New Roman" w:hAnsi="Times New Roman" w:cs="Times New Roman"/>
          <w:sz w:val="28"/>
          <w:szCs w:val="28"/>
        </w:rPr>
        <w:softHyphen/>
        <w:t>безпечної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межі зміщується на величину </w:t>
      </w:r>
      <w:r w:rsidRPr="009D1E27">
        <w:rPr>
          <w:rFonts w:ascii="Times New Roman" w:hAnsi="Times New Roman" w:cs="Times New Roman"/>
          <w:sz w:val="28"/>
          <w:szCs w:val="28"/>
        </w:rPr>
        <w:object w:dxaOrig="220" w:dyaOrig="260">
          <v:shape id="_x0000_i1051" type="#_x0000_t75" style="width:10.5pt;height:13.5pt" o:ole="" fillcolor="window">
            <v:imagedata r:id="rId59" o:title=""/>
          </v:shape>
          <o:OLEObject Type="Embed" ProgID="Equation.3" ShapeID="_x0000_i1051" DrawAspect="Content" ObjectID="_1554806580" r:id="rId60"/>
        </w:object>
      </w:r>
      <w:r w:rsidRPr="009D1E27">
        <w:rPr>
          <w:rFonts w:ascii="Times New Roman" w:hAnsi="Times New Roman" w:cs="Times New Roman"/>
          <w:i/>
          <w:sz w:val="28"/>
          <w:szCs w:val="28"/>
        </w:rPr>
        <w:t>Х</w:t>
      </w:r>
      <w:r w:rsidRPr="009D1E27">
        <w:rPr>
          <w:rFonts w:ascii="Times New Roman" w:hAnsi="Times New Roman" w:cs="Times New Roman"/>
          <w:sz w:val="28"/>
          <w:szCs w:val="28"/>
        </w:rPr>
        <w:t xml:space="preserve"> або </w:t>
      </w:r>
      <w:r w:rsidRPr="009D1E27">
        <w:rPr>
          <w:rFonts w:ascii="Times New Roman" w:hAnsi="Times New Roman" w:cs="Times New Roman"/>
          <w:sz w:val="28"/>
          <w:szCs w:val="28"/>
        </w:rPr>
        <w:object w:dxaOrig="220" w:dyaOrig="260">
          <v:shape id="_x0000_i1052" type="#_x0000_t75" style="width:10.5pt;height:13.5pt" o:ole="" fillcolor="window">
            <v:imagedata r:id="rId59" o:title=""/>
          </v:shape>
          <o:OLEObject Type="Embed" ProgID="Equation.3" ShapeID="_x0000_i1052" DrawAspect="Content" ObjectID="_1554806581" r:id="rId61"/>
        </w:object>
      </w:r>
      <w:r w:rsidRPr="009D1E27">
        <w:rPr>
          <w:rFonts w:ascii="Times New Roman" w:hAnsi="Times New Roman" w:cs="Times New Roman"/>
          <w:i/>
          <w:sz w:val="28"/>
          <w:szCs w:val="28"/>
        </w:rPr>
        <w:t>У</w:t>
      </w:r>
      <w:r w:rsidRPr="009D1E27">
        <w:rPr>
          <w:rFonts w:ascii="Times New Roman" w:hAnsi="Times New Roman" w:cs="Times New Roman"/>
          <w:sz w:val="28"/>
          <w:szCs w:val="28"/>
        </w:rPr>
        <w:t>, а в залежності від розташування по відношенню до реального епіцентру вибуху об’єктів, що охороняються, то останні переводяться з небезпечної межі в безпечну.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З огляду на це слід доповнити «Єдині правила безпеки при вибухових роботах» методикою розрахунку меж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сейсмобезпеки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>, що базується на результатах досліджень проведених в організаціях промисловості будівельних матеріалів, дорожнього будівництва і ін., що виконують вибухові роботи поблизу промислових, цивільних і природних об'єктів.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t xml:space="preserve">Впровадження викладених наукових розробок на території України, де кар’єри розташовані поблизу населених пунктів, дозволило локалізувати сейсмічні коливання в межах допустимих норм за рахунок управління технологічними схемами вибуху (керованих координат уявного епіцентру вибуху) і тим самим перевести безпечну зону в </w:t>
      </w:r>
      <w:proofErr w:type="spellStart"/>
      <w:r w:rsidRPr="009D1E27">
        <w:rPr>
          <w:rFonts w:ascii="Times New Roman" w:hAnsi="Times New Roman" w:cs="Times New Roman"/>
          <w:sz w:val="28"/>
          <w:szCs w:val="28"/>
        </w:rPr>
        <w:t>сейсмобезпечну</w:t>
      </w:r>
      <w:proofErr w:type="spellEnd"/>
      <w:r w:rsidRPr="009D1E27">
        <w:rPr>
          <w:rFonts w:ascii="Times New Roman" w:hAnsi="Times New Roman" w:cs="Times New Roman"/>
          <w:sz w:val="28"/>
          <w:szCs w:val="28"/>
        </w:rPr>
        <w:t xml:space="preserve"> і забезпечити при цьому цілісність житлового фонду з комфортним за психологічним фактором проживанням населення.</w:t>
      </w:r>
    </w:p>
    <w:p w:rsidR="001F23AC" w:rsidRPr="009D1E27" w:rsidRDefault="001F23AC" w:rsidP="001F23AC">
      <w:pPr>
        <w:jc w:val="both"/>
        <w:rPr>
          <w:rFonts w:ascii="Times New Roman" w:hAnsi="Times New Roman" w:cs="Times New Roman"/>
          <w:sz w:val="28"/>
          <w:szCs w:val="28"/>
        </w:rPr>
      </w:pPr>
      <w:r w:rsidRPr="009D1E27">
        <w:rPr>
          <w:rFonts w:ascii="Times New Roman" w:hAnsi="Times New Roman" w:cs="Times New Roman"/>
          <w:sz w:val="28"/>
          <w:szCs w:val="28"/>
        </w:rPr>
        <w:br w:type="page"/>
      </w: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lastRenderedPageBreak/>
        <w:t>Таблиця 4.1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>Значення коефіцієнтів в напрямках великої (</w:t>
      </w:r>
      <w:r w:rsidRPr="009D1E27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b/>
          <w:sz w:val="28"/>
          <w:szCs w:val="28"/>
        </w:rPr>
        <w:t>) і (</w:t>
      </w:r>
      <w:r w:rsidRPr="009D1E27">
        <w:rPr>
          <w:rFonts w:ascii="Times New Roman" w:hAnsi="Times New Roman" w:cs="Times New Roman"/>
          <w:b/>
          <w:i/>
          <w:sz w:val="28"/>
          <w:szCs w:val="28"/>
        </w:rPr>
        <w:sym w:font="Symbol" w:char="F06E"/>
      </w:r>
      <w:r w:rsidRPr="009D1E27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9D1E2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D1E27">
        <w:rPr>
          <w:rFonts w:ascii="Times New Roman" w:hAnsi="Times New Roman" w:cs="Times New Roman"/>
          <w:b/>
          <w:sz w:val="28"/>
          <w:szCs w:val="28"/>
        </w:rPr>
        <w:br/>
        <w:t>і малої (</w:t>
      </w:r>
      <w:r w:rsidRPr="009D1E27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9D1E2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b/>
          <w:sz w:val="28"/>
          <w:szCs w:val="28"/>
        </w:rPr>
        <w:t>) і (</w:t>
      </w:r>
      <w:r w:rsidRPr="009D1E27">
        <w:rPr>
          <w:rFonts w:ascii="Times New Roman" w:hAnsi="Times New Roman" w:cs="Times New Roman"/>
          <w:b/>
          <w:i/>
          <w:sz w:val="28"/>
          <w:szCs w:val="28"/>
        </w:rPr>
        <w:sym w:font="Symbol" w:char="F06E"/>
      </w:r>
      <w:r w:rsidRPr="009D1E2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9D1E27">
        <w:rPr>
          <w:rFonts w:ascii="Times New Roman" w:hAnsi="Times New Roman" w:cs="Times New Roman"/>
          <w:b/>
          <w:sz w:val="28"/>
          <w:szCs w:val="28"/>
        </w:rPr>
        <w:t xml:space="preserve">) осей еліпса </w:t>
      </w:r>
      <w:proofErr w:type="spellStart"/>
      <w:r w:rsidRPr="009D1E27">
        <w:rPr>
          <w:rFonts w:ascii="Times New Roman" w:hAnsi="Times New Roman" w:cs="Times New Roman"/>
          <w:b/>
          <w:sz w:val="28"/>
          <w:szCs w:val="28"/>
        </w:rPr>
        <w:t>ізосейсм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7196">
        <w:rPr>
          <w:rFonts w:ascii="Times New Roman" w:hAnsi="Times New Roman" w:cs="Times New Roman"/>
          <w:b/>
          <w:sz w:val="28"/>
          <w:szCs w:val="28"/>
        </w:rPr>
        <w:t>для умов «ПАТ Коростенський кар'єр»</w:t>
      </w:r>
    </w:p>
    <w:tbl>
      <w:tblPr>
        <w:tblW w:w="4932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1202"/>
        <w:gridCol w:w="1202"/>
        <w:gridCol w:w="1202"/>
        <w:gridCol w:w="1200"/>
      </w:tblGrid>
      <w:tr w:rsidR="001F23AC" w:rsidRPr="009D1E27" w:rsidTr="009E6833">
        <w:trPr>
          <w:trHeight w:val="20"/>
          <w:jc w:val="center"/>
        </w:trPr>
        <w:tc>
          <w:tcPr>
            <w:tcW w:w="2465" w:type="pct"/>
            <w:vMerge w:val="restart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Регіони України</w:t>
            </w:r>
          </w:p>
        </w:tc>
        <w:tc>
          <w:tcPr>
            <w:tcW w:w="1268" w:type="pct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Коефіцієнт,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</w:p>
        </w:tc>
        <w:tc>
          <w:tcPr>
            <w:tcW w:w="1267" w:type="pct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 xml:space="preserve">Показник ступеня загасання, 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6E"/>
            </w:r>
          </w:p>
        </w:tc>
      </w:tr>
      <w:tr w:rsidR="001F23AC" w:rsidRPr="009D1E27" w:rsidTr="009E6833">
        <w:trPr>
          <w:trHeight w:val="20"/>
          <w:jc w:val="center"/>
        </w:trPr>
        <w:tc>
          <w:tcPr>
            <w:tcW w:w="2465" w:type="pct"/>
            <w:vMerge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6E"/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6E"/>
            </w:r>
            <w:r w:rsidRPr="009D1E2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1F23AC" w:rsidRPr="009D1E27" w:rsidTr="009E6833">
        <w:trPr>
          <w:trHeight w:val="20"/>
          <w:jc w:val="center"/>
        </w:trPr>
        <w:tc>
          <w:tcPr>
            <w:tcW w:w="2465" w:type="pct"/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Житомирська обл.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633" w:type="pct"/>
            <w:tcMar>
              <w:left w:w="57" w:type="dxa"/>
              <w:right w:w="57" w:type="dxa"/>
            </w:tcMar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</w:tbl>
    <w:p w:rsidR="001F23AC" w:rsidRPr="009D1E27" w:rsidRDefault="001F23AC" w:rsidP="001F23AC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F23AC" w:rsidRPr="009D1E27" w:rsidRDefault="001F23AC" w:rsidP="001F23A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9D1E27">
        <w:rPr>
          <w:rFonts w:ascii="Times New Roman" w:hAnsi="Times New Roman" w:cs="Times New Roman"/>
          <w:i/>
          <w:sz w:val="28"/>
          <w:szCs w:val="28"/>
        </w:rPr>
        <w:t>Таблиця 4.2</w:t>
      </w:r>
    </w:p>
    <w:p w:rsidR="001F23AC" w:rsidRPr="009D1E27" w:rsidRDefault="001F23AC" w:rsidP="001F2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E27">
        <w:rPr>
          <w:rFonts w:ascii="Times New Roman" w:hAnsi="Times New Roman" w:cs="Times New Roman"/>
          <w:b/>
          <w:sz w:val="28"/>
          <w:szCs w:val="28"/>
        </w:rPr>
        <w:t xml:space="preserve">Значення коефіцієнтів </w:t>
      </w:r>
      <w:proofErr w:type="spellStart"/>
      <w:r w:rsidRPr="009D1E27">
        <w:rPr>
          <w:rFonts w:ascii="Times New Roman" w:hAnsi="Times New Roman" w:cs="Times New Roman"/>
          <w:b/>
          <w:sz w:val="28"/>
          <w:szCs w:val="28"/>
        </w:rPr>
        <w:t>сейсмоанізотропії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7196">
        <w:rPr>
          <w:rFonts w:ascii="Times New Roman" w:hAnsi="Times New Roman" w:cs="Times New Roman"/>
          <w:b/>
          <w:sz w:val="28"/>
          <w:szCs w:val="28"/>
        </w:rPr>
        <w:t>для умов «ПАТ Коростенський кар'єр»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7"/>
        <w:gridCol w:w="2097"/>
        <w:gridCol w:w="2235"/>
      </w:tblGrid>
      <w:tr w:rsidR="001F23AC" w:rsidRPr="009D1E27" w:rsidTr="009E6833">
        <w:trPr>
          <w:trHeight w:val="20"/>
          <w:jc w:val="center"/>
        </w:trPr>
        <w:tc>
          <w:tcPr>
            <w:tcW w:w="2746" w:type="pct"/>
            <w:vMerge w:val="restar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Регіони України</w:t>
            </w:r>
          </w:p>
        </w:tc>
        <w:tc>
          <w:tcPr>
            <w:tcW w:w="2254" w:type="pct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Коефіцієнти</w:t>
            </w:r>
          </w:p>
        </w:tc>
      </w:tr>
      <w:tr w:rsidR="001F23AC" w:rsidRPr="009D1E27" w:rsidTr="009E6833">
        <w:trPr>
          <w:trHeight w:val="20"/>
          <w:jc w:val="center"/>
        </w:trPr>
        <w:tc>
          <w:tcPr>
            <w:tcW w:w="2746" w:type="pct"/>
            <w:vMerge/>
            <w:tcBorders>
              <w:top w:val="single" w:sz="4" w:space="0" w:color="auto"/>
              <w:bottom w:val="double" w:sz="4" w:space="0" w:color="auto"/>
            </w:tcBorders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pct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proofErr w:type="spellStart"/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9D1E2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1163" w:type="pct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</w:p>
        </w:tc>
      </w:tr>
      <w:tr w:rsidR="001F23AC" w:rsidRPr="009D1E27" w:rsidTr="009E6833">
        <w:trPr>
          <w:trHeight w:val="20"/>
          <w:jc w:val="center"/>
        </w:trPr>
        <w:tc>
          <w:tcPr>
            <w:tcW w:w="2746" w:type="pct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Житомирська обл.</w:t>
            </w:r>
          </w:p>
        </w:tc>
        <w:tc>
          <w:tcPr>
            <w:tcW w:w="1091" w:type="pct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163" w:type="pct"/>
          </w:tcPr>
          <w:p w:rsidR="001F23AC" w:rsidRPr="009D1E27" w:rsidRDefault="001F23AC" w:rsidP="009E68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E27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</w:tbl>
    <w:p w:rsidR="008C2EEF" w:rsidRPr="001F23AC" w:rsidRDefault="008C2EEF" w:rsidP="001F23AC">
      <w:bookmarkStart w:id="0" w:name="_GoBack"/>
      <w:bookmarkEnd w:id="0"/>
    </w:p>
    <w:sectPr w:rsidR="008C2EEF" w:rsidRPr="001F23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7E"/>
    <w:rsid w:val="001F23AC"/>
    <w:rsid w:val="0044317A"/>
    <w:rsid w:val="008A717E"/>
    <w:rsid w:val="008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54D9F-D49B-4F81-83C7-B6A4AECE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e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7639</Words>
  <Characters>4355</Characters>
  <Application>Microsoft Office Word</Application>
  <DocSecurity>0</DocSecurity>
  <Lines>36</Lines>
  <Paragraphs>23</Paragraphs>
  <ScaleCrop>false</ScaleCrop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2017-04-27T10:55:00Z</dcterms:created>
  <dcterms:modified xsi:type="dcterms:W3CDTF">2017-04-27T10:55:00Z</dcterms:modified>
</cp:coreProperties>
</file>