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1C" w:rsidRPr="00D23D98" w:rsidRDefault="002F60EE" w:rsidP="003972A7">
      <w:pPr>
        <w:pStyle w:val="ae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D98">
        <w:rPr>
          <w:rFonts w:ascii="Times New Roman" w:eastAsia="Calibri" w:hAnsi="Times New Roman" w:cs="Times New Roman"/>
          <w:b/>
          <w:sz w:val="28"/>
          <w:szCs w:val="28"/>
        </w:rPr>
        <w:t xml:space="preserve">ДОСЛІДЖЕННЯ </w:t>
      </w:r>
      <w:r w:rsidR="0016622C" w:rsidRPr="00D23D98">
        <w:rPr>
          <w:rFonts w:ascii="Times New Roman" w:hAnsi="Times New Roman" w:cs="Times New Roman"/>
          <w:b/>
          <w:sz w:val="28"/>
          <w:szCs w:val="28"/>
        </w:rPr>
        <w:t>СЕЙМОБЕЗПЕКИ</w:t>
      </w:r>
      <w:r w:rsidRPr="00D23D98">
        <w:rPr>
          <w:rFonts w:ascii="Times New Roman" w:hAnsi="Times New Roman" w:cs="Times New Roman"/>
          <w:b/>
          <w:sz w:val="28"/>
          <w:szCs w:val="28"/>
        </w:rPr>
        <w:t xml:space="preserve"> В УМОВАХ «ПАТ КОРОСТЕНСЬКИЙ КАР'ЄР»</w:t>
      </w:r>
    </w:p>
    <w:p w:rsidR="0016622C" w:rsidRPr="00D23D98" w:rsidRDefault="0016622C" w:rsidP="003972A7">
      <w:pPr>
        <w:pStyle w:val="ae"/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622C" w:rsidRPr="003972A7" w:rsidRDefault="0016622C" w:rsidP="003972A7">
      <w:pPr>
        <w:pStyle w:val="ae"/>
        <w:numPr>
          <w:ilvl w:val="0"/>
          <w:numId w:val="3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972A7">
        <w:rPr>
          <w:rFonts w:ascii="Times New Roman" w:hAnsi="Times New Roman" w:cs="Times New Roman"/>
          <w:b/>
          <w:sz w:val="26"/>
          <w:szCs w:val="26"/>
        </w:rPr>
        <w:t>ВІДОМОСТІ ПРО ПІДПРИЄМСТВО ПАТ «КОРОСТЕНСЬКИЙ КАР’ЄР»</w:t>
      </w:r>
    </w:p>
    <w:p w:rsidR="0016622C" w:rsidRPr="00D23D98" w:rsidRDefault="0016622C" w:rsidP="003972A7">
      <w:pPr>
        <w:pStyle w:val="ae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5501" w:rsidRPr="003972A7" w:rsidRDefault="0016622C" w:rsidP="003972A7">
      <w:pPr>
        <w:pStyle w:val="ae"/>
        <w:numPr>
          <w:ilvl w:val="1"/>
          <w:numId w:val="3"/>
        </w:numPr>
        <w:spacing w:after="0"/>
        <w:ind w:left="993" w:hanging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72A7">
        <w:rPr>
          <w:rFonts w:ascii="Times New Roman" w:hAnsi="Times New Roman" w:cs="Times New Roman"/>
          <w:b/>
          <w:sz w:val="24"/>
          <w:szCs w:val="28"/>
        </w:rPr>
        <w:t>ЗАГАЛЬНІ ВІДОМОСТІ ПРО РОДОВИЩЕ</w:t>
      </w:r>
    </w:p>
    <w:p w:rsidR="0016622C" w:rsidRPr="00D23D98" w:rsidRDefault="0016622C" w:rsidP="003972A7">
      <w:pPr>
        <w:spacing w:after="0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>Коростенське (Стремигородське) родовище гранітів розташо</w:t>
      </w:r>
      <w:bookmarkStart w:id="0" w:name="_GoBack"/>
      <w:bookmarkEnd w:id="0"/>
      <w:r w:rsidRPr="00D23D98">
        <w:rPr>
          <w:rFonts w:ascii="Times New Roman" w:hAnsi="Times New Roman" w:cs="Times New Roman"/>
          <w:bCs/>
          <w:sz w:val="28"/>
          <w:szCs w:val="28"/>
        </w:rPr>
        <w:t>вано в Кор</w:t>
      </w:r>
      <w:r w:rsidR="00D23D98" w:rsidRPr="00D23D98">
        <w:rPr>
          <w:rFonts w:ascii="Times New Roman" w:hAnsi="Times New Roman" w:cs="Times New Roman"/>
          <w:bCs/>
          <w:sz w:val="28"/>
          <w:szCs w:val="28"/>
        </w:rPr>
        <w:t>осте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нському районі, Житомирської області, в 1 км на південний захід від м. Коростень на правому березі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р.Уж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в 1, 5 км від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з.д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>. ст. Шатрище ПЗЗ.</w:t>
      </w:r>
    </w:p>
    <w:p w:rsidR="0016622C" w:rsidRPr="00D23D98" w:rsidRDefault="0016622C" w:rsidP="003972A7">
      <w:pPr>
        <w:spacing w:after="0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 xml:space="preserve">Родовище розкрито траншеєю в східній частині кар'єрного поля для доставки гірничої маси на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дробарний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завод. Для добування гірничої маси був нарізаний горизонт з відміткою +171.0,</w:t>
      </w:r>
      <w:r w:rsidR="00D23D98" w:rsidRPr="00D23D98">
        <w:rPr>
          <w:rFonts w:ascii="Times New Roman" w:hAnsi="Times New Roman" w:cs="Times New Roman"/>
          <w:bCs/>
          <w:sz w:val="28"/>
          <w:szCs w:val="28"/>
        </w:rPr>
        <w:t xml:space="preserve"> висота уступу в середньому 8м. 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При просуванні гірничих робіт і збільшенні робочої площі створені нові горизонти +159.0м, +146.0м, +133.0м,+120.0м,+107.0м, +94м. </w:t>
      </w:r>
    </w:p>
    <w:p w:rsidR="0016622C" w:rsidRPr="00D23D98" w:rsidRDefault="0016622C" w:rsidP="003972A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>З 2007 року вибухові роботи на ПАТ "Коростенський кар'єр" виконує ТОВ "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Юнігран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- Сервіс". Навантаження гірничої маси виконується екскаваторами ЕКГ та фронтальним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навантажувачем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САТ-988Н, у самоскиди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БелАЗ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модель 7522, 7523, 7547. Енергозабезпечення  кар'єру здійснюється від мережі "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Житомиренерго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>" по ЛЕП-35кв.</w:t>
      </w:r>
    </w:p>
    <w:p w:rsidR="0016622C" w:rsidRPr="00D23D98" w:rsidRDefault="0016622C" w:rsidP="003972A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З 1968 р. експлуатується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каменедробарний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завод №2 з річною потужністю 700т.м3 у щільному тілі. Гірнича маса розміром 0-1000 мм з кар'єру самоскидами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БелАЗ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транспортується до пункту перероблення. За допомогою пластинчатого живильника 1-18-90 подається у корпус первинного дроблення.</w:t>
      </w:r>
    </w:p>
    <w:p w:rsidR="0016622C" w:rsidRPr="00D23D98" w:rsidRDefault="0016622C" w:rsidP="003972A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>Первинне дроблення здійснюється щоковою дробаркою СМД-118. Після первинного подрібнення за допомогою стрічкового конвеєра м</w:t>
      </w:r>
      <w:r w:rsidR="00D23D98" w:rsidRPr="00D23D98">
        <w:rPr>
          <w:rFonts w:ascii="Times New Roman" w:hAnsi="Times New Roman" w:cs="Times New Roman"/>
          <w:bCs/>
          <w:sz w:val="28"/>
          <w:szCs w:val="28"/>
        </w:rPr>
        <w:t>атеріал поступає на пункт вторин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ного дроблення де процес цей виконується за допомогою конусної дробарки КСД-2200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Гр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>, з під якої конвеєром поступає на пункт третинного дроблення.</w:t>
      </w:r>
    </w:p>
    <w:p w:rsidR="0016622C" w:rsidRPr="00D23D98" w:rsidRDefault="0016622C" w:rsidP="003972A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Відбір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матеріала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за допомогою грохота TS 3.3 (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Metso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minerals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>) транспортується системою конвеєрів до корпусу розподілу щебеневої продукції (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пофракційно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>), а матері</w:t>
      </w:r>
      <w:r w:rsidR="00D23D98" w:rsidRPr="00D23D98">
        <w:rPr>
          <w:rFonts w:ascii="Times New Roman" w:hAnsi="Times New Roman" w:cs="Times New Roman"/>
          <w:bCs/>
          <w:sz w:val="28"/>
          <w:szCs w:val="28"/>
        </w:rPr>
        <w:t xml:space="preserve">ал більшого розміру поступає </w:t>
      </w:r>
      <w:r w:rsidRPr="00D23D98">
        <w:rPr>
          <w:rFonts w:ascii="Times New Roman" w:hAnsi="Times New Roman" w:cs="Times New Roman"/>
          <w:bCs/>
          <w:sz w:val="28"/>
          <w:szCs w:val="28"/>
        </w:rPr>
        <w:t>у дробарки НР-500 та КМД-2200, з під яких конвеєрами транспортується на грохот TS 4.2 (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Metso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minerals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>) та розподіляється на фракції.</w:t>
      </w:r>
    </w:p>
    <w:p w:rsidR="0016622C" w:rsidRPr="00D23D98" w:rsidRDefault="0016622C" w:rsidP="003972A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>Потрібна фракція транспортується до корпусу розподілу фракцій, а матеріал більшого розміру, який не просіявся че</w:t>
      </w:r>
      <w:r w:rsidR="00D23D98" w:rsidRPr="00D23D98">
        <w:rPr>
          <w:rFonts w:ascii="Times New Roman" w:hAnsi="Times New Roman" w:cs="Times New Roman"/>
          <w:bCs/>
          <w:sz w:val="28"/>
          <w:szCs w:val="28"/>
        </w:rPr>
        <w:t>рез грохот TS 4.2 поступає на дро</w:t>
      </w:r>
      <w:r w:rsidRPr="00D23D98">
        <w:rPr>
          <w:rFonts w:ascii="Times New Roman" w:hAnsi="Times New Roman" w:cs="Times New Roman"/>
          <w:bCs/>
          <w:sz w:val="28"/>
          <w:szCs w:val="28"/>
        </w:rPr>
        <w:t>б</w:t>
      </w:r>
      <w:r w:rsidR="00D23D98" w:rsidRPr="00D23D98">
        <w:rPr>
          <w:rFonts w:ascii="Times New Roman" w:hAnsi="Times New Roman" w:cs="Times New Roman"/>
          <w:bCs/>
          <w:sz w:val="28"/>
          <w:szCs w:val="28"/>
        </w:rPr>
        <w:t>лення четвертої стадії через ті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 самі дробарки НР-500, КМД-2200 (таким чином здійснюється замкнутий цикл). У корпусі розподілу щебеневої продукції за допомогою грохотів ГІЛ 52 (№ 5,6,7,8,9.10) щебінь (матеріал) розподіляється на потрібні фракції та транспортується на щебеневі склади.</w:t>
      </w:r>
    </w:p>
    <w:p w:rsidR="00EA5501" w:rsidRPr="00D23D98" w:rsidRDefault="00D23D98" w:rsidP="003972A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>Пісок з відсіву</w:t>
      </w:r>
      <w:r w:rsidR="0016622C" w:rsidRPr="00D23D98">
        <w:rPr>
          <w:rFonts w:ascii="Times New Roman" w:hAnsi="Times New Roman" w:cs="Times New Roman"/>
          <w:bCs/>
          <w:sz w:val="28"/>
          <w:szCs w:val="28"/>
        </w:rPr>
        <w:t xml:space="preserve"> дроблення відбирається з під грохотів та конвеєром транспортується на устаткування розподілу більш менших фракцій. Кожна з </w:t>
      </w:r>
      <w:r w:rsidR="0016622C" w:rsidRPr="00D23D98">
        <w:rPr>
          <w:rFonts w:ascii="Times New Roman" w:hAnsi="Times New Roman" w:cs="Times New Roman"/>
          <w:bCs/>
          <w:sz w:val="28"/>
          <w:szCs w:val="28"/>
        </w:rPr>
        <w:lastRenderedPageBreak/>
        <w:t>отриманих фракцій складується окремо (за допомогою конвеєрів). У зимовий період пісо</w:t>
      </w:r>
      <w:r w:rsidRPr="00D23D98">
        <w:rPr>
          <w:rFonts w:ascii="Times New Roman" w:hAnsi="Times New Roman" w:cs="Times New Roman"/>
          <w:bCs/>
          <w:sz w:val="28"/>
          <w:szCs w:val="28"/>
        </w:rPr>
        <w:t>к транспортується на склад піску</w:t>
      </w:r>
      <w:r w:rsidR="0016622C" w:rsidRPr="00D23D98">
        <w:rPr>
          <w:rFonts w:ascii="Times New Roman" w:hAnsi="Times New Roman" w:cs="Times New Roman"/>
          <w:bCs/>
          <w:sz w:val="28"/>
          <w:szCs w:val="28"/>
        </w:rPr>
        <w:t xml:space="preserve"> з відсіву.</w:t>
      </w:r>
    </w:p>
    <w:p w:rsidR="00EA5501" w:rsidRPr="00D23D98" w:rsidRDefault="00EA5501" w:rsidP="003972A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5501" w:rsidRPr="003972A7" w:rsidRDefault="00EA5501" w:rsidP="003972A7">
      <w:pPr>
        <w:pStyle w:val="ae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72A7">
        <w:rPr>
          <w:rFonts w:ascii="Times New Roman" w:hAnsi="Times New Roman" w:cs="Times New Roman"/>
          <w:b/>
          <w:sz w:val="24"/>
          <w:szCs w:val="28"/>
        </w:rPr>
        <w:t>КОРОТКА ГЕОЛОГІЧНА І ГІДРОГЕОЛОГІЧНА ХАРАКТЕРИСТИКА</w:t>
      </w:r>
    </w:p>
    <w:p w:rsidR="00EA5501" w:rsidRPr="00D23D98" w:rsidRDefault="00EA5501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У геолог</w:t>
      </w:r>
      <w:r w:rsidR="00D23D98" w:rsidRPr="00D23D98">
        <w:rPr>
          <w:rFonts w:ascii="Times New Roman" w:hAnsi="Times New Roman" w:cs="Times New Roman"/>
          <w:sz w:val="28"/>
          <w:szCs w:val="28"/>
        </w:rPr>
        <w:t>ічний структурі Коростенського (Стремигородського)</w:t>
      </w:r>
      <w:r w:rsidRPr="00D23D98">
        <w:rPr>
          <w:rFonts w:ascii="Times New Roman" w:hAnsi="Times New Roman" w:cs="Times New Roman"/>
          <w:sz w:val="28"/>
          <w:szCs w:val="28"/>
        </w:rPr>
        <w:t xml:space="preserve"> родовища приймають доля два основних комплексу порід - граніти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верхнедокембрійського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зростанню і товща осадових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відкладень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четве</w:t>
      </w:r>
      <w:r w:rsidR="00D23D98" w:rsidRPr="00D23D98">
        <w:rPr>
          <w:rFonts w:ascii="Times New Roman" w:hAnsi="Times New Roman" w:cs="Times New Roman"/>
          <w:sz w:val="28"/>
          <w:szCs w:val="28"/>
        </w:rPr>
        <w:t>ртиного</w:t>
      </w:r>
      <w:proofErr w:type="spellEnd"/>
      <w:r w:rsidR="00D23D98" w:rsidRPr="00D23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D98" w:rsidRPr="00D23D98">
        <w:rPr>
          <w:rFonts w:ascii="Times New Roman" w:hAnsi="Times New Roman" w:cs="Times New Roman"/>
          <w:sz w:val="28"/>
          <w:szCs w:val="28"/>
        </w:rPr>
        <w:t>періода</w:t>
      </w:r>
      <w:proofErr w:type="spellEnd"/>
      <w:r w:rsidR="00D23D98" w:rsidRPr="00D23D98">
        <w:rPr>
          <w:rFonts w:ascii="Times New Roman" w:hAnsi="Times New Roman" w:cs="Times New Roman"/>
          <w:sz w:val="28"/>
          <w:szCs w:val="28"/>
        </w:rPr>
        <w:t>. Поверхня масиву</w:t>
      </w:r>
      <w:r w:rsidRPr="00D23D98">
        <w:rPr>
          <w:rFonts w:ascii="Times New Roman" w:hAnsi="Times New Roman" w:cs="Times New Roman"/>
          <w:sz w:val="28"/>
          <w:szCs w:val="28"/>
        </w:rPr>
        <w:t xml:space="preserve"> граніту на площині родовища має подовжену,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куполовидну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форму, витягнуту з північного заходу на південний схід.</w:t>
      </w:r>
    </w:p>
    <w:p w:rsidR="00EA5501" w:rsidRPr="00D23D98" w:rsidRDefault="00EA5501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До південного заходу, півдню і сходу відбувається занурення гранітного масиву під</w:t>
      </w:r>
      <w:r w:rsidR="00D23D98" w:rsidRPr="00D23D98">
        <w:rPr>
          <w:rFonts w:ascii="Times New Roman" w:hAnsi="Times New Roman" w:cs="Times New Roman"/>
          <w:sz w:val="28"/>
          <w:szCs w:val="28"/>
        </w:rPr>
        <w:t xml:space="preserve"> товщу четвертинних </w:t>
      </w:r>
      <w:proofErr w:type="spellStart"/>
      <w:r w:rsidR="00D23D98" w:rsidRPr="00D23D98">
        <w:rPr>
          <w:rFonts w:ascii="Times New Roman" w:hAnsi="Times New Roman" w:cs="Times New Roman"/>
          <w:sz w:val="28"/>
          <w:szCs w:val="28"/>
        </w:rPr>
        <w:t>відкладень</w:t>
      </w:r>
      <w:proofErr w:type="spellEnd"/>
      <w:r w:rsidR="00D23D98" w:rsidRPr="00D23D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Верхнедокембрийскі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 кристалічні породи Коростенс</w:t>
      </w:r>
      <w:r w:rsidR="00D23D98" w:rsidRPr="00D23D98">
        <w:rPr>
          <w:rFonts w:ascii="Times New Roman" w:hAnsi="Times New Roman" w:cs="Times New Roman"/>
          <w:sz w:val="28"/>
          <w:szCs w:val="28"/>
        </w:rPr>
        <w:t>ь</w:t>
      </w:r>
      <w:r w:rsidRPr="00D23D98">
        <w:rPr>
          <w:rFonts w:ascii="Times New Roman" w:hAnsi="Times New Roman" w:cs="Times New Roman"/>
          <w:sz w:val="28"/>
          <w:szCs w:val="28"/>
        </w:rPr>
        <w:t xml:space="preserve">кого родовища представлені середньозернистим рожево-сірим, рожевим, іноді червоним,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профировидним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гранітом. До мінералогічного складу гранітів входить: польовий шпат, біотит, кварц,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плагиоклаз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микрокли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, рогова обманка, рудні мінерали і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акцессории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. Граніти з поверхні вивітрені або зачеплені вивітрюванням. Потужність вивітреного граніту коливається в межах 0,1-6,3 м Потужність граніту зачепленого вивітрюванням складає 0,3-4,55м. Характер поверхні граніту неспокійний. Коливання поверхні відбувається в межах абсолютних відміток +176-183 м До південного заходу спостерігається занурення глинистого масиву до відміток + 158 м. Поверхня граніту покрита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відкладеннями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четвертинного віку, місцями -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дресвой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кристалічних порід.</w:t>
      </w:r>
    </w:p>
    <w:p w:rsidR="00EA5501" w:rsidRPr="00D23D98" w:rsidRDefault="00EA5501" w:rsidP="003972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Четвертинні відкладення на родовищі представлені пісками, суглинками, глинами грантовими шарами. До розкривних порід на родовищі відносяться четвертинні відкладення ґрунтовий шар, суглинки, пісок, глини/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дресва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кристалічних порід, а також вивітрений граніт. Загальна потужність розкривних порід на род</w:t>
      </w:r>
      <w:r w:rsidR="00D23D98" w:rsidRPr="00D23D98">
        <w:rPr>
          <w:rFonts w:ascii="Times New Roman" w:hAnsi="Times New Roman" w:cs="Times New Roman"/>
          <w:sz w:val="28"/>
          <w:szCs w:val="28"/>
        </w:rPr>
        <w:t>овищі в межах контуру</w:t>
      </w:r>
      <w:r w:rsidRPr="00D23D98">
        <w:rPr>
          <w:rFonts w:ascii="Times New Roman" w:hAnsi="Times New Roman" w:cs="Times New Roman"/>
          <w:sz w:val="28"/>
          <w:szCs w:val="28"/>
        </w:rPr>
        <w:t xml:space="preserve"> підрахунку запасів коливається /0-29,5 м/.</w:t>
      </w:r>
    </w:p>
    <w:p w:rsidR="00EA5501" w:rsidRPr="00D23D98" w:rsidRDefault="00EA5501" w:rsidP="003972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На родовищі мають поширення підземні води, приурочені до четвертинних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відкладень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кристалічних порід. В основному водоносний горизонт знаходиться в тріщинуватій зоні. Глибина дзеркальних вод коливається /0-4 м/, а абсолютна відмітка рівня підземних вод коливається  в межах +177,7 - 187,8 м Пониження рівня ґрунтових вод спостерігається у напрямі пониження поверхні,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від центру родовища до його периферії. За попередніми підрахунками, загальний приплив води в кар'єрі складає 40-50 м3 за годину.</w:t>
      </w: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5501" w:rsidRPr="003972A7" w:rsidRDefault="00EA5501" w:rsidP="003972A7">
      <w:pPr>
        <w:pStyle w:val="ae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72A7">
        <w:rPr>
          <w:rFonts w:ascii="Times New Roman" w:hAnsi="Times New Roman" w:cs="Times New Roman"/>
          <w:b/>
          <w:sz w:val="24"/>
          <w:szCs w:val="28"/>
        </w:rPr>
        <w:t>ЯКІСНА ХАРАКТЕРИСТИКА КОРИСНОЇ КОПАЛИНИ</w:t>
      </w:r>
    </w:p>
    <w:p w:rsidR="00EA5501" w:rsidRPr="00D23D98" w:rsidRDefault="00EA5501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Граніти Коростенського родовища розділені на три основні різновиди: вивітрений зачеплений вивітрюванням і свіжий. З метою придатності гранітів Коростенського родовища для використання як буту і щебня були проведені лабораторні дослідження проб гранітів.</w:t>
      </w: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Результати фізико-механічних випробувань гранітів :</w:t>
      </w: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Pr="00D23D98" w:rsidRDefault="00EA5501" w:rsidP="003972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Таблиця 1.</w:t>
      </w:r>
    </w:p>
    <w:p w:rsidR="00EA5501" w:rsidRPr="00D23D98" w:rsidRDefault="00EA5501" w:rsidP="003972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Фізико-механічні властивості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3192"/>
        <w:gridCol w:w="2443"/>
      </w:tblGrid>
      <w:tr w:rsidR="00EA5501" w:rsidRPr="00D23D98" w:rsidTr="00D23D98">
        <w:trPr>
          <w:trHeight w:val="240"/>
          <w:jc w:val="center"/>
        </w:trPr>
        <w:tc>
          <w:tcPr>
            <w:tcW w:w="3936" w:type="dxa"/>
            <w:vMerge w:val="restart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gridSpan w:val="2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Г р а н і т и</w:t>
            </w:r>
          </w:p>
        </w:tc>
      </w:tr>
      <w:tr w:rsidR="00EA5501" w:rsidRPr="00D23D98" w:rsidTr="00D23D98">
        <w:trPr>
          <w:trHeight w:val="480"/>
          <w:jc w:val="center"/>
        </w:trPr>
        <w:tc>
          <w:tcPr>
            <w:tcW w:w="3936" w:type="dxa"/>
            <w:vMerge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свіжі</w:t>
            </w:r>
          </w:p>
        </w:tc>
        <w:tc>
          <w:tcPr>
            <w:tcW w:w="2443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зачеплені вивітрюванням</w:t>
            </w:r>
          </w:p>
        </w:tc>
      </w:tr>
      <w:tr w:rsidR="00EA5501" w:rsidRPr="00D23D98" w:rsidTr="00D23D98">
        <w:trPr>
          <w:trHeight w:val="345"/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1. Питома вага</w:t>
            </w: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2,56-2,69 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443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2,55-2,67 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2. Об'ємна вага</w:t>
            </w:r>
          </w:p>
        </w:tc>
        <w:tc>
          <w:tcPr>
            <w:tcW w:w="3192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2,54-2,69 т/м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443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2,44-2,62 т.м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3. Водопоглинення</w:t>
            </w:r>
          </w:p>
        </w:tc>
        <w:tc>
          <w:tcPr>
            <w:tcW w:w="3192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0,04-0,38 %</w:t>
            </w:r>
          </w:p>
        </w:tc>
        <w:tc>
          <w:tcPr>
            <w:tcW w:w="2443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0,1-1,53%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4. Пористість</w:t>
            </w:r>
          </w:p>
        </w:tc>
        <w:tc>
          <w:tcPr>
            <w:tcW w:w="3192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0,4-2,7%</w:t>
            </w:r>
          </w:p>
        </w:tc>
        <w:tc>
          <w:tcPr>
            <w:tcW w:w="2443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0,4-3,9%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5. Межа міцності при стиску  в сухому стані</w:t>
            </w:r>
          </w:p>
        </w:tc>
        <w:tc>
          <w:tcPr>
            <w:tcW w:w="3192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1774-2446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43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1059-2000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 xml:space="preserve">6. Те ж у </w:t>
            </w:r>
            <w:proofErr w:type="spellStart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водонасиченому</w:t>
            </w:r>
            <w:proofErr w:type="spellEnd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 xml:space="preserve"> стані</w:t>
            </w:r>
          </w:p>
        </w:tc>
        <w:tc>
          <w:tcPr>
            <w:tcW w:w="3192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1554-2313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43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1070-1868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</w:tbl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Pr="00D23D98" w:rsidRDefault="00EA5501" w:rsidP="003972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ab/>
        <w:t xml:space="preserve">            Таблиця 2.</w:t>
      </w:r>
    </w:p>
    <w:p w:rsidR="00EA5501" w:rsidRPr="00D23D98" w:rsidRDefault="00EA5501" w:rsidP="003972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Морозостійкість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835"/>
        <w:gridCol w:w="2800"/>
      </w:tblGrid>
      <w:tr w:rsidR="00EA5501" w:rsidRPr="00D23D98" w:rsidTr="00D23D98">
        <w:trPr>
          <w:jc w:val="center"/>
        </w:trPr>
        <w:tc>
          <w:tcPr>
            <w:tcW w:w="3936" w:type="dxa"/>
            <w:vMerge w:val="restart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gridSpan w:val="2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Г р а н і т и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  <w:vMerge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Свіжі</w:t>
            </w:r>
          </w:p>
        </w:tc>
        <w:tc>
          <w:tcPr>
            <w:tcW w:w="2800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зачеплені вивітрюванням</w:t>
            </w:r>
          </w:p>
        </w:tc>
      </w:tr>
      <w:tr w:rsidR="00EA5501" w:rsidRPr="00D23D98" w:rsidTr="00D23D98">
        <w:trPr>
          <w:jc w:val="center"/>
        </w:trPr>
        <w:tc>
          <w:tcPr>
            <w:tcW w:w="9571" w:type="dxa"/>
            <w:gridSpan w:val="3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Межа міцності :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1. Після 15-ти кратного заморожування</w:t>
            </w:r>
          </w:p>
        </w:tc>
        <w:tc>
          <w:tcPr>
            <w:tcW w:w="283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1884-2551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800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1285-1750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2. Після 25-ти кратного заморожування</w:t>
            </w:r>
          </w:p>
        </w:tc>
        <w:tc>
          <w:tcPr>
            <w:tcW w:w="283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1550-2132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800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960-1602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3. Після 35-ти кратного заморожування</w:t>
            </w:r>
          </w:p>
        </w:tc>
        <w:tc>
          <w:tcPr>
            <w:tcW w:w="283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1463-2003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800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1376-1536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EA5501" w:rsidRPr="00D23D98" w:rsidTr="00D23D98">
        <w:trPr>
          <w:jc w:val="center"/>
        </w:trPr>
        <w:tc>
          <w:tcPr>
            <w:tcW w:w="393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4. Після 50-ти кратного заморожування</w:t>
            </w:r>
          </w:p>
        </w:tc>
        <w:tc>
          <w:tcPr>
            <w:tcW w:w="283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1562-1726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800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1502 кг/см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EA5501" w:rsidRPr="00D23D98" w:rsidTr="00D23D98">
        <w:trPr>
          <w:jc w:val="center"/>
        </w:trPr>
        <w:tc>
          <w:tcPr>
            <w:tcW w:w="9571" w:type="dxa"/>
            <w:gridSpan w:val="3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Коефіцієнт морозостійкості 0,75-0,96</w:t>
            </w:r>
          </w:p>
        </w:tc>
      </w:tr>
    </w:tbl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ab/>
      </w: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972A7" w:rsidRDefault="003972A7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972A7" w:rsidRPr="00D23D98" w:rsidRDefault="003972A7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501" w:rsidRPr="00D23D98" w:rsidRDefault="00EA5501" w:rsidP="003972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ab/>
        <w:t xml:space="preserve">        Таблиця 3.</w:t>
      </w:r>
    </w:p>
    <w:p w:rsidR="00EA5501" w:rsidRPr="00D23D98" w:rsidRDefault="00EA5501" w:rsidP="003972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Хімічний склад гранітів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Компоненти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Вміст, %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SіО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72.40 - 73.96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Аl</w:t>
            </w:r>
            <w:proofErr w:type="spellEnd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13.66 -14.19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Fе</w:t>
            </w:r>
            <w:proofErr w:type="spellEnd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2.09 - 3.28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ТіО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0.0.5 - 1.45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Сао</w:t>
            </w:r>
            <w:proofErr w:type="spellEnd"/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0.0.32 - 0.36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МgО</w:t>
            </w:r>
            <w:proofErr w:type="spellEnd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SО</w:t>
            </w:r>
            <w:r w:rsidRPr="00D23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К2О</w:t>
            </w:r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5,25 - 5,42</w:t>
            </w:r>
          </w:p>
        </w:tc>
      </w:tr>
      <w:tr w:rsidR="00EA5501" w:rsidRPr="00D23D98" w:rsidTr="00D23D98">
        <w:trPr>
          <w:jc w:val="center"/>
        </w:trPr>
        <w:tc>
          <w:tcPr>
            <w:tcW w:w="4785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NаО</w:t>
            </w:r>
            <w:proofErr w:type="spellEnd"/>
          </w:p>
        </w:tc>
        <w:tc>
          <w:tcPr>
            <w:tcW w:w="4786" w:type="dxa"/>
          </w:tcPr>
          <w:p w:rsidR="00EA5501" w:rsidRPr="00D23D98" w:rsidRDefault="00EA5501" w:rsidP="003972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z w:val="28"/>
                <w:szCs w:val="28"/>
              </w:rPr>
              <w:t>2.78 - 3.28</w:t>
            </w:r>
          </w:p>
        </w:tc>
      </w:tr>
    </w:tbl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A5501" w:rsidRPr="00D23D98" w:rsidRDefault="00EA5501" w:rsidP="003972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Згідно з усіма вищенаведеними властивостями,  граніти Коростенського родовища відносяться до V категорії по ЕНИР або до Х категорії по класифікації 1944 р., коефіцієнт міцності  10-16. Результати випробувань Коростенс</w:t>
      </w:r>
      <w:r w:rsidR="00D23D98" w:rsidRPr="00D23D98">
        <w:rPr>
          <w:rFonts w:ascii="Times New Roman" w:hAnsi="Times New Roman" w:cs="Times New Roman"/>
          <w:sz w:val="28"/>
          <w:szCs w:val="28"/>
        </w:rPr>
        <w:t>ь</w:t>
      </w:r>
      <w:r w:rsidRPr="00D23D98">
        <w:rPr>
          <w:rFonts w:ascii="Times New Roman" w:hAnsi="Times New Roman" w:cs="Times New Roman"/>
          <w:sz w:val="28"/>
          <w:szCs w:val="28"/>
        </w:rPr>
        <w:t xml:space="preserve">ких гранітів показують, що вони придатні як сировина для виробництва буту і </w:t>
      </w:r>
      <w:r w:rsidR="00D23D98" w:rsidRPr="00D23D98">
        <w:rPr>
          <w:rFonts w:ascii="Times New Roman" w:hAnsi="Times New Roman" w:cs="Times New Roman"/>
          <w:sz w:val="28"/>
          <w:szCs w:val="28"/>
        </w:rPr>
        <w:t>щебню</w:t>
      </w:r>
      <w:r w:rsidRPr="00D23D98">
        <w:rPr>
          <w:rFonts w:ascii="Times New Roman" w:hAnsi="Times New Roman" w:cs="Times New Roman"/>
          <w:sz w:val="28"/>
          <w:szCs w:val="28"/>
        </w:rPr>
        <w:t xml:space="preserve"> згідно діючих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ГОСТів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8267-82,22132-76,8736-77, ТУ  21 УРСР 142-78.</w:t>
      </w: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3D98" w:rsidRPr="003972A7" w:rsidRDefault="00D23D98" w:rsidP="003972A7">
      <w:pPr>
        <w:pStyle w:val="ae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72A7">
        <w:rPr>
          <w:rFonts w:ascii="Times New Roman" w:hAnsi="Times New Roman" w:cs="Times New Roman"/>
          <w:b/>
          <w:sz w:val="24"/>
          <w:szCs w:val="28"/>
        </w:rPr>
        <w:t>НОВІ ГЕОЛОГІЧНІ ДАНІ РОДОВИЩА</w:t>
      </w:r>
    </w:p>
    <w:p w:rsidR="00D23D98" w:rsidRPr="00D23D98" w:rsidRDefault="00D23D98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Відповідно до технічного завдання ОПО "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Житомирнерудпром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>" на Коростенському (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Стремигородскому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) родовищі граніту в 1977-1979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р.р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>. проведені геологорозвідувальні роботи комплексної геологічної експедиції "Укргеолстром".</w:t>
      </w:r>
    </w:p>
    <w:p w:rsidR="00D23D98" w:rsidRPr="00D23D98" w:rsidRDefault="00D23D98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Цільовим призначенням проведених робіт була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дорозвідка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родовища на глибину для забезпечення підприємства запасами. Коростенське родовище відкрите українським геологічним управлінням в 1938 р. Порівняно інтенсивна розробка родовища і виробництва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щебеня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у великих,  поступово наростаючих кількостях, ведеться з 1948 р. Добуток корисної копалини здійснюється кар'єрним способом. Відповідно до технічного завдання,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дорозвідка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здійснена в глибину до відмітки +</w:t>
      </w:r>
      <w:smartTag w:uri="urn:schemas-microsoft-com:office:smarttags" w:element="metricconverter">
        <w:smartTagPr>
          <w:attr w:name="ProductID" w:val="81 м"/>
        </w:smartTagPr>
        <w:r w:rsidRPr="00D23D98">
          <w:rPr>
            <w:rFonts w:ascii="Times New Roman" w:hAnsi="Times New Roman" w:cs="Times New Roman"/>
            <w:sz w:val="28"/>
            <w:szCs w:val="28"/>
          </w:rPr>
          <w:t>81 м</w:t>
        </w:r>
      </w:smartTag>
      <w:r w:rsidRPr="00D23D98">
        <w:rPr>
          <w:rFonts w:ascii="Times New Roman" w:hAnsi="Times New Roman" w:cs="Times New Roman"/>
          <w:sz w:val="28"/>
          <w:szCs w:val="28"/>
        </w:rPr>
        <w:t xml:space="preserve"> /на глибину до 100 м/. Вибір ділянки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дорозвідка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зроблений з урахуванням наявності на прилеглих площах орних земель і обмеженої можливості подальшого розширення родовища. </w:t>
      </w:r>
    </w:p>
    <w:p w:rsidR="00D23D98" w:rsidRPr="00D23D98" w:rsidRDefault="00D23D98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Проведення геологорозвідувальних робіт здійснювалося в контурах існуючих земельного і гірничого відводів.</w:t>
      </w:r>
    </w:p>
    <w:p w:rsidR="00D23D98" w:rsidRPr="00D23D98" w:rsidRDefault="00D23D98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В результаті виконання польових  і камеральних робіт зроблений підрахунок запасів граніту на Коростенському родовищі за станом на 1 січня 1979 р. Сумарно-геологічні запаси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буто-щебенувої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сировини по категоріях </w:t>
      </w:r>
      <w:r w:rsidR="003972A7">
        <w:rPr>
          <w:rFonts w:ascii="Times New Roman" w:hAnsi="Times New Roman" w:cs="Times New Roman"/>
          <w:sz w:val="28"/>
          <w:szCs w:val="28"/>
        </w:rPr>
        <w:t xml:space="preserve">А+В+С1 склали 32.4 млн. </w:t>
      </w:r>
      <w:proofErr w:type="spellStart"/>
      <w:r w:rsidR="003972A7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="003972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3D98" w:rsidRPr="00D23D98" w:rsidRDefault="00D23D98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З урахуванням втрат загальні балансові запаси граніту за станом на 1.01.79 р. по категоріях склали: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Кат.А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   -   7162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3D98">
        <w:rPr>
          <w:rFonts w:ascii="Times New Roman" w:hAnsi="Times New Roman" w:cs="Times New Roman"/>
          <w:sz w:val="28"/>
          <w:szCs w:val="28"/>
        </w:rPr>
        <w:lastRenderedPageBreak/>
        <w:t>Кат.В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   -   7705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3D98">
        <w:rPr>
          <w:rFonts w:ascii="Times New Roman" w:hAnsi="Times New Roman" w:cs="Times New Roman"/>
          <w:sz w:val="28"/>
          <w:szCs w:val="28"/>
          <w:u w:val="single"/>
        </w:rPr>
        <w:t>Кат.С1  - 10268 т. м</w:t>
      </w:r>
      <w:r w:rsidRPr="00D23D98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Кат.А+В+С1 - 25135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З урахуванням видобування і проведеною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дорозвідкою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2007г. ВК "Геолог"  загальні балансові запаси граніту за станом на 1.01. 13р. по категоріях склали:                                                                                        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Кат. А  - 773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Кат. В   - 3782,9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3D98">
        <w:rPr>
          <w:rFonts w:ascii="Times New Roman" w:hAnsi="Times New Roman" w:cs="Times New Roman"/>
          <w:sz w:val="28"/>
          <w:szCs w:val="28"/>
          <w:u w:val="single"/>
        </w:rPr>
        <w:t>Кат С1   - 8042,5 м</w:t>
      </w:r>
      <w:r w:rsidRPr="00D23D98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23D98">
        <w:rPr>
          <w:rFonts w:ascii="Times New Roman" w:hAnsi="Times New Roman" w:cs="Times New Roman"/>
          <w:sz w:val="28"/>
          <w:szCs w:val="28"/>
        </w:rPr>
        <w:t>Кат. А+В+С1 – 12598,4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З урахуванням видобування і проведеною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дорозвідкою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2013г. ВК "Геолог"  загальні балансові запаси граніту за станом на 1.01. 15р. по категоріях склали:                                                                                        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Кат. А  - 5270,2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Кат. В   - 8925,3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Кат. А+В – 14195,5 т. м</w:t>
      </w:r>
      <w:r w:rsidRPr="00D23D98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Забалансові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- 3279 т.м3</w:t>
      </w:r>
    </w:p>
    <w:p w:rsidR="00EA5501" w:rsidRPr="00D23D98" w:rsidRDefault="00EA5501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3D98" w:rsidRPr="003972A7" w:rsidRDefault="00D23D98" w:rsidP="003972A7">
      <w:pPr>
        <w:pStyle w:val="ae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23D98">
        <w:rPr>
          <w:rFonts w:ascii="Times New Roman" w:hAnsi="Times New Roman" w:cs="Times New Roman"/>
          <w:b/>
          <w:sz w:val="24"/>
          <w:szCs w:val="28"/>
        </w:rPr>
        <w:t>ГІРНИЧИЙ І ЗЕМЕЛЬНИЙ ВІДВОДИ</w:t>
      </w:r>
    </w:p>
    <w:p w:rsidR="00D23D98" w:rsidRPr="00D23D98" w:rsidRDefault="00D23D98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>Загальна площа землекористування ПАТ "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Коростенский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кар'єр" по земельно-облікових документах складає </w:t>
      </w:r>
      <w:smartTag w:uri="urn:schemas-microsoft-com:office:smarttags" w:element="metricconverter">
        <w:smartTagPr>
          <w:attr w:name="ProductID" w:val="114,92 га"/>
        </w:smartTagPr>
        <w:r w:rsidRPr="00D23D98">
          <w:rPr>
            <w:rFonts w:ascii="Times New Roman" w:hAnsi="Times New Roman" w:cs="Times New Roman"/>
            <w:sz w:val="28"/>
            <w:szCs w:val="28"/>
          </w:rPr>
          <w:t>114,92 га</w:t>
        </w:r>
      </w:smartTag>
      <w:r w:rsidRPr="00D23D9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. земель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Коростенского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відгодівельного радгоспу </w:t>
      </w:r>
      <w:smartTag w:uri="urn:schemas-microsoft-com:office:smarttags" w:element="metricconverter">
        <w:smartTagPr>
          <w:attr w:name="ProductID" w:val="26,92 га"/>
        </w:smartTagPr>
        <w:r w:rsidRPr="00D23D98">
          <w:rPr>
            <w:rFonts w:ascii="Times New Roman" w:hAnsi="Times New Roman" w:cs="Times New Roman"/>
            <w:sz w:val="28"/>
            <w:szCs w:val="28"/>
          </w:rPr>
          <w:t>26,92 га</w:t>
        </w:r>
      </w:smartTag>
      <w:r w:rsidRPr="00D23D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держакт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№26 від 15.11.96 р., земель м. Коростень - </w:t>
      </w:r>
      <w:smartTag w:uri="urn:schemas-microsoft-com:office:smarttags" w:element="metricconverter">
        <w:smartTagPr>
          <w:attr w:name="ProductID" w:val="88,0 га"/>
        </w:smartTagPr>
        <w:r w:rsidRPr="00D23D98">
          <w:rPr>
            <w:rFonts w:ascii="Times New Roman" w:hAnsi="Times New Roman" w:cs="Times New Roman"/>
            <w:sz w:val="28"/>
            <w:szCs w:val="28"/>
          </w:rPr>
          <w:t>88,0 га</w:t>
        </w:r>
      </w:smartTag>
      <w:r w:rsidRPr="00D23D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держакт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№ 57 від 15.01.97 р./</w:t>
      </w:r>
    </w:p>
    <w:p w:rsidR="00D23D98" w:rsidRPr="00D23D98" w:rsidRDefault="00D23D98" w:rsidP="003972A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Спеціальний дозвіл на користування надрами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Коростенского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Стремигородского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>)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родовища гранітів видана Держкомгеології України за   № 634 видана 16.09.96 р. </w:t>
      </w:r>
    </w:p>
    <w:p w:rsidR="00D23D98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Термін дії продовжено до 16.09.2032р. Акт гірничого відводу №2241 виданий Державною службою гірничого нагляду та промислової безпеки України 17.09.2013р. Термін чинності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акта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до 16.09.2032р</w:t>
      </w:r>
    </w:p>
    <w:p w:rsidR="0016622C" w:rsidRPr="00D23D98" w:rsidRDefault="00D23D98" w:rsidP="003972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Площа порушених земель гірничими роботами за станом на 1.10.16 р. </w:t>
      </w:r>
      <w:smartTag w:uri="urn:schemas-microsoft-com:office:smarttags" w:element="metricconverter">
        <w:smartTagPr>
          <w:attr w:name="ProductID" w:val="43.4 га"/>
        </w:smartTagPr>
        <w:r w:rsidRPr="00D23D98">
          <w:rPr>
            <w:rFonts w:ascii="Times New Roman" w:hAnsi="Times New Roman" w:cs="Times New Roman"/>
            <w:sz w:val="28"/>
            <w:szCs w:val="28"/>
          </w:rPr>
          <w:t>43.4 га</w:t>
        </w:r>
      </w:smartTag>
      <w:r w:rsidRPr="00D23D98">
        <w:rPr>
          <w:rFonts w:ascii="Times New Roman" w:hAnsi="Times New Roman" w:cs="Times New Roman"/>
          <w:sz w:val="28"/>
          <w:szCs w:val="28"/>
        </w:rPr>
        <w:t>.</w:t>
      </w:r>
    </w:p>
    <w:p w:rsidR="003972A7" w:rsidRDefault="003972A7" w:rsidP="003972A7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622C" w:rsidRPr="003972A7" w:rsidRDefault="0016622C" w:rsidP="003972A7">
      <w:pPr>
        <w:pStyle w:val="ae"/>
        <w:numPr>
          <w:ilvl w:val="0"/>
          <w:numId w:val="3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972A7">
        <w:rPr>
          <w:rFonts w:ascii="Times New Roman" w:hAnsi="Times New Roman" w:cs="Times New Roman"/>
          <w:b/>
          <w:sz w:val="26"/>
          <w:szCs w:val="26"/>
        </w:rPr>
        <w:t>ПОБУДОВА СЕЙСМОНЕБЕЗПЕЧНИХ ЗОН В УМОВАХ «ПАТ КОРОСТЕНСЬКИЙ КАР'ЄР»</w:t>
      </w:r>
    </w:p>
    <w:p w:rsidR="009F461C" w:rsidRPr="00D23D98" w:rsidRDefault="009F461C" w:rsidP="003972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eastAsia="Calibri" w:hAnsi="Times New Roman" w:cs="Times New Roman"/>
          <w:sz w:val="28"/>
          <w:szCs w:val="28"/>
        </w:rPr>
        <w:t xml:space="preserve">Дослідження </w:t>
      </w:r>
      <w:r w:rsidRPr="00D23D98">
        <w:rPr>
          <w:rFonts w:ascii="Times New Roman" w:hAnsi="Times New Roman" w:cs="Times New Roman"/>
          <w:sz w:val="28"/>
          <w:szCs w:val="28"/>
        </w:rPr>
        <w:t>для умов «ПАТ Коростенський кар'єр»</w:t>
      </w:r>
      <w:r w:rsidRPr="00D23D98">
        <w:rPr>
          <w:rFonts w:ascii="Times New Roman" w:eastAsia="Calibri" w:hAnsi="Times New Roman" w:cs="Times New Roman"/>
          <w:sz w:val="28"/>
          <w:szCs w:val="28"/>
        </w:rPr>
        <w:t xml:space="preserve"> проводились </w:t>
      </w:r>
      <w:r w:rsidRPr="00D23D98">
        <w:rPr>
          <w:rFonts w:ascii="Times New Roman" w:hAnsi="Times New Roman" w:cs="Times New Roman"/>
          <w:sz w:val="28"/>
          <w:szCs w:val="28"/>
        </w:rPr>
        <w:t xml:space="preserve">на основі методу проф.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В.Бойко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щодо побудови сейсмонебезпечних зон. </w:t>
      </w:r>
      <w:r w:rsidRPr="00D23D98">
        <w:rPr>
          <w:rFonts w:ascii="Times New Roman" w:hAnsi="Times New Roman" w:cs="Times New Roman"/>
          <w:bCs/>
          <w:sz w:val="28"/>
          <w:szCs w:val="28"/>
        </w:rPr>
        <w:t>Виходячи з реальних геолого-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тріщиноватих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особливостей місцевості, в яких знаходиться територія кар’єрного поля </w:t>
      </w:r>
      <w:r w:rsidRPr="00D23D98">
        <w:rPr>
          <w:rFonts w:ascii="Times New Roman" w:hAnsi="Times New Roman" w:cs="Times New Roman"/>
          <w:sz w:val="28"/>
          <w:szCs w:val="28"/>
        </w:rPr>
        <w:t>«ПАТ Коростенський кар'єр» і прилеглі до неї об’єкти, що охороняються,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подальші аналітичні дослідження полягають у виборі математичної моделі середовища та визначення характеру розподілу, в ній, хвильового поля від вибуху циліндричного заряду вибухової речовини.</w:t>
      </w:r>
    </w:p>
    <w:p w:rsidR="009F461C" w:rsidRPr="00D23D98" w:rsidRDefault="009F461C" w:rsidP="003972A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В процесі виконання досліджень було встановлено, що середовище кар’єрного поля є не однорідною в якому є система паралельних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тріщин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з заповнювачем. При цьому, </w:t>
      </w:r>
      <w:r w:rsidRPr="00D23D98">
        <w:rPr>
          <w:rFonts w:ascii="Times New Roman" w:hAnsi="Times New Roman" w:cs="Times New Roman"/>
          <w:sz w:val="28"/>
          <w:szCs w:val="28"/>
        </w:rPr>
        <w:t xml:space="preserve">на основі методу проф.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В.Бойко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>, побудова еліптичних сейсмонебезпечних зон ґрунтувалась на тому, що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 сейсмічна хвиля, яка буде </w:t>
      </w:r>
      <w:r w:rsidRPr="00D23D9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утворюватися від короткоуповільненого вибуху системи вертикально свердловинних зарядів ВР, з великою віссю орієнтованою паралельна площині тріщини. При цьому в роботі використовували також цей </w:t>
      </w:r>
      <w:r w:rsidRPr="00D23D98">
        <w:rPr>
          <w:rFonts w:ascii="Times New Roman" w:hAnsi="Times New Roman" w:cs="Times New Roman"/>
          <w:sz w:val="28"/>
          <w:szCs w:val="28"/>
        </w:rPr>
        <w:t>методу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для визначення швидкості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сейсмоколивань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паралельно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U</w:t>
      </w:r>
      <w:r w:rsidRPr="00D23D98">
        <w:rPr>
          <w:rFonts w:ascii="Times New Roman" w:hAnsi="Times New Roman" w:cs="Times New Roman"/>
          <w:bCs/>
          <w:sz w:val="28"/>
          <w:szCs w:val="28"/>
          <w:vertAlign w:val="subscript"/>
        </w:rPr>
        <w:t>пар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та перпендикулярно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U</w:t>
      </w:r>
      <w:r w:rsidRPr="00D23D98">
        <w:rPr>
          <w:rFonts w:ascii="Times New Roman" w:hAnsi="Times New Roman" w:cs="Times New Roman"/>
          <w:bCs/>
          <w:sz w:val="28"/>
          <w:szCs w:val="28"/>
          <w:vertAlign w:val="subscript"/>
        </w:rPr>
        <w:t>пер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основній системі тріщинуватості. У середовищі кар’єрного поля </w:t>
      </w:r>
      <w:r w:rsidRPr="00D23D98">
        <w:rPr>
          <w:rFonts w:ascii="Times New Roman" w:hAnsi="Times New Roman" w:cs="Times New Roman"/>
          <w:sz w:val="28"/>
          <w:szCs w:val="28"/>
        </w:rPr>
        <w:t xml:space="preserve">в умовах «ПАТ Коростенський кар'єр» 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з паралельної системою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тріщин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, зі збільшенням відстані від епіцентру вибуху, сейсмічна хвиля постійно буде втрачати свою інтенсивність за рахунок перетину більшої кількості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тріщин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. Закономірність зміни параметрів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сейсмоанізотропії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властивостей масиву за напрямками  характеризується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ізосейсмами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отриманими в «ПАТ Коростенський кар'єр» гірського масиву, в якому розташований кар'єр і прилегла до нього зона охоронних об'єктів. Розміри еліпса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ізосейсм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>, залежать від приведеної до відстані маси заряду</w:t>
      </w:r>
      <w:r w:rsidRPr="00D23D98">
        <w:rPr>
          <w:rFonts w:ascii="Times New Roman" w:hAnsi="Times New Roman" w:cs="Times New Roman"/>
          <w:bCs/>
          <w:sz w:val="28"/>
          <w:szCs w:val="28"/>
        </w:rPr>
        <w:object w:dxaOrig="8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5.5pt" o:ole="">
            <v:imagedata r:id="rId6" o:title=""/>
          </v:shape>
          <o:OLEObject Type="Embed" ProgID="Equation.3" ShapeID="_x0000_i1025" DrawAspect="Content" ObjectID="_1556793152" r:id="rId7"/>
        </w:object>
      </w:r>
      <w:r w:rsidRPr="00D23D98">
        <w:rPr>
          <w:rFonts w:ascii="Times New Roman" w:hAnsi="Times New Roman" w:cs="Times New Roman"/>
          <w:bCs/>
          <w:sz w:val="28"/>
          <w:szCs w:val="28"/>
        </w:rPr>
        <w:t>.</w:t>
      </w:r>
    </w:p>
    <w:p w:rsidR="009F461C" w:rsidRPr="00D23D98" w:rsidRDefault="009F461C" w:rsidP="003972A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3D98">
        <w:rPr>
          <w:rFonts w:ascii="Times New Roman" w:hAnsi="Times New Roman" w:cs="Times New Roman"/>
          <w:sz w:val="28"/>
          <w:szCs w:val="28"/>
        </w:rPr>
        <w:t xml:space="preserve">На основі методу проф. </w:t>
      </w:r>
      <w:proofErr w:type="spellStart"/>
      <w:r w:rsidRPr="00D23D98">
        <w:rPr>
          <w:rFonts w:ascii="Times New Roman" w:hAnsi="Times New Roman" w:cs="Times New Roman"/>
          <w:sz w:val="28"/>
          <w:szCs w:val="28"/>
        </w:rPr>
        <w:t>В.Бойко</w:t>
      </w:r>
      <w:proofErr w:type="spellEnd"/>
      <w:r w:rsidRPr="00D23D98">
        <w:rPr>
          <w:rFonts w:ascii="Times New Roman" w:hAnsi="Times New Roman" w:cs="Times New Roman"/>
          <w:sz w:val="28"/>
          <w:szCs w:val="28"/>
        </w:rPr>
        <w:t xml:space="preserve"> для побудови еліптичних сейсмонебезпечних зон в роботі в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 xml:space="preserve">икористовуючи емпіричні залежності 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швидкості сейсмічних коливань від 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 xml:space="preserve">приведеної до заряду </w:t>
      </w:r>
      <w:r w:rsidRPr="00D23D98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 xml:space="preserve"> (кг) відстані </w:t>
      </w:r>
      <w:r w:rsidRPr="00D23D98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 xml:space="preserve"> (м) паралельно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U</w:t>
      </w:r>
      <w:r w:rsidRPr="00D23D98">
        <w:rPr>
          <w:rFonts w:ascii="Times New Roman" w:hAnsi="Times New Roman" w:cs="Times New Roman"/>
          <w:bCs/>
          <w:sz w:val="28"/>
          <w:szCs w:val="28"/>
          <w:vertAlign w:val="subscript"/>
        </w:rPr>
        <w:t>пар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та перпендикулярно </w:t>
      </w:r>
      <w:proofErr w:type="spellStart"/>
      <w:r w:rsidRPr="00D23D98">
        <w:rPr>
          <w:rFonts w:ascii="Times New Roman" w:hAnsi="Times New Roman" w:cs="Times New Roman"/>
          <w:bCs/>
          <w:sz w:val="28"/>
          <w:szCs w:val="28"/>
        </w:rPr>
        <w:t>U</w:t>
      </w:r>
      <w:r w:rsidRPr="00D23D98">
        <w:rPr>
          <w:rFonts w:ascii="Times New Roman" w:hAnsi="Times New Roman" w:cs="Times New Roman"/>
          <w:bCs/>
          <w:sz w:val="28"/>
          <w:szCs w:val="28"/>
          <w:vertAlign w:val="subscript"/>
        </w:rPr>
        <w:t>пер</w:t>
      </w:r>
      <w:proofErr w:type="spellEnd"/>
      <w:r w:rsidRPr="00D23D98">
        <w:rPr>
          <w:rFonts w:ascii="Times New Roman" w:hAnsi="Times New Roman" w:cs="Times New Roman"/>
          <w:bCs/>
          <w:sz w:val="28"/>
          <w:szCs w:val="28"/>
        </w:rPr>
        <w:t xml:space="preserve"> основній системі тріщинуватості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 xml:space="preserve"> представлена степеневою регресією виду</w:t>
      </w:r>
    </w:p>
    <w:p w:rsidR="009F461C" w:rsidRPr="00D23D98" w:rsidRDefault="009F461C" w:rsidP="003972A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461C" w:rsidRPr="00D23D98" w:rsidRDefault="009F461C" w:rsidP="00397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position w:val="-16"/>
          <w:sz w:val="28"/>
          <w:szCs w:val="28"/>
        </w:rPr>
        <w:object w:dxaOrig="2260" w:dyaOrig="480">
          <v:shape id="_x0000_i1026" type="#_x0000_t75" style="width:117.75pt;height:26.25pt" o:ole="">
            <v:imagedata r:id="rId8" o:title=""/>
          </v:shape>
          <o:OLEObject Type="Embed" ProgID="Equation.DSMT4" ShapeID="_x0000_i1026" DrawAspect="Content" ObjectID="_1556793153" r:id="rId9"/>
        </w:objec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 , см/с </w:t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  <w:t xml:space="preserve">  (1)</w:t>
      </w:r>
    </w:p>
    <w:p w:rsidR="009F461C" w:rsidRPr="00D23D98" w:rsidRDefault="009F461C" w:rsidP="00397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3D98">
        <w:rPr>
          <w:rFonts w:ascii="Times New Roman" w:hAnsi="Times New Roman" w:cs="Times New Roman"/>
          <w:bCs/>
          <w:position w:val="-16"/>
          <w:sz w:val="28"/>
          <w:szCs w:val="28"/>
        </w:rPr>
        <w:object w:dxaOrig="2140" w:dyaOrig="480">
          <v:shape id="_x0000_i1027" type="#_x0000_t75" style="width:111pt;height:26.25pt" o:ole="">
            <v:imagedata r:id="rId10" o:title=""/>
          </v:shape>
          <o:OLEObject Type="Embed" ProgID="Equation.DSMT4" ShapeID="_x0000_i1027" DrawAspect="Content" ObjectID="_1556793154" r:id="rId11"/>
        </w:objec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, см/с </w:t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</w:r>
      <w:r w:rsidRPr="00D23D98">
        <w:rPr>
          <w:rFonts w:ascii="Times New Roman" w:hAnsi="Times New Roman" w:cs="Times New Roman"/>
          <w:bCs/>
          <w:sz w:val="28"/>
          <w:szCs w:val="28"/>
        </w:rPr>
        <w:tab/>
        <w:t xml:space="preserve">  (2)</w:t>
      </w:r>
    </w:p>
    <w:p w:rsidR="009F461C" w:rsidRPr="00D23D98" w:rsidRDefault="009F461C" w:rsidP="003972A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Де  </w:t>
      </w:r>
      <w:r w:rsidRPr="00D23D98">
        <w:rPr>
          <w:rFonts w:ascii="Times New Roman" w:hAnsi="Times New Roman" w:cs="Times New Roman"/>
          <w:bCs/>
          <w:i/>
          <w:sz w:val="28"/>
          <w:szCs w:val="28"/>
        </w:rPr>
        <w:t xml:space="preserve">U– 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>швидкість сейсмічних коливань</w:t>
      </w:r>
      <w:r w:rsidRPr="00D23D98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D23D98">
        <w:rPr>
          <w:rFonts w:ascii="Times New Roman" w:hAnsi="Times New Roman" w:cs="Times New Roman"/>
          <w:bCs/>
          <w:sz w:val="28"/>
          <w:szCs w:val="28"/>
        </w:rPr>
        <w:t>см/с</w:t>
      </w:r>
      <w:r w:rsidRPr="00D23D98">
        <w:rPr>
          <w:rFonts w:ascii="Times New Roman" w:hAnsi="Times New Roman" w:cs="Times New Roman"/>
          <w:bCs/>
          <w:i/>
          <w:sz w:val="28"/>
          <w:szCs w:val="28"/>
        </w:rPr>
        <w:t xml:space="preserve">; </w:t>
      </w:r>
      <w:r w:rsidRPr="00D23D98">
        <w:rPr>
          <w:rFonts w:ascii="Times New Roman" w:hAnsi="Times New Roman" w:cs="Times New Roman"/>
          <w:bCs/>
          <w:sz w:val="28"/>
          <w:szCs w:val="28"/>
        </w:rPr>
        <w:object w:dxaOrig="880" w:dyaOrig="460">
          <v:shape id="_x0000_i1028" type="#_x0000_t75" style="width:45.75pt;height:25.5pt" o:ole="">
            <v:imagedata r:id="rId6" o:title=""/>
          </v:shape>
          <o:OLEObject Type="Embed" ProgID="Equation.3" ShapeID="_x0000_i1028" DrawAspect="Content" ObjectID="_1556793155" r:id="rId12"/>
        </w:object>
      </w:r>
      <w:r w:rsidRPr="00D23D98">
        <w:rPr>
          <w:rFonts w:ascii="Times New Roman" w:hAnsi="Times New Roman" w:cs="Times New Roman"/>
          <w:bCs/>
          <w:sz w:val="28"/>
          <w:szCs w:val="28"/>
        </w:rPr>
        <w:t>–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 xml:space="preserve"> приведена до заряду відстань, м/кг</w:t>
      </w:r>
      <w:r w:rsidRPr="00D23D98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1/3</w:t>
      </w:r>
      <w:r w:rsidRPr="00D23D98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9238"/>
        <w:gridCol w:w="543"/>
      </w:tblGrid>
      <w:tr w:rsidR="002F60EE" w:rsidRPr="00D23D98" w:rsidTr="002F60EE">
        <w:trPr>
          <w:trHeight w:val="20"/>
        </w:trPr>
        <w:tc>
          <w:tcPr>
            <w:tcW w:w="9498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object w:dxaOrig="1935" w:dyaOrig="375">
                <v:shape id="_x0000_i1029" type="#_x0000_t75" style="width:96.75pt;height:18.75pt" o:ole="" fillcolor="window">
                  <v:imagedata r:id="rId13" o:title=""/>
                </v:shape>
                <o:OLEObject Type="Embed" ProgID="Equation.3" ShapeID="_x0000_i1029" DrawAspect="Content" ObjectID="_1556793156" r:id="rId14"/>
              </w:object>
            </w:r>
            <w:r w:rsidRPr="00D23D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;    </w:t>
            </w:r>
            <w:r w:rsidRPr="00D23D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object w:dxaOrig="2025" w:dyaOrig="375">
                <v:shape id="_x0000_i1030" type="#_x0000_t75" style="width:101.25pt;height:18.75pt" o:ole="" fillcolor="window">
                  <v:imagedata r:id="rId15" o:title=""/>
                </v:shape>
                <o:OLEObject Type="Embed" ProgID="Equation.3" ShapeID="_x0000_i1030" DrawAspect="Content" ObjectID="_1556793157" r:id="rId16"/>
              </w:object>
            </w:r>
            <w:r w:rsidRPr="00D23D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,</w:t>
            </w:r>
          </w:p>
        </w:tc>
        <w:tc>
          <w:tcPr>
            <w:tcW w:w="283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(3)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F461C" w:rsidRPr="00D23D98" w:rsidRDefault="009F461C" w:rsidP="003972A7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де   </w:t>
      </w:r>
      <w:proofErr w:type="spellStart"/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>K</w:t>
      </w:r>
      <w:r w:rsidRPr="00D23D98">
        <w:rPr>
          <w:rFonts w:ascii="Times New Roman" w:hAnsi="Times New Roman" w:cs="Times New Roman"/>
          <w:i/>
          <w:snapToGrid w:val="0"/>
          <w:sz w:val="28"/>
          <w:szCs w:val="28"/>
          <w:vertAlign w:val="subscript"/>
        </w:rPr>
        <w:t>y</w:t>
      </w:r>
      <w:proofErr w:type="spellEnd"/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– коефіцієнт, який враховує умови вибуху; </w:t>
      </w:r>
    </w:p>
    <w:p w:rsidR="009F461C" w:rsidRPr="00D23D98" w:rsidRDefault="009F461C" w:rsidP="003972A7">
      <w:pPr>
        <w:spacing w:after="0"/>
        <w:ind w:left="993" w:hanging="567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>K</w:t>
      </w:r>
      <w:r w:rsidRPr="00D23D98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1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>,</w:t>
      </w: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K</w:t>
      </w:r>
      <w:r w:rsidRPr="00D23D98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2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– коефіцієнти пропорційності відповідно паралельному та перпендикулярному простяганню розкритих </w:t>
      </w:r>
      <w:proofErr w:type="spellStart"/>
      <w:r w:rsidRPr="00D23D98">
        <w:rPr>
          <w:rFonts w:ascii="Times New Roman" w:hAnsi="Times New Roman" w:cs="Times New Roman"/>
          <w:snapToGrid w:val="0"/>
          <w:sz w:val="28"/>
          <w:szCs w:val="28"/>
        </w:rPr>
        <w:t>тріщин</w:t>
      </w:r>
      <w:proofErr w:type="spellEnd"/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(1300,160); </w:t>
      </w:r>
    </w:p>
    <w:p w:rsidR="009F461C" w:rsidRPr="00D23D98" w:rsidRDefault="009F461C" w:rsidP="003972A7">
      <w:pPr>
        <w:spacing w:after="0"/>
        <w:ind w:left="993" w:hanging="567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>[V]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– швидкість допустимого рівня коливань, см/с; </w:t>
      </w:r>
    </w:p>
    <w:p w:rsidR="009F461C" w:rsidRPr="00D23D98" w:rsidRDefault="009F461C" w:rsidP="003972A7">
      <w:pPr>
        <w:spacing w:after="0"/>
        <w:ind w:left="993" w:hanging="567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sym w:font="Symbol" w:char="F06E"/>
      </w:r>
      <w:r w:rsidRPr="00D23D98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1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>;</w:t>
      </w: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</w:t>
      </w: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sym w:font="Symbol" w:char="F06E"/>
      </w:r>
      <w:r w:rsidRPr="00D23D98">
        <w:rPr>
          <w:rFonts w:ascii="Times New Roman" w:hAnsi="Times New Roman" w:cs="Times New Roman"/>
          <w:snapToGrid w:val="0"/>
          <w:sz w:val="28"/>
          <w:szCs w:val="28"/>
          <w:vertAlign w:val="subscript"/>
        </w:rPr>
        <w:t>2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– показники ступенів загасання відповідно паралельному та перпендикулярному простяганню розкритих </w:t>
      </w:r>
      <w:proofErr w:type="spellStart"/>
      <w:r w:rsidRPr="00D23D98">
        <w:rPr>
          <w:rFonts w:ascii="Times New Roman" w:hAnsi="Times New Roman" w:cs="Times New Roman"/>
          <w:snapToGrid w:val="0"/>
          <w:sz w:val="28"/>
          <w:szCs w:val="28"/>
        </w:rPr>
        <w:t>тріщин</w:t>
      </w:r>
      <w:proofErr w:type="spellEnd"/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(2,1,1,7); </w:t>
      </w:r>
    </w:p>
    <w:p w:rsidR="009F461C" w:rsidRPr="00D23D98" w:rsidRDefault="009F461C" w:rsidP="003972A7">
      <w:pPr>
        <w:spacing w:after="0"/>
        <w:ind w:left="993" w:hanging="567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>Q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– маса вибухової речовини на одне сповільнення, кг (4.1).</w:t>
      </w:r>
    </w:p>
    <w:p w:rsidR="009F461C" w:rsidRPr="00D23D98" w:rsidRDefault="009F461C" w:rsidP="003972A7">
      <w:pPr>
        <w:tabs>
          <w:tab w:val="left" w:pos="0"/>
        </w:tabs>
        <w:spacing w:after="0"/>
        <w:ind w:left="993" w:hanging="567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Визначення </w:t>
      </w:r>
      <w:proofErr w:type="spellStart"/>
      <w:r w:rsidRPr="00D23D98">
        <w:rPr>
          <w:rFonts w:ascii="Times New Roman" w:hAnsi="Times New Roman" w:cs="Times New Roman"/>
          <w:snapToGrid w:val="0"/>
          <w:sz w:val="28"/>
          <w:szCs w:val="28"/>
        </w:rPr>
        <w:t>сейсмобезпечної</w:t>
      </w:r>
      <w:proofErr w:type="spellEnd"/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відстані </w:t>
      </w: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, (м) в тріщинуватому масиві в різних напрямках від епіцентру вибуху </w:t>
      </w:r>
      <w:r w:rsidRPr="00D23D98">
        <w:rPr>
          <w:rFonts w:ascii="Times New Roman" w:hAnsi="Times New Roman" w:cs="Times New Roman"/>
          <w:bCs/>
          <w:sz w:val="28"/>
          <w:szCs w:val="28"/>
        </w:rPr>
        <w:t xml:space="preserve">в кар'єрі «ПАТ Коростенський кар'єр» 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до </w:t>
      </w:r>
      <w:proofErr w:type="spellStart"/>
      <w:r w:rsidRPr="00D23D98">
        <w:rPr>
          <w:rFonts w:ascii="Times New Roman" w:hAnsi="Times New Roman" w:cs="Times New Roman"/>
          <w:snapToGrid w:val="0"/>
          <w:sz w:val="28"/>
          <w:szCs w:val="28"/>
        </w:rPr>
        <w:t>обєктів</w:t>
      </w:r>
      <w:proofErr w:type="spellEnd"/>
      <w:r w:rsidRPr="00D23D98">
        <w:rPr>
          <w:rFonts w:ascii="Times New Roman" w:hAnsi="Times New Roman" w:cs="Times New Roman"/>
          <w:snapToGrid w:val="0"/>
          <w:sz w:val="28"/>
          <w:szCs w:val="28"/>
        </w:rPr>
        <w:t>, що охороняються (житлові будинки села та промислові будівлі) проводили за емпіричною формулою:</w:t>
      </w:r>
    </w:p>
    <w:p w:rsidR="009F461C" w:rsidRPr="00D23D98" w:rsidRDefault="009F461C" w:rsidP="003972A7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8647"/>
        <w:gridCol w:w="1134"/>
      </w:tblGrid>
      <w:tr w:rsidR="009F461C" w:rsidRPr="00D23D98" w:rsidTr="00D23D98">
        <w:tc>
          <w:tcPr>
            <w:tcW w:w="8647" w:type="dxa"/>
            <w:shd w:val="clear" w:color="auto" w:fill="auto"/>
          </w:tcPr>
          <w:p w:rsidR="009F461C" w:rsidRPr="00D23D98" w:rsidRDefault="009F461C" w:rsidP="003972A7">
            <w:pPr>
              <w:tabs>
                <w:tab w:val="left" w:pos="0"/>
              </w:tabs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position w:val="-34"/>
                <w:sz w:val="28"/>
                <w:szCs w:val="28"/>
              </w:rPr>
              <w:object w:dxaOrig="4220" w:dyaOrig="740">
                <v:shape id="_x0000_i1031" type="#_x0000_t75" style="width:375.75pt;height:61.5pt" o:ole="" fillcolor="window">
                  <v:imagedata r:id="rId17" o:title=""/>
                </v:shape>
                <o:OLEObject Type="Embed" ProgID="Equation.3" ShapeID="_x0000_i1031" DrawAspect="Content" ObjectID="_1556793158" r:id="rId18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,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461C" w:rsidRPr="00D23D98" w:rsidRDefault="009F461C" w:rsidP="003972A7">
            <w:pPr>
              <w:tabs>
                <w:tab w:val="left" w:pos="0"/>
              </w:tabs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(5)</w:t>
            </w:r>
          </w:p>
        </w:tc>
      </w:tr>
    </w:tbl>
    <w:p w:rsidR="009F461C" w:rsidRPr="00D23D98" w:rsidRDefault="009F461C" w:rsidP="003972A7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F461C" w:rsidRPr="00D23D98" w:rsidRDefault="009F461C" w:rsidP="003972A7">
      <w:pPr>
        <w:spacing w:after="0"/>
        <w:ind w:left="709" w:hanging="709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де </w:t>
      </w: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sym w:font="Symbol" w:char="F06A"/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– відповідний полярному куту з (4.3) кут (град.) між радіусом зони </w:t>
      </w:r>
      <w:proofErr w:type="spellStart"/>
      <w:r w:rsidRPr="00D23D98">
        <w:rPr>
          <w:rFonts w:ascii="Times New Roman" w:hAnsi="Times New Roman" w:cs="Times New Roman"/>
          <w:snapToGrid w:val="0"/>
          <w:sz w:val="28"/>
          <w:szCs w:val="28"/>
        </w:rPr>
        <w:t>ізосейм</w:t>
      </w:r>
      <w:proofErr w:type="spellEnd"/>
      <w:r w:rsidRPr="00D23D98">
        <w:rPr>
          <w:rFonts w:ascii="Times New Roman" w:hAnsi="Times New Roman" w:cs="Times New Roman"/>
          <w:snapToGrid w:val="0"/>
          <w:sz w:val="28"/>
          <w:szCs w:val="28"/>
        </w:rPr>
        <w:t xml:space="preserve"> і профілем II–II (</w:t>
      </w:r>
      <w:r w:rsidRPr="00D23D98">
        <w:rPr>
          <w:rFonts w:ascii="Times New Roman" w:hAnsi="Times New Roman" w:cs="Times New Roman"/>
          <w:i/>
          <w:snapToGrid w:val="0"/>
          <w:sz w:val="28"/>
          <w:szCs w:val="28"/>
        </w:rPr>
        <w:t>рис. 1</w:t>
      </w:r>
      <w:r w:rsidRPr="00D23D98">
        <w:rPr>
          <w:rFonts w:ascii="Times New Roman" w:hAnsi="Times New Roman" w:cs="Times New Roman"/>
          <w:snapToGrid w:val="0"/>
          <w:sz w:val="28"/>
          <w:szCs w:val="28"/>
        </w:rPr>
        <w:t>).</w:t>
      </w:r>
    </w:p>
    <w:p w:rsidR="009F461C" w:rsidRPr="00D23D98" w:rsidRDefault="009F461C" w:rsidP="003972A7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F461C" w:rsidRPr="00D23D98" w:rsidRDefault="009F461C" w:rsidP="003972A7">
      <w:pPr>
        <w:tabs>
          <w:tab w:val="left" w:pos="0"/>
        </w:tabs>
        <w:spacing w:after="0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F461C" w:rsidRPr="00D23D98" w:rsidRDefault="009F461C" w:rsidP="003972A7">
      <w:pPr>
        <w:tabs>
          <w:tab w:val="left" w:pos="0"/>
        </w:tabs>
        <w:spacing w:after="0"/>
        <w:contextualSpacing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6EAAA" wp14:editId="0CA53C93">
            <wp:extent cx="2838450" cy="3177932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7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61C" w:rsidRPr="00D23D98" w:rsidRDefault="009F461C" w:rsidP="003972A7">
      <w:pPr>
        <w:tabs>
          <w:tab w:val="left" w:pos="0"/>
        </w:tabs>
        <w:spacing w:after="0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9F461C" w:rsidRPr="00D23D98" w:rsidRDefault="009F461C" w:rsidP="003972A7">
      <w:pPr>
        <w:tabs>
          <w:tab w:val="left" w:pos="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Рис. 1. Схема до визначення розмірів еліпсоподібної сейсмонебезпечної зони в анізотропному гірському масиві :</w:t>
      </w:r>
    </w:p>
    <w:p w:rsidR="009F461C" w:rsidRPr="00D23D98" w:rsidRDefault="009F461C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І-І, ІІ-ІІ – профілі встановлення сейсмоприймачів на відстанях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а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б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в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г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.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br/>
        <w:t xml:space="preserve">1 – система тріщинуватості гірського масиву; 2 –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висаджуємий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блок;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1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2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великий, малий і під кутом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φ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до системи тріщинуватості радіуси осей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ізосейсм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відповідно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Підставивши у формули (4.5) значення приведених мас для кожної із точок профілю, одержимо системи з двох рівнянь для визначення швидкостей коливань по кожному профілю окремо.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Паралельно розкритим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тріщинам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(профіль I–І):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387"/>
        <w:gridCol w:w="4250"/>
      </w:tblGrid>
      <w:tr w:rsidR="002F60EE" w:rsidRPr="00D23D98" w:rsidTr="002F60EE">
        <w:trPr>
          <w:trHeight w:val="20"/>
          <w:jc w:val="right"/>
        </w:trPr>
        <w:tc>
          <w:tcPr>
            <w:tcW w:w="5387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725" w:dyaOrig="810">
                <v:shape id="_x0000_i1032" type="#_x0000_t75" style="width:86.25pt;height:40.5pt" o:ole="" fillcolor="window">
                  <v:imagedata r:id="rId20" o:title=""/>
                </v:shape>
                <o:OLEObject Type="Embed" ProgID="Equation.3" ShapeID="_x0000_i1032" DrawAspect="Content" ObjectID="_1556793159" r:id="rId21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4250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(4.7)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Перпендикулярно розкритим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тріщинам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(профіль II–II):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5529"/>
        <w:gridCol w:w="4110"/>
      </w:tblGrid>
      <w:tr w:rsidR="002F60EE" w:rsidRPr="00D23D98" w:rsidTr="002F60EE">
        <w:trPr>
          <w:trHeight w:val="20"/>
        </w:trPr>
        <w:tc>
          <w:tcPr>
            <w:tcW w:w="5529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815" w:dyaOrig="900">
                <v:shape id="_x0000_i1033" type="#_x0000_t75" style="width:90.75pt;height:45pt" o:ole="" fillcolor="window">
                  <v:imagedata r:id="rId22" o:title=""/>
                </v:shape>
                <o:OLEObject Type="Embed" ProgID="Equation.3" ShapeID="_x0000_i1033" DrawAspect="Content" ObjectID="_1556793160" r:id="rId23"/>
              </w:object>
            </w:r>
          </w:p>
        </w:tc>
        <w:tc>
          <w:tcPr>
            <w:tcW w:w="4110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(4.8)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lastRenderedPageBreak/>
        <w:t>Знаючи масу заряду в групі, відстань від епіцентру вибуху заряду до кожної точки (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а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б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в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г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) і враховуючи, що коефіцієнт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sym w:font="Symbol" w:char="F04B"/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y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 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= 1 для прийнятих умов вибуху, визначимо коефіцієнти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K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1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і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sym w:font="Symbol" w:char="F06E"/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1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з розв'язку системи рівнянь (4.7):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4250"/>
      </w:tblGrid>
      <w:tr w:rsidR="002F60EE" w:rsidRPr="00D23D98" w:rsidTr="002F60EE">
        <w:trPr>
          <w:trHeight w:val="20"/>
        </w:trPr>
        <w:tc>
          <w:tcPr>
            <w:tcW w:w="5387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275" w:dyaOrig="675">
                <v:shape id="_x0000_i1034" type="#_x0000_t75" style="width:63.75pt;height:33.75pt" o:ole="" fillcolor="window">
                  <v:imagedata r:id="rId24" o:title=""/>
                </v:shape>
                <o:OLEObject Type="Embed" ProgID="Equation.3" ShapeID="_x0000_i1034" DrawAspect="Content" ObjectID="_1556793161" r:id="rId25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;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2085" w:dyaOrig="300">
                <v:shape id="_x0000_i1035" type="#_x0000_t75" style="width:104.25pt;height:15pt" o:ole="" fillcolor="window">
                  <v:imagedata r:id="rId26" o:title=""/>
                </v:shape>
                <o:OLEObject Type="Embed" ProgID="Equation.3" ShapeID="_x0000_i1035" DrawAspect="Content" ObjectID="_1556793162" r:id="rId27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,</w:t>
            </w:r>
          </w:p>
        </w:tc>
        <w:tc>
          <w:tcPr>
            <w:tcW w:w="4250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(4.9)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а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K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2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і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sym w:font="Symbol" w:char="F06E"/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2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розв'язком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системи рівнянь (4.8):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5387"/>
        <w:gridCol w:w="4252"/>
      </w:tblGrid>
      <w:tr w:rsidR="002F60EE" w:rsidRPr="00D23D98" w:rsidTr="002F60EE">
        <w:trPr>
          <w:trHeight w:val="20"/>
        </w:trPr>
        <w:tc>
          <w:tcPr>
            <w:tcW w:w="5387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365" w:dyaOrig="675">
                <v:shape id="_x0000_i1036" type="#_x0000_t75" style="width:68.25pt;height:33.75pt" o:ole="" fillcolor="window">
                  <v:imagedata r:id="rId28" o:title=""/>
                </v:shape>
                <o:OLEObject Type="Embed" ProgID="Equation.3" ShapeID="_x0000_i1036" DrawAspect="Content" ObjectID="_1556793163" r:id="rId29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;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2145" w:dyaOrig="300">
                <v:shape id="_x0000_i1037" type="#_x0000_t75" style="width:107.25pt;height:15pt" o:ole="" fillcolor="window">
                  <v:imagedata r:id="rId30" o:title=""/>
                </v:shape>
                <o:OLEObject Type="Embed" ProgID="Equation.3" ShapeID="_x0000_i1037" DrawAspect="Content" ObjectID="_1556793164" r:id="rId31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4252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(4.10)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Визначені за формулами (4.9) та (4.10) значення коефіцієнтів підставивши в (4.6) дадуть змогу отримати емпіричну залежність для розрахунку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сейсмобезпечної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відстані з послідуючою побудовою меж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сейсмобезпечності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 конкретних умовах місцевості, в якій розташовані кар'єр та прилеглі до нього об'єкти, що охороняються. Для оперативного визначення радіусів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сейсмобезпечних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відстаней розроблена номограма зображена на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рис. 4.12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а показники ступенів затухання та коефіцієнти пропорційності відповідно паралельному та перпендикулярному простяганню розкритих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тріщин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для різних регіонів території України гранітів УКЩ та вапняків Прикарпатського прогину приведені в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табл. 4.1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Коефіцієнт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у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, який залежить від умов проведення вибуху та поширення сейсмічних вибухових хвиль, обчислюють як добуток ряду коефіцієнтів, кожний з яких враховує один з чинників: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204"/>
      </w:tblGrid>
      <w:tr w:rsidR="002F60EE" w:rsidRPr="00D23D98" w:rsidTr="002F60EE">
        <w:trPr>
          <w:trHeight w:val="179"/>
        </w:trPr>
        <w:tc>
          <w:tcPr>
            <w:tcW w:w="3136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  <w:vertAlign w:val="subscript"/>
              </w:rPr>
              <w:t xml:space="preserve">у 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= 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1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2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3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4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5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6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7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3204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(4.11)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де 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1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 – коефіцієнт, який враховує особливості ґрунту, що підлягає висаджуванню; 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2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 коефіцієнт, який враховує особливості ґрунту під фундаментом будівлі,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object w:dxaOrig="1605" w:dyaOrig="405">
          <v:shape id="_x0000_i1038" type="#_x0000_t75" style="width:80.25pt;height:20.25pt" o:ole="">
            <v:imagedata r:id="rId32" o:title=""/>
          </v:shape>
          <o:OLEObject Type="Embed" ProgID="Equation.3" ShapeID="_x0000_i1038" DrawAspect="Content" ObjectID="_1556793165" r:id="rId33"/>
        </w:objec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де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sym w:font="Symbol" w:char="F067"/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і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V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p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об’ємна маса ґрунту, який підлягає висаджуванню та швидкість поширення в ньому поздовжньої хвилі;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object w:dxaOrig="585" w:dyaOrig="315">
          <v:shape id="_x0000_i1039" type="#_x0000_t75" style="width:29.25pt;height:15.75pt" o:ole="">
            <v:imagedata r:id="rId34" o:title=""/>
          </v:shape>
          <o:OLEObject Type="Embed" ProgID="Equation.3" ShapeID="_x0000_i1039" DrawAspect="Content" ObjectID="_1556793166" r:id="rId35"/>
        </w:objec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те саме під фундаментом будівлі; 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Значення коефіцієнтів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 xml:space="preserve">1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і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2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наведені в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табл. 4.3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і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4.4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відповідно.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3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 – коефіцієнт, який враховує сезонність робіт і має значення: весна і осінь – 1,0; зима – 0,9; літо – 0,8;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4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коефіцієнт орієнтування об’єкту відносно блока, що підлягає висаджуванню (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табл. 4.5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5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 – коефіцієнт ступеня свободи масиву, що підлягає висаджуванню (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табл. 4.7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6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 – коефіцієнт, який ураховує діаметр заряду. У разі інших значень діаметра заряду, наведених у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табл. 4.6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object w:dxaOrig="1155" w:dyaOrig="345">
          <v:shape id="_x0000_i1040" type="#_x0000_t75" style="width:57.75pt;height:17.25pt" o:ole="">
            <v:imagedata r:id="rId36" o:title=""/>
          </v:shape>
          <o:OLEObject Type="Embed" ProgID="Equation.3" ShapeID="_x0000_i1040" DrawAspect="Content" ObjectID="_1556793167" r:id="rId37"/>
        </w:objec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(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d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з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діаметр заряду, мм);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7 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– коефіцієнт, який враховує вплив кількості груп зарядів (ступенів уповільнення) на сейсмічний ефект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короткосповільненого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висаджування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lastRenderedPageBreak/>
        <w:t>(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табл. 4.8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). У разі кількості груп зарядів більше ніж 10, то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object w:dxaOrig="1215" w:dyaOrig="360">
          <v:shape id="_x0000_i1041" type="#_x0000_t75" style="width:60.75pt;height:18pt" o:ole="">
            <v:imagedata r:id="rId38" o:title=""/>
          </v:shape>
          <o:OLEObject Type="Embed" ProgID="Equation.3" ShapeID="_x0000_i1041" DrawAspect="Content" ObjectID="_1556793168" r:id="rId39"/>
        </w:objec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(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m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кількість груп зарядів).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Таблиця 4.3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Значення коефіцієнта, що враховує особливості </w:t>
      </w:r>
      <w:proofErr w:type="spellStart"/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висаджуваного</w:t>
      </w:r>
      <w:proofErr w:type="spellEnd"/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ґрунту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63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417"/>
      </w:tblGrid>
      <w:tr w:rsidR="002F60EE" w:rsidRPr="00D23D98" w:rsidTr="002F60EE">
        <w:trPr>
          <w:trHeight w:val="320"/>
          <w:jc w:val="center"/>
        </w:trPr>
        <w:tc>
          <w:tcPr>
            <w:tcW w:w="4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Ґрунт, який підлягає висаджуванню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1</w:t>
            </w:r>
          </w:p>
        </w:tc>
      </w:tr>
      <w:tr w:rsidR="002F60EE" w:rsidRPr="00D23D98" w:rsidTr="002F60EE">
        <w:trPr>
          <w:jc w:val="center"/>
        </w:trPr>
        <w:tc>
          <w:tcPr>
            <w:tcW w:w="4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Скельний, вище середньої міцності (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 xml:space="preserve">f 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= 13–16)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Скельний, нижче середньої міцності (</w:t>
            </w: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 xml:space="preserve">f 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= 8–12)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200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180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Таблиця 4.4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Коефіцієнт, що враховує особливості ґрунту під фундаментом будівлі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tbl>
      <w:tblPr>
        <w:tblW w:w="63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417"/>
      </w:tblGrid>
      <w:tr w:rsidR="002F60EE" w:rsidRPr="00D23D98" w:rsidTr="002F60EE">
        <w:trPr>
          <w:trHeight w:val="320"/>
          <w:jc w:val="center"/>
        </w:trPr>
        <w:tc>
          <w:tcPr>
            <w:tcW w:w="4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Ґрунт під фундаментом будівлі, яка підлягає збереженню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2</w:t>
            </w:r>
          </w:p>
        </w:tc>
      </w:tr>
      <w:tr w:rsidR="002F60EE" w:rsidRPr="00D23D98" w:rsidTr="002F60EE">
        <w:trPr>
          <w:jc w:val="center"/>
        </w:trPr>
        <w:tc>
          <w:tcPr>
            <w:tcW w:w="4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Скельний цільний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Скельний тріщинуватий, порушений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Галечниковий і щебеневий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Піщаний і глинистий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Насипний 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1,0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1,6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2,3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2,6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5,0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Таблиця 4.5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Значення коефіцієнта місця розташування об’єкту відносно блоку зарядів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8"/>
        <w:gridCol w:w="1819"/>
      </w:tblGrid>
      <w:tr w:rsidR="002F60EE" w:rsidRPr="00D23D98" w:rsidTr="002F60EE">
        <w:trPr>
          <w:trHeight w:val="320"/>
          <w:jc w:val="center"/>
        </w:trPr>
        <w:tc>
          <w:tcPr>
            <w:tcW w:w="7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Розташування об’єкта, який підлягає збереженню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K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4</w:t>
            </w:r>
          </w:p>
        </w:tc>
      </w:tr>
      <w:tr w:rsidR="002F60EE" w:rsidRPr="00D23D98" w:rsidTr="002F60EE">
        <w:trPr>
          <w:jc w:val="center"/>
        </w:trPr>
        <w:tc>
          <w:tcPr>
            <w:tcW w:w="7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У тилу блоку, що підлягає висаджуванню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У фланзі блоку, що підлягає висаджуванню: детонація зарядів у блоці спрямована в протилежний від об’єкта бік 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У фланзі блоку, що підлягає висаджуванню: детонація зарядів у блоці спрямована в бік об’єкта 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Перед блоком, що підлягає висаджуванню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1,00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0,65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0,85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0,70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Таблиця 4.6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Значення коефіцієнта, що враховує діаметр заряду </w:t>
      </w:r>
      <w:proofErr w:type="spellStart"/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d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з</w:t>
      </w:r>
      <w:proofErr w:type="spellEnd"/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1436"/>
        <w:gridCol w:w="1581"/>
        <w:gridCol w:w="1676"/>
        <w:gridCol w:w="1537"/>
        <w:gridCol w:w="1953"/>
      </w:tblGrid>
      <w:tr w:rsidR="002F60EE" w:rsidRPr="00D23D98" w:rsidTr="002F60EE">
        <w:trPr>
          <w:jc w:val="center"/>
        </w:trPr>
        <w:tc>
          <w:tcPr>
            <w:tcW w:w="144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d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з</w:t>
            </w:r>
            <w:proofErr w:type="spellEnd"/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, мм</w:t>
            </w:r>
          </w:p>
        </w:tc>
        <w:tc>
          <w:tcPr>
            <w:tcW w:w="14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180</w:t>
            </w:r>
          </w:p>
        </w:tc>
        <w:tc>
          <w:tcPr>
            <w:tcW w:w="16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215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245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280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320</w:t>
            </w:r>
          </w:p>
        </w:tc>
      </w:tr>
      <w:tr w:rsidR="002F60EE" w:rsidRPr="00D23D98" w:rsidTr="002F60EE">
        <w:trPr>
          <w:jc w:val="center"/>
        </w:trPr>
        <w:tc>
          <w:tcPr>
            <w:tcW w:w="144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1,3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0,8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Таблиця 4.7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Коефіцієнт ступеня свободи масиву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2"/>
        <w:gridCol w:w="1925"/>
      </w:tblGrid>
      <w:tr w:rsidR="002F60EE" w:rsidRPr="00D23D98" w:rsidTr="002F60EE">
        <w:trPr>
          <w:trHeight w:val="320"/>
          <w:jc w:val="center"/>
        </w:trPr>
        <w:tc>
          <w:tcPr>
            <w:tcW w:w="39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Умови висаджування</w:t>
            </w:r>
          </w:p>
        </w:tc>
        <w:tc>
          <w:tcPr>
            <w:tcW w:w="100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K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5</w:t>
            </w:r>
          </w:p>
        </w:tc>
      </w:tr>
      <w:tr w:rsidR="002F60EE" w:rsidRPr="00D23D98" w:rsidTr="002F60EE">
        <w:trPr>
          <w:trHeight w:val="20"/>
          <w:jc w:val="center"/>
        </w:trPr>
        <w:tc>
          <w:tcPr>
            <w:tcW w:w="399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У звичайному фронтальному забої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lastRenderedPageBreak/>
              <w:t>У забої з однією вільною поверхнею (проходження траншей на всю довжину і перетин одночасно, висаджування на неприбрану гірничу масу, коли число рядів свердловинних зарядів більше ніж чотири, висаджування в затисненому середовищі тощо)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У ціликах з (4–5) вільними поверхнями</w:t>
            </w:r>
          </w:p>
        </w:tc>
        <w:tc>
          <w:tcPr>
            <w:tcW w:w="100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lastRenderedPageBreak/>
              <w:t>1,0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2,0</w:t>
            </w:r>
          </w:p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0,5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Таблиця 4.8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Коефіцієнт, що враховує кількість груп зарядів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9"/>
        <w:gridCol w:w="706"/>
        <w:gridCol w:w="802"/>
        <w:gridCol w:w="820"/>
        <w:gridCol w:w="820"/>
        <w:gridCol w:w="820"/>
        <w:gridCol w:w="820"/>
        <w:gridCol w:w="820"/>
        <w:gridCol w:w="820"/>
      </w:tblGrid>
      <w:tr w:rsidR="002F60EE" w:rsidRPr="00D23D98" w:rsidTr="002F60EE">
        <w:trPr>
          <w:trHeight w:val="20"/>
        </w:trPr>
        <w:tc>
          <w:tcPr>
            <w:tcW w:w="165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Кількість груп 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br/>
              <w:t>(ступенів уповільнення)</w:t>
            </w:r>
          </w:p>
        </w:tc>
        <w:tc>
          <w:tcPr>
            <w:tcW w:w="36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41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7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8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</w:tr>
      <w:tr w:rsidR="002F60EE" w:rsidRPr="00D23D98" w:rsidTr="002F60EE">
        <w:trPr>
          <w:trHeight w:val="20"/>
        </w:trPr>
        <w:tc>
          <w:tcPr>
            <w:tcW w:w="165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i/>
                <w:snapToGrid w:val="0"/>
                <w:sz w:val="28"/>
                <w:szCs w:val="28"/>
              </w:rPr>
              <w:t>К</w: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64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0,75</w:t>
            </w:r>
          </w:p>
        </w:tc>
        <w:tc>
          <w:tcPr>
            <w:tcW w:w="41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0,68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0,63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0,60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0,56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0,54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0,52</w:t>
            </w:r>
          </w:p>
        </w:tc>
        <w:tc>
          <w:tcPr>
            <w:tcW w:w="42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0,50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Вище розглянуто метод побудови еліпсоподібної зони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ізосейсм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з центральним епіцентром вибуху, тобто коли він співпадає з центром еліпса.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Але на практиці частіше за все залежно від умов, при яких, наприклад, змінюється напрямок ініціювання свердловинних зарядів вибухової речовини в блоці, який підривається, еліпс, окреслюючи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сейсмобезпечну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межу, може зміщуватися відносно центру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висаджуваного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блоку. При цьому, в залежності від місця розташування охоронних об'єктів, останні будуть знаходитись в умовах сейсмічного навантаження на них, тобто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наражені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на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сейсмонебезпеку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або ж ні.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>
            <wp:extent cx="3905250" cy="3705225"/>
            <wp:effectExtent l="0" t="0" r="0" b="9525"/>
            <wp:docPr id="6" name="Рисунок 6" descr="Описание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 descr="Описание: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" t="8122" r="-708" b="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Рис. 4.12. Номограма визначення радіусів </w:t>
      </w:r>
      <w:proofErr w:type="spellStart"/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сейсмобезпечних</w:t>
      </w:r>
      <w:proofErr w:type="spellEnd"/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відстаней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Тому були проведені дослідження по розробці методу, який дозволяє не тільки проводити розрахунки щодо розмірів еліпса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сейсмобезпечності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але і накреслити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lastRenderedPageBreak/>
        <w:t xml:space="preserve">його зміщення відносно епіцентру вибуху, тобто визначити координати уявного центру в залежності від умов проведення вибухових робіт, які враховуються коефіцієнтом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К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bscript"/>
        </w:rPr>
        <w:t>у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у формулі (4.11).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На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рис. 4.13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зображено схему до розрахунку основних параметрів зміщених відносно епіцентру вибуху еліпсоподібних сейсмонебезпечних зон.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>
            <wp:extent cx="34290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Рис. 4.13. Схема до розрахунку координат відносно </w:t>
      </w:r>
      <w:proofErr w:type="spellStart"/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>висаджуваного</w:t>
      </w:r>
      <w:proofErr w:type="spellEnd"/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блоку уявного епіцентру вибуху та побудови еліпсоподібної сейсмонебезпечної зони: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1, 2 – зони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сейсмонебезпеки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відповідно з центральним та умовним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збуджувачами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коливань; 3, 3' – відповідно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висаджуваний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та уявний блоки; 4– охоронний об'єкт;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br/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∆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Х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,∆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У – величини координат уявного епіцентру вибуху;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В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М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– відповідно великий та малий радіуси осей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ізосейсм</w:t>
      </w:r>
      <w:proofErr w:type="spellEnd"/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Рівняння еліпса для визначення координат уявного епіцентру вибуху має вигляд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32"/>
        <w:gridCol w:w="4805"/>
      </w:tblGrid>
      <w:tr w:rsidR="002F60EE" w:rsidRPr="00D23D98" w:rsidTr="002F60EE">
        <w:trPr>
          <w:trHeight w:val="285"/>
        </w:trPr>
        <w:tc>
          <w:tcPr>
            <w:tcW w:w="4873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2265" w:dyaOrig="615">
                <v:shape id="_x0000_i1042" type="#_x0000_t75" style="width:113.25pt;height:30.75pt" o:ole="" fillcolor="window">
                  <v:imagedata r:id="rId42" o:title=""/>
                </v:shape>
                <o:OLEObject Type="Embed" ProgID="Equation.3" ShapeID="_x0000_i1042" DrawAspect="Content" ObjectID="_1556793169" r:id="rId43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4874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(4.12)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Головними параметрами, які характеризують еліптичні зони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ізосейсм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є: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1) відстань від центру до фокуса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6"/>
      </w:tblGrid>
      <w:tr w:rsidR="002F60EE" w:rsidRPr="00D23D98" w:rsidTr="002F60EE">
        <w:trPr>
          <w:trHeight w:val="83"/>
        </w:trPr>
        <w:tc>
          <w:tcPr>
            <w:tcW w:w="4881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080" w:dyaOrig="300">
                <v:shape id="_x0000_i1043" type="#_x0000_t75" style="width:54pt;height:15pt" o:ole="" fillcolor="window">
                  <v:imagedata r:id="rId44" o:title=""/>
                </v:shape>
                <o:OLEObject Type="Embed" ProgID="Equation.3" ShapeID="_x0000_i1043" DrawAspect="Content" ObjectID="_1556793170" r:id="rId45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 xml:space="preserve">, </w:t>
            </w:r>
          </w:p>
        </w:tc>
        <w:tc>
          <w:tcPr>
            <w:tcW w:w="4882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(4.13)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підставивши у формулу (4.13) значення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В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та </w: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R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</w:rPr>
        <w:t>М,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одержимо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66"/>
        <w:gridCol w:w="4171"/>
      </w:tblGrid>
      <w:tr w:rsidR="002F60EE" w:rsidRPr="00D23D98" w:rsidTr="002F60EE">
        <w:trPr>
          <w:trHeight w:val="224"/>
        </w:trPr>
        <w:tc>
          <w:tcPr>
            <w:tcW w:w="2836" w:type="pct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2715" w:dyaOrig="495">
                <v:shape id="_x0000_i1044" type="#_x0000_t75" style="width:135.75pt;height:24.75pt" o:ole="" fillcolor="window">
                  <v:imagedata r:id="rId46" o:title=""/>
                </v:shape>
                <o:OLEObject Type="Embed" ProgID="Equation.3" ShapeID="_x0000_i1044" DrawAspect="Content" ObjectID="_1556793171" r:id="rId47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;</w:t>
            </w:r>
          </w:p>
        </w:tc>
        <w:tc>
          <w:tcPr>
            <w:tcW w:w="2164" w:type="pct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(4.14)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2) ексцентриситет еліпса: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2F60EE" w:rsidRPr="00D23D98" w:rsidTr="002F60EE">
        <w:trPr>
          <w:trHeight w:val="415"/>
        </w:trPr>
        <w:tc>
          <w:tcPr>
            <w:tcW w:w="4962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500" w:dyaOrig="420">
                <v:shape id="_x0000_i1045" type="#_x0000_t75" style="width:75pt;height:21pt" o:ole="" fillcolor="window">
                  <v:imagedata r:id="rId48" o:title=""/>
                </v:shape>
                <o:OLEObject Type="Embed" ProgID="Equation.3" ShapeID="_x0000_i1045" DrawAspect="Content" ObjectID="_1556793172" r:id="rId49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;</w:t>
            </w:r>
          </w:p>
        </w:tc>
        <w:tc>
          <w:tcPr>
            <w:tcW w:w="4677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(4.15)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3) радіуси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вектора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правого і лівого фокусів відповідно: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4"/>
        <w:gridCol w:w="4533"/>
      </w:tblGrid>
      <w:tr w:rsidR="002F60EE" w:rsidRPr="00D23D98" w:rsidTr="002F60EE">
        <w:trPr>
          <w:trHeight w:val="699"/>
        </w:trPr>
        <w:tc>
          <w:tcPr>
            <w:tcW w:w="2648" w:type="pct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695" w:dyaOrig="675">
                <v:shape id="_x0000_i1046" type="#_x0000_t75" style="width:84.75pt;height:33.75pt" o:ole="" fillcolor="window">
                  <v:imagedata r:id="rId50" o:title=""/>
                </v:shape>
                <o:OLEObject Type="Embed" ProgID="Equation.3" ShapeID="_x0000_i1046" DrawAspect="Content" ObjectID="_1556793173" r:id="rId51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;</w:t>
            </w:r>
          </w:p>
        </w:tc>
        <w:tc>
          <w:tcPr>
            <w:tcW w:w="2352" w:type="pct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(4.16)</w:t>
            </w:r>
          </w:p>
        </w:tc>
      </w:tr>
      <w:tr w:rsidR="002F60EE" w:rsidRPr="00D23D98" w:rsidTr="002F60EE">
        <w:trPr>
          <w:trHeight w:val="398"/>
        </w:trPr>
        <w:tc>
          <w:tcPr>
            <w:tcW w:w="2648" w:type="pct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1845" w:dyaOrig="705">
                <v:shape id="_x0000_i1047" type="#_x0000_t75" style="width:92.25pt;height:35.25pt" o:ole="" fillcolor="window">
                  <v:imagedata r:id="rId52" o:title=""/>
                </v:shape>
                <o:OLEObject Type="Embed" ProgID="Equation.3" ShapeID="_x0000_i1047" DrawAspect="Content" ObjectID="_1556793174" r:id="rId53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;</w:t>
            </w:r>
          </w:p>
        </w:tc>
        <w:tc>
          <w:tcPr>
            <w:tcW w:w="2352" w:type="pct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(4.17)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4)</w:t>
      </w:r>
      <w:r w:rsidRPr="00D23D98"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  <w:t xml:space="preserve">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директриса: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4392"/>
      </w:tblGrid>
      <w:tr w:rsidR="002F60EE" w:rsidRPr="00D23D98" w:rsidTr="002F60EE">
        <w:trPr>
          <w:trHeight w:val="531"/>
        </w:trPr>
        <w:tc>
          <w:tcPr>
            <w:tcW w:w="5245" w:type="dxa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object w:dxaOrig="2055" w:dyaOrig="585">
                <v:shape id="_x0000_i1048" type="#_x0000_t75" style="width:102.75pt;height:29.25pt" o:ole="" fillcolor="window">
                  <v:imagedata r:id="rId54" o:title=""/>
                </v:shape>
                <o:OLEObject Type="Embed" ProgID="Equation.3" ShapeID="_x0000_i1048" DrawAspect="Content" ObjectID="_1556793175" r:id="rId55"/>
              </w:object>
            </w: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  <w:tc>
          <w:tcPr>
            <w:tcW w:w="4392" w:type="dxa"/>
            <w:vAlign w:val="center"/>
            <w:hideMark/>
          </w:tcPr>
          <w:p w:rsidR="002F60EE" w:rsidRPr="00D23D98" w:rsidRDefault="002F60EE" w:rsidP="003972A7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D23D9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(4.18)</w:t>
            </w:r>
          </w:p>
        </w:tc>
      </w:tr>
    </w:tbl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-1263015</wp:posOffset>
                </wp:positionH>
                <wp:positionV relativeFrom="paragraph">
                  <wp:posOffset>1266190</wp:posOffset>
                </wp:positionV>
                <wp:extent cx="91440" cy="91440"/>
                <wp:effectExtent l="0" t="0" r="22860" b="2286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7CCDC" id="Прямоугольник 7" o:spid="_x0000_s1026" style="position:absolute;margin-left:-99.45pt;margin-top:99.7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" o:allowincell="f"/>
            </w:pict>
          </mc:Fallback>
        </mc:AlternateConten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Приведені вище аналітичні вирази для розрахунку параметрів еліпса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ізосейсм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які окреслюють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сейсмобезпечну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межу, показують, що вона залежить від сейсмічних властивостей анізотропних порід, які постійні для конкретних регіонів. Зміщення центру сейсмонебезпечної зони (утворення уявного епіцентру вибуху) можливо за рахунок втручання у технологічні фактори підривних робіт. При цьому, епіцентр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softHyphen/>
        <w:t>безпечної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межі зміщується на величину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object w:dxaOrig="225" w:dyaOrig="255">
          <v:shape id="_x0000_i1049" type="#_x0000_t75" style="width:11.25pt;height:12.75pt" o:ole="" fillcolor="window">
            <v:imagedata r:id="rId56" o:title=""/>
          </v:shape>
          <o:OLEObject Type="Embed" ProgID="Equation.3" ShapeID="_x0000_i1049" DrawAspect="Content" ObjectID="_1556793176" r:id="rId57"/>
        </w:objec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Х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або 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object w:dxaOrig="225" w:dyaOrig="255">
          <v:shape id="_x0000_i1050" type="#_x0000_t75" style="width:11.25pt;height:12.75pt" o:ole="" fillcolor="window">
            <v:imagedata r:id="rId56" o:title=""/>
          </v:shape>
          <o:OLEObject Type="Embed" ProgID="Equation.3" ShapeID="_x0000_i1050" DrawAspect="Content" ObjectID="_1556793177" r:id="rId58"/>
        </w:object>
      </w:r>
      <w:r w:rsidRPr="00D23D98"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>У</w:t>
      </w: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, а в залежності від розташування по відношенню до реального епіцентру вибуху об’єктів, що охороняються, то останні переводяться з небезпечної межі в безпечну.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З огляду на це слід доповнити «Єдині правила безпеки при вибухових роботах» методикою розрахунку меж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сейсмобезпеки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, що базується на результатах досліджень проведених в організаціях промисловості будівельних матеріалів, дорожнього будівництва і ін., що виконують вибухові роботи поблизу промислових, цивільних і природних об'єктів.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Впровадження викладених наукових розробок на території України, де кар’єри розташовані поблизу населених пунктів, дозволило локалізувати сейсмічні коливання в межах допустимих норм за рахунок управління технологічними схемами вибуху (керованих координат уявного епіцентру вибуху) і тим самим перевести безпечну зону в </w:t>
      </w:r>
      <w:proofErr w:type="spellStart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>сейсмобезпечну</w:t>
      </w:r>
      <w:proofErr w:type="spellEnd"/>
      <w:r w:rsidRPr="00D23D98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і забезпечити при цьому цілісність житлового фонду з комфортним за психологічним фактором проживанням населення.</w:t>
      </w:r>
    </w:p>
    <w:p w:rsidR="002F60EE" w:rsidRPr="00D23D98" w:rsidRDefault="002F60EE" w:rsidP="003972A7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2F60EE" w:rsidRPr="00D23D98" w:rsidSect="009F461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11A"/>
    <w:multiLevelType w:val="multilevel"/>
    <w:tmpl w:val="86341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9F52EC"/>
    <w:multiLevelType w:val="hybridMultilevel"/>
    <w:tmpl w:val="ED5A24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7C58"/>
    <w:multiLevelType w:val="hybridMultilevel"/>
    <w:tmpl w:val="594E77A0"/>
    <w:lvl w:ilvl="0" w:tplc="D8445AF2">
      <w:start w:val="3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69"/>
    <w:rsid w:val="00024BD9"/>
    <w:rsid w:val="00035035"/>
    <w:rsid w:val="00073383"/>
    <w:rsid w:val="000855F0"/>
    <w:rsid w:val="000B0C04"/>
    <w:rsid w:val="000B5D4F"/>
    <w:rsid w:val="000C25C8"/>
    <w:rsid w:val="000D23C0"/>
    <w:rsid w:val="000E2535"/>
    <w:rsid w:val="000F3E97"/>
    <w:rsid w:val="000F44C6"/>
    <w:rsid w:val="000F4A77"/>
    <w:rsid w:val="00103AFA"/>
    <w:rsid w:val="0016622C"/>
    <w:rsid w:val="0018290C"/>
    <w:rsid w:val="00182E8A"/>
    <w:rsid w:val="00185FED"/>
    <w:rsid w:val="001A774E"/>
    <w:rsid w:val="001B4162"/>
    <w:rsid w:val="001B7356"/>
    <w:rsid w:val="001D0285"/>
    <w:rsid w:val="001D420E"/>
    <w:rsid w:val="001D43B1"/>
    <w:rsid w:val="001D50A0"/>
    <w:rsid w:val="001E3F07"/>
    <w:rsid w:val="001F0650"/>
    <w:rsid w:val="001F49C2"/>
    <w:rsid w:val="00212CE4"/>
    <w:rsid w:val="00240A01"/>
    <w:rsid w:val="002422F3"/>
    <w:rsid w:val="002932C0"/>
    <w:rsid w:val="002B73FE"/>
    <w:rsid w:val="002C249D"/>
    <w:rsid w:val="002D2DF0"/>
    <w:rsid w:val="002E3892"/>
    <w:rsid w:val="002E58C7"/>
    <w:rsid w:val="002F60EE"/>
    <w:rsid w:val="002F651D"/>
    <w:rsid w:val="003030E3"/>
    <w:rsid w:val="00305951"/>
    <w:rsid w:val="00340F46"/>
    <w:rsid w:val="003477FB"/>
    <w:rsid w:val="00365613"/>
    <w:rsid w:val="00371128"/>
    <w:rsid w:val="00377C49"/>
    <w:rsid w:val="00392124"/>
    <w:rsid w:val="00392E0D"/>
    <w:rsid w:val="003933E2"/>
    <w:rsid w:val="00394E7B"/>
    <w:rsid w:val="003953BC"/>
    <w:rsid w:val="003972A7"/>
    <w:rsid w:val="003A7DA5"/>
    <w:rsid w:val="003B1E11"/>
    <w:rsid w:val="003D39D5"/>
    <w:rsid w:val="003E219D"/>
    <w:rsid w:val="004B46E2"/>
    <w:rsid w:val="004C335D"/>
    <w:rsid w:val="004C6B1D"/>
    <w:rsid w:val="004E77B3"/>
    <w:rsid w:val="004F4B48"/>
    <w:rsid w:val="00505603"/>
    <w:rsid w:val="00511405"/>
    <w:rsid w:val="00524ED3"/>
    <w:rsid w:val="005303B6"/>
    <w:rsid w:val="005310A0"/>
    <w:rsid w:val="00563F29"/>
    <w:rsid w:val="00574C59"/>
    <w:rsid w:val="00577185"/>
    <w:rsid w:val="005A5E4C"/>
    <w:rsid w:val="005B6FF4"/>
    <w:rsid w:val="005E6F87"/>
    <w:rsid w:val="005E7823"/>
    <w:rsid w:val="005F5713"/>
    <w:rsid w:val="00633909"/>
    <w:rsid w:val="006668FD"/>
    <w:rsid w:val="00692F3F"/>
    <w:rsid w:val="006D6EAA"/>
    <w:rsid w:val="00751F1E"/>
    <w:rsid w:val="00774DE0"/>
    <w:rsid w:val="007905DA"/>
    <w:rsid w:val="007A40B0"/>
    <w:rsid w:val="007D6C6C"/>
    <w:rsid w:val="00814108"/>
    <w:rsid w:val="0084194B"/>
    <w:rsid w:val="00871F5E"/>
    <w:rsid w:val="008A3FCF"/>
    <w:rsid w:val="008A653D"/>
    <w:rsid w:val="008A7B4D"/>
    <w:rsid w:val="008B375F"/>
    <w:rsid w:val="008E5F4A"/>
    <w:rsid w:val="008F1650"/>
    <w:rsid w:val="008F1D0E"/>
    <w:rsid w:val="008F394F"/>
    <w:rsid w:val="00951166"/>
    <w:rsid w:val="00951875"/>
    <w:rsid w:val="00960FDB"/>
    <w:rsid w:val="00965998"/>
    <w:rsid w:val="009A7B03"/>
    <w:rsid w:val="009E4C8D"/>
    <w:rsid w:val="009F461C"/>
    <w:rsid w:val="00A17BB6"/>
    <w:rsid w:val="00A63BEA"/>
    <w:rsid w:val="00A643E8"/>
    <w:rsid w:val="00A75148"/>
    <w:rsid w:val="00A84E00"/>
    <w:rsid w:val="00A87D32"/>
    <w:rsid w:val="00A91E71"/>
    <w:rsid w:val="00A92810"/>
    <w:rsid w:val="00AC5D6C"/>
    <w:rsid w:val="00AE637F"/>
    <w:rsid w:val="00B2182F"/>
    <w:rsid w:val="00B249DC"/>
    <w:rsid w:val="00B35A1E"/>
    <w:rsid w:val="00B75E53"/>
    <w:rsid w:val="00B87578"/>
    <w:rsid w:val="00B94028"/>
    <w:rsid w:val="00BB4177"/>
    <w:rsid w:val="00BB5692"/>
    <w:rsid w:val="00BC2AC1"/>
    <w:rsid w:val="00C648CD"/>
    <w:rsid w:val="00C66CC8"/>
    <w:rsid w:val="00C74ABB"/>
    <w:rsid w:val="00C84E94"/>
    <w:rsid w:val="00CA3339"/>
    <w:rsid w:val="00CE26AA"/>
    <w:rsid w:val="00D23D98"/>
    <w:rsid w:val="00D25A69"/>
    <w:rsid w:val="00D36C45"/>
    <w:rsid w:val="00D37701"/>
    <w:rsid w:val="00D61C41"/>
    <w:rsid w:val="00D72597"/>
    <w:rsid w:val="00D85D94"/>
    <w:rsid w:val="00DC0F6A"/>
    <w:rsid w:val="00DD60FF"/>
    <w:rsid w:val="00DF3FE9"/>
    <w:rsid w:val="00E01431"/>
    <w:rsid w:val="00E21709"/>
    <w:rsid w:val="00E32893"/>
    <w:rsid w:val="00E40CAB"/>
    <w:rsid w:val="00E76931"/>
    <w:rsid w:val="00E84DCA"/>
    <w:rsid w:val="00EA5501"/>
    <w:rsid w:val="00EB0351"/>
    <w:rsid w:val="00ED2EB1"/>
    <w:rsid w:val="00EF2856"/>
    <w:rsid w:val="00F06711"/>
    <w:rsid w:val="00F3520E"/>
    <w:rsid w:val="00F53589"/>
    <w:rsid w:val="00F73708"/>
    <w:rsid w:val="00F86E17"/>
    <w:rsid w:val="00FA777E"/>
    <w:rsid w:val="00FF2DF5"/>
    <w:rsid w:val="00FF4789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209CF7E"/>
  <w15:docId w15:val="{2C78F3EC-226D-4337-8080-0060CA3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22C"/>
  </w:style>
  <w:style w:type="paragraph" w:styleId="2">
    <w:name w:val="heading 2"/>
    <w:basedOn w:val="a"/>
    <w:next w:val="a"/>
    <w:link w:val="20"/>
    <w:autoRedefine/>
    <w:qFormat/>
    <w:rsid w:val="000C25C8"/>
    <w:pPr>
      <w:keepNext/>
      <w:autoSpaceDE w:val="0"/>
      <w:autoSpaceDN w:val="0"/>
      <w:adjustRightInd w:val="0"/>
      <w:spacing w:after="0" w:line="240" w:lineRule="auto"/>
      <w:ind w:firstLine="340"/>
      <w:contextualSpacing/>
      <w:jc w:val="both"/>
      <w:outlineLvl w:val="1"/>
    </w:pPr>
    <w:rPr>
      <w:rFonts w:ascii="Times New Roman" w:eastAsia="Calibri" w:hAnsi="Times New Roman" w:cs="Times New Roman"/>
      <w:b/>
      <w:iCs/>
      <w:sz w:val="20"/>
      <w:szCs w:val="28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A69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D25A6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D25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D25A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D25A6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styleId="a9">
    <w:name w:val="Placeholder Text"/>
    <w:basedOn w:val="a0"/>
    <w:uiPriority w:val="99"/>
    <w:semiHidden/>
    <w:rsid w:val="00D25A69"/>
    <w:rPr>
      <w:color w:val="808080"/>
    </w:rPr>
  </w:style>
  <w:style w:type="paragraph" w:customStyle="1" w:styleId="aa">
    <w:name w:val="Чертежный"/>
    <w:rsid w:val="0096599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b">
    <w:name w:val="Table Grid"/>
    <w:basedOn w:val="a1"/>
    <w:uiPriority w:val="59"/>
    <w:rsid w:val="00C66C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Body Text Indent 2"/>
    <w:basedOn w:val="a"/>
    <w:link w:val="22"/>
    <w:uiPriority w:val="99"/>
    <w:semiHidden/>
    <w:unhideWhenUsed/>
    <w:rsid w:val="000C25C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0C25C8"/>
  </w:style>
  <w:style w:type="character" w:customStyle="1" w:styleId="20">
    <w:name w:val="Заголовок 2 Знак"/>
    <w:basedOn w:val="a0"/>
    <w:link w:val="2"/>
    <w:rsid w:val="000C25C8"/>
    <w:rPr>
      <w:rFonts w:ascii="Times New Roman" w:eastAsia="Calibri" w:hAnsi="Times New Roman" w:cs="Times New Roman"/>
      <w:b/>
      <w:iCs/>
      <w:sz w:val="20"/>
      <w:szCs w:val="28"/>
      <w:lang w:val="uk-UA" w:eastAsia="x-none"/>
    </w:rPr>
  </w:style>
  <w:style w:type="paragraph" w:styleId="ac">
    <w:name w:val="Body Text"/>
    <w:basedOn w:val="a"/>
    <w:link w:val="ad"/>
    <w:unhideWhenUsed/>
    <w:rsid w:val="000C25C8"/>
    <w:pPr>
      <w:spacing w:after="120" w:line="240" w:lineRule="auto"/>
      <w:ind w:firstLine="340"/>
      <w:jc w:val="both"/>
    </w:pPr>
    <w:rPr>
      <w:rFonts w:ascii="Calibri" w:eastAsia="Calibri" w:hAnsi="Calibri" w:cs="Times New Roman"/>
      <w:lang w:val="x-none"/>
    </w:rPr>
  </w:style>
  <w:style w:type="character" w:customStyle="1" w:styleId="ad">
    <w:name w:val="Основной текст Знак"/>
    <w:basedOn w:val="a0"/>
    <w:link w:val="ac"/>
    <w:rsid w:val="000C25C8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nhideWhenUsed/>
    <w:rsid w:val="000C25C8"/>
    <w:pPr>
      <w:spacing w:after="120" w:line="240" w:lineRule="auto"/>
      <w:ind w:firstLine="340"/>
      <w:jc w:val="both"/>
    </w:pPr>
    <w:rPr>
      <w:rFonts w:ascii="Calibri" w:eastAsia="Calibri" w:hAnsi="Calibri" w:cs="Times New Roman"/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rsid w:val="000C25C8"/>
    <w:rPr>
      <w:rFonts w:ascii="Calibri" w:eastAsia="Calibri" w:hAnsi="Calibri" w:cs="Times New Roman"/>
      <w:sz w:val="16"/>
      <w:szCs w:val="16"/>
      <w:lang w:val="x-none"/>
    </w:rPr>
  </w:style>
  <w:style w:type="paragraph" w:styleId="ae">
    <w:name w:val="List Paragraph"/>
    <w:basedOn w:val="a"/>
    <w:uiPriority w:val="34"/>
    <w:qFormat/>
    <w:rsid w:val="009F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jpe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emf"/><Relationship Id="rId54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AD10D-C012-4277-9D99-31C75A86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13203</Words>
  <Characters>7527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pawlenko</dc:creator>
  <cp:keywords/>
  <dc:description/>
  <cp:lastModifiedBy>Максим Павленко</cp:lastModifiedBy>
  <cp:revision>4</cp:revision>
  <cp:lastPrinted>2012-02-09T16:55:00Z</cp:lastPrinted>
  <dcterms:created xsi:type="dcterms:W3CDTF">2017-03-30T12:30:00Z</dcterms:created>
  <dcterms:modified xsi:type="dcterms:W3CDTF">2017-05-20T10:46:00Z</dcterms:modified>
</cp:coreProperties>
</file>