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92D8" w14:textId="3BFD7122" w:rsidR="006D0E83" w:rsidRPr="00935B7F" w:rsidRDefault="00E52CB8" w:rsidP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Техническое Задание</w:t>
      </w:r>
      <w:bookmarkStart w:id="0" w:name="_GoBack"/>
      <w:bookmarkEnd w:id="0"/>
    </w:p>
    <w:p w14:paraId="31E82012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Аннотация</w:t>
      </w:r>
    </w:p>
    <w:p w14:paraId="31231479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Название проекта на английском языке - Decentralized ERC20 Token Exchange Platform.</w:t>
      </w:r>
    </w:p>
    <w:p w14:paraId="29D53229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72F21E51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Название проекта на русском языке - Децентрализованная платформа для обмена токенов стандарта ERC20.</w:t>
      </w:r>
    </w:p>
    <w:p w14:paraId="4D81F7F2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0E11D5C2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Структура данного документа основана на стандарте ГОСТ 19.201-78 ЕСПД “Техническое задание. Требования к содержанию и оформлению”.</w:t>
      </w:r>
    </w:p>
    <w:p w14:paraId="5D423AF5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50DCADC8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2CEEED24">
          <v:rect id="_x0000_i1025" style="width:0;height:1.5pt" o:hralign="center" o:hrstd="t" o:hr="t" fillcolor="#a0a0a0" stroked="f"/>
        </w:pict>
      </w:r>
    </w:p>
    <w:p w14:paraId="3D03B742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A4481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Введение</w:t>
      </w:r>
    </w:p>
    <w:p w14:paraId="0342E76D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Технология распределенного реестра позволила создать криптовалюты и децентрализованные платформы, использующие 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собственные токены. На сегоднягний день существует порядка 1470 криптовалют, суммарная рыночная капитализация которых составляет более $500 млрд. Обмен криптовалют происходит на биржах (Bithumb, Binance, Bitfinex) или в интернет-обменниках (Localbitcoins).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 Большинство криптовалютных бирж являются централизованными и привязаны к юрисдикции того или иного государства. Это влечет за собой повышенные риски сохранности активов при текущей тенденции некоторых государств (Китай, Южная Корея, Россия) законодательно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 ограничивать свободный обмен криптовалюты. Сервисы по обмену криптовалют также содержат в себе высокие риски, так как требуют доверие между продавцом и покупателям, при том что продавец может не исполнить свое обязательство и присвоить деньги покупателя с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ебе.</w:t>
      </w:r>
    </w:p>
    <w:p w14:paraId="38B4FCEA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12577F52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Наиболее популярная платформа для выпуска токенов - это Ethereum. С введением стандарта ERC20, активы выпущенные на базе Ethereum стали легко взаимозаменяемыми и гарантированно могут работать с Dapps (децентрализованными приложениями), придерживающи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мися того же стандарта, что в свою очередь сильно упрощает совместимость всех токенов данного стандарта с новыми проектами и услугами. </w:t>
      </w:r>
    </w:p>
    <w:p w14:paraId="41BC1CE5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Более того, возможность использовать эти активы на разных платформах и в разных проектах, сделает их более полезными. В 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противном случае токены будут заблокированы в пределах их собственной экосистемы, что не всегда хорошо. </w:t>
      </w:r>
    </w:p>
    <w:p w14:paraId="68AD4831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5AB7792F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Токен-контракт, придерживающийся стандарта ERC20, может отслеживать, сколько и кому принадлежит токенов в любой момент времени. Поскольку каждый токе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н является подвалютой сети Ethereum, это реализуется легко. Благодаря этому можно производить обмен этих токенов с помощью смарт-контрактов, написанных на языке Solidity. Это позволит разрешить проблему доверия между покупателем и продавцом. </w:t>
      </w:r>
    </w:p>
    <w:p w14:paraId="4BB0E3CE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5C20269B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Децентрализ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ованная платформа </w:t>
      </w:r>
      <w:hyperlink r:id="rId5">
        <w:r w:rsidRPr="00935B7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ethermarket.io</w:t>
        </w:r>
      </w:hyperlink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 позволит создавать автоматические контракты по обмену токенов cтандарта ERC20 между участниками платформы без комиссионных издержек. </w:t>
      </w:r>
    </w:p>
    <w:p w14:paraId="5876012B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4217A7F0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20926972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650C421C">
          <v:rect id="_x0000_i1026" style="width:0;height:1.5pt" o:hralign="center" o:hrstd="t" o:hr="t" fillcolor="#a0a0a0" stroked="f"/>
        </w:pict>
      </w:r>
    </w:p>
    <w:p w14:paraId="2BE40A4A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B847C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Назначение разработки</w:t>
      </w:r>
    </w:p>
    <w:p w14:paraId="45C66D73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Назначение 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данного проекта - создание децентрализованной платформы для p2p обмена токенов стандарта ERC20. Платформа должна представлять собой интернет-сайт.</w:t>
      </w:r>
    </w:p>
    <w:p w14:paraId="6861BDE6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08BF1AB1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225129AE">
          <v:rect id="_x0000_i1027" style="width:0;height:1.5pt" o:hralign="center" o:hrstd="t" o:hr="t" fillcolor="#a0a0a0" stroked="f"/>
        </w:pict>
      </w:r>
    </w:p>
    <w:p w14:paraId="266FAEA0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AFE0D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программе</w:t>
      </w:r>
    </w:p>
    <w:p w14:paraId="60410EF7" w14:textId="77777777" w:rsidR="006D0E83" w:rsidRPr="00935B7F" w:rsidRDefault="00E52CB8">
      <w:pPr>
        <w:pStyle w:val="Heading2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Процесс обмена токенов</w:t>
      </w:r>
    </w:p>
    <w:p w14:paraId="3AE7F631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Для того, чтобы пользователь платформы смог обменять токены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, он должен выбрать наименование токенов для покупки и для продажи из предложенного на сайте списка и задать их количество, таким образом формируется запрос на покупку. Затем платформа выполняет поиск среди продавцов данного токена. Если продавец найден, с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оздается смарт-контракт и совершается обмен.</w:t>
      </w:r>
    </w:p>
    <w:p w14:paraId="6FDC952F" w14:textId="77777777" w:rsidR="006D0E83" w:rsidRPr="00935B7F" w:rsidRDefault="00E52CB8">
      <w:pPr>
        <w:pStyle w:val="Heading2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lastRenderedPageBreak/>
        <w:t>Формирование стоимости токенов</w:t>
      </w:r>
    </w:p>
    <w:p w14:paraId="7C540EAD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3FC4048D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Роли:</w:t>
      </w:r>
    </w:p>
    <w:p w14:paraId="5DEF58E2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Заявитель, Исполнитель, Оракул</w:t>
      </w:r>
    </w:p>
    <w:p w14:paraId="4231B0C4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Заявки принимаются, группируются и хранятся на централизованном сервере.</w:t>
      </w:r>
    </w:p>
    <w:p w14:paraId="075720CE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34922AE5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Заявитель делает запрос, например “Куплю 10 токенов STORJ за ETH” 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→ Наш централизованный сервер подбирает подходящие ордеры и показывает список исполнителей → например:</w:t>
      </w:r>
    </w:p>
    <w:p w14:paraId="66846589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Исполнитель - Продам 10 токенов STORJ за 0.1 ETH</w:t>
      </w:r>
    </w:p>
    <w:p w14:paraId="00382A84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05C3B318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С помощью специальной функции в смартконтракте можно узнать у Оракула справедливую цену, в зависимости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 от которой заявитель может либо принять либо отказаться от услуг исполнителя.</w:t>
      </w:r>
    </w:p>
    <w:p w14:paraId="3FBA487B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687B77B3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После того как обе стороны готовы совершить сделку, удовлетворяющую общим интересам, вызывается смарт контракт.</w:t>
      </w:r>
    </w:p>
    <w:p w14:paraId="63ABFFFE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588897AD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Использование централизованного сервера для мэтчинга ордеров 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>позволяет получить быстрый User Experience как на централизованных биржах, одновременно позволяя совершать обмен децентрализованно.</w:t>
      </w:r>
    </w:p>
    <w:p w14:paraId="0B2FB0FA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3FA5143A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программной совместимости и эксплуатации</w:t>
      </w:r>
    </w:p>
    <w:p w14:paraId="3B05D1C2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694CCD66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4270BEA9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1EB8B534">
          <v:rect id="_x0000_i1028" style="width:0;height:1.5pt" o:hralign="center" o:hrstd="t" o:hr="t" fillcolor="#a0a0a0" stroked="f"/>
        </w:pict>
      </w:r>
    </w:p>
    <w:p w14:paraId="7A4F35DA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1F1F1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Технико-экономические показатели</w:t>
      </w:r>
    </w:p>
    <w:p w14:paraId="503B8D3B" w14:textId="77777777" w:rsidR="006D0E83" w:rsidRPr="00935B7F" w:rsidRDefault="00E52CB8">
      <w:pPr>
        <w:pStyle w:val="Heading2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Ориентировочная экономическая</w:t>
      </w:r>
      <w:r w:rsidRPr="00935B7F">
        <w:rPr>
          <w:rFonts w:ascii="Times New Roman" w:hAnsi="Times New Roman" w:cs="Times New Roman"/>
          <w:color w:val="000000"/>
          <w:sz w:val="24"/>
          <w:szCs w:val="24"/>
        </w:rPr>
        <w:t xml:space="preserve"> эффективность</w:t>
      </w:r>
    </w:p>
    <w:p w14:paraId="17A5F2BE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545E227D" w14:textId="77777777" w:rsidR="006D0E83" w:rsidRPr="00935B7F" w:rsidRDefault="00E52CB8">
      <w:pPr>
        <w:pStyle w:val="Heading2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Предполагаемая годовая потребность</w:t>
      </w:r>
    </w:p>
    <w:p w14:paraId="3A5DE97B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3FD2E5E1" w14:textId="77777777" w:rsidR="006D0E83" w:rsidRPr="00935B7F" w:rsidRDefault="00E52CB8">
      <w:pPr>
        <w:pStyle w:val="Heading2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Преимущества разработки по сравнению с аналогами</w:t>
      </w:r>
    </w:p>
    <w:p w14:paraId="18C9CC8C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10B8C83E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1BE69A8A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2F0C6030">
          <v:rect id="_x0000_i1029" style="width:0;height:1.5pt" o:hralign="center" o:hrstd="t" o:hr="t" fillcolor="#a0a0a0" stroked="f"/>
        </w:pict>
      </w:r>
    </w:p>
    <w:p w14:paraId="78C35375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59999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Стадии и этапы разработки</w:t>
      </w:r>
    </w:p>
    <w:p w14:paraId="6CC28A93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7E4B1D50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22B08644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691BB073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p w14:paraId="664D0C22" w14:textId="77777777" w:rsidR="006D0E83" w:rsidRPr="00935B7F" w:rsidRDefault="006D0E8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34D764D2" w14:textId="77777777" w:rsidR="006D0E83" w:rsidRPr="00935B7F" w:rsidRDefault="00E52CB8">
      <w:pPr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pict w14:anchorId="08D2D22E">
          <v:rect id="_x0000_i1030" style="width:0;height:1.5pt" o:hralign="center" o:hrstd="t" o:hr="t" fillcolor="#a0a0a0" stroked="f"/>
        </w:pict>
      </w:r>
    </w:p>
    <w:p w14:paraId="4643986B" w14:textId="77777777" w:rsidR="006D0E83" w:rsidRPr="00935B7F" w:rsidRDefault="006D0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B0954" w14:textId="77777777" w:rsidR="006D0E83" w:rsidRPr="00935B7F" w:rsidRDefault="00E52CB8">
      <w:pPr>
        <w:pStyle w:val="Heading1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color w:val="000000"/>
          <w:sz w:val="24"/>
          <w:szCs w:val="24"/>
        </w:rPr>
        <w:t>Порядок контроля и приемки</w:t>
      </w:r>
    </w:p>
    <w:p w14:paraId="35E1A7CB" w14:textId="77777777" w:rsidR="006D0E83" w:rsidRPr="00935B7F" w:rsidRDefault="00E52CB8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935B7F">
        <w:rPr>
          <w:rFonts w:ascii="Times New Roman" w:hAnsi="Times New Roman" w:cs="Times New Roman"/>
          <w:sz w:val="24"/>
          <w:szCs w:val="24"/>
        </w:rPr>
        <w:br/>
      </w:r>
    </w:p>
    <w:sectPr w:rsidR="006D0E83" w:rsidRPr="00935B7F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C24F7"/>
    <w:multiLevelType w:val="multilevel"/>
    <w:tmpl w:val="8A9AA780"/>
    <w:lvl w:ilvl="0">
      <w:start w:val="1"/>
      <w:numFmt w:val="none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4660EF"/>
    <w:multiLevelType w:val="multilevel"/>
    <w:tmpl w:val="DE8AEE6C"/>
    <w:lvl w:ilvl="0">
      <w:start w:val="1"/>
      <w:numFmt w:val="none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6D0E83"/>
    <w:rsid w:val="006D0E83"/>
    <w:rsid w:val="00935B7F"/>
    <w:rsid w:val="00E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D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thermarket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3598</Characters>
  <Application>Microsoft Macintosh Word</Application>
  <DocSecurity>0</DocSecurity>
  <Lines>29</Lines>
  <Paragraphs>8</Paragraphs>
  <ScaleCrop>false</ScaleCrop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Amirkhan Djumaniyazov</cp:lastModifiedBy>
  <cp:revision>3</cp:revision>
  <dcterms:created xsi:type="dcterms:W3CDTF">2018-01-21T20:51:00Z</dcterms:created>
  <dcterms:modified xsi:type="dcterms:W3CDTF">2018-01-21T20:51:00Z</dcterms:modified>
</cp:coreProperties>
</file>