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Beta Regression Results: Internal State Characteristics</w:t>
      </w:r>
    </w:p>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Internal State Characteristics Do Not Predict Statutory Content</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3600"/>
        <w:gridCol w:w="1728"/>
        <w:gridCol w:w="1440"/>
        <w:gridCol w:w="720"/>
        <w:gridCol w:w="1152"/>
      </w:tblGrid>
      <w:tr>
        <w:trPr>
          <w:trHeight w:val="360"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Model Results</w:t>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
            </w:r>
          </w:p>
        </w:tc>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
            </w:r>
          </w:p>
        </w:tc>
      </w:tr>
      <w:tr>
        <w:trPr>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Hypothesis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Coefficient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p-value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w:rPr>
                <w:rFonts w:ascii="Helvetica" w:hAnsi="Helvetica" w:eastAsia="Helvetica" w:cs="Helvetica"/>
                <w:i w:val="false"/>
                <w:b w:val="true"/>
                <w:u w:val="none"/>
                <w:strike w:val="false"/>
                <w:sz w:val="20"/>
                <w:szCs w:val="20"/>
                <w:color w:val="000000"/>
              </w:rPr>
              <w:t xml:space="preserve">Pseudo R²</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H1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Agricultural Cash Receipts (log $1000s)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0.003</w:t>
            </w:r>
            <w:r>
              <w:rPr>
                <w:rFonts w:ascii="Helvetica" w:hAnsi="Helvetica" w:eastAsia="Helvetica" w:cs="Helvetica"/>
                <w:i w:val="false"/>
                <w:b w:val="false"/>
                <w:u w:val="none"/>
                <w:strike w:val="false"/>
                <w:sz w:val="20"/>
                <w:szCs w:val="20"/>
                <w:color w:val="000000"/>
              </w:rPr>
              <w:br/>
            </w:r>
            <w:r>
              <w:rPr>
                <w:rFonts w:ascii="Helvetica" w:hAnsi="Helvetica" w:eastAsia="Helvetica" w:cs="Helvetica"/>
                <w:i w:val="false"/>
                <w:b w:val="false"/>
                <w:u w:val="none"/>
                <w:strike w:val="false"/>
                <w:sz w:val="20"/>
                <w:szCs w:val="20"/>
                <w:color w:val="000000"/>
              </w:rPr>
              <w:t xml:space="preserve">(0.115)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0.979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-0.000</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H2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Governor Party (1=Republican)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-0.224</w:t>
            </w:r>
            <w:r>
              <w:rPr>
                <w:rFonts w:ascii="Helvetica" w:hAnsi="Helvetica" w:eastAsia="Helvetica" w:cs="Helvetica"/>
                <w:i w:val="false"/>
                <w:b w:val="false"/>
                <w:u w:val="none"/>
                <w:strike w:val="false"/>
                <w:sz w:val="20"/>
                <w:szCs w:val="20"/>
                <w:color w:val="000000"/>
              </w:rPr>
              <w:br/>
            </w:r>
            <w:r>
              <w:rPr>
                <w:rFonts w:ascii="Helvetica" w:hAnsi="Helvetica" w:eastAsia="Helvetica" w:cs="Helvetica"/>
                <w:i w:val="false"/>
                <w:b w:val="false"/>
                <w:u w:val="none"/>
                <w:strike w:val="false"/>
                <w:sz w:val="20"/>
                <w:szCs w:val="20"/>
                <w:color w:val="000000"/>
              </w:rPr>
              <w:t xml:space="preserve">(0.308)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-0.011</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H3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Litigation Cases (log count)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-0.071</w:t>
            </w:r>
            <w:r>
              <w:rPr>
                <w:rFonts w:ascii="Helvetica" w:hAnsi="Helvetica" w:eastAsia="Helvetica" w:cs="Helvetica"/>
                <w:i w:val="false"/>
                <w:b w:val="false"/>
                <w:u w:val="none"/>
                <w:strike w:val="false"/>
                <w:sz w:val="20"/>
                <w:szCs w:val="20"/>
                <w:color w:val="000000"/>
              </w:rPr>
              <w:br/>
            </w:r>
            <w:r>
              <w:rPr>
                <w:rFonts w:ascii="Helvetica" w:hAnsi="Helvetica" w:eastAsia="Helvetica" w:cs="Helvetica"/>
                <w:i w:val="false"/>
                <w:b w:val="false"/>
                <w:u w:val="none"/>
                <w:strike w:val="false"/>
                <w:sz w:val="20"/>
                <w:szCs w:val="20"/>
                <w:color w:val="000000"/>
              </w:rPr>
              <w:t xml:space="preserve">(0.159)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0.656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w:rPr>
                <w:rFonts w:ascii="Helvetica" w:hAnsi="Helvetica" w:eastAsia="Helvetica" w:cs="Helvetica"/>
                <w:i w:val="false"/>
                <w:b w:val="false"/>
                <w:u w:val="none"/>
                <w:strike w:val="false"/>
                <w:sz w:val="20"/>
                <w:szCs w:val="20"/>
                <w:color w:val="000000"/>
              </w:rPr>
              <w:t xml:space="preserve">-0.004</w:t>
            </w:r>
          </w:p>
        </w:tc>
      </w:tr>
      <w:tr>
        <w:trPr>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Notes: Dependent variable is Topic 1 (Liability/Warning Language) proportion from Structural Topic Model (K=4).</w:t>
            </w:r>
          </w:p>
        </w:tc>
      </w:tr>
      <w:tr>
        <w:trPr>
          <w:trHeight w:val="360" w:hRule="auto"/>
        </w:trPr>
        footer2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Beta regression used for bounded (0,1) dependent variable. Standard errors in parentheses.</w:t>
            </w:r>
          </w:p>
        </w:tc>
      </w:tr>
      <w:tr>
        <w:trPr>
          <w:trHeight w:val="360" w:hRule="auto"/>
        </w:trPr>
        footer3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Agricultural cash receipts from USDA Economic Research Service Farm Income and Wealth Statistics.</w:t>
            </w:r>
          </w:p>
        </w:tc>
      </w:tr>
      <w:tr>
        <w:trPr>
          <w:trHeight w:val="360" w:hRule="auto"/>
        </w:trPr>
        footer4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Governor party: 1 = Republican, 0 = Democrat at time of statute enactment.</w:t>
            </w:r>
          </w:p>
        </w:tc>
      </w:tr>
      <w:tr>
        <w:trPr>
          <w:trHeight w:val="360" w:hRule="auto"/>
        </w:trPr>
        footer5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Case counts from comprehensive legal database search.</w:t>
            </w:r>
          </w:p>
        </w:tc>
      </w:tr>
      <w:tr>
        <w:trPr>
          <w:trHeight w:val="360" w:hRule="auto"/>
        </w:trPr>
        footer6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N=43 for all hypotheses (complete coverage).</w:t>
            </w:r>
          </w:p>
        </w:tc>
      </w:tr>
      <w:tr>
        <w:trPr>
          <w:trHeight w:val="360" w:hRule="auto"/>
        </w:trPr>
        footer7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 p &lt; 0.10, * p &lt; 0.05, ** p &lt; 0.01, *** p &lt; 0.001</w:t>
            </w:r>
          </w:p>
        </w:tc>
      </w:tr>
    </w:tbl>
    <w:p>
      <w:pPr>
        <w:pStyle w:val="Normal"/>
      </w:pPr>
      <w:r>
        <w:t xml:space="preserve"/>
      </w:r>
    </w:p>
    <w:p>
      <w:pPr>
        <w:pStyle w:val="Titre2"/>
      </w:pPr>
      <w:r>
        <w:t xml:space="preserve">Summary of Findings</w:t>
      </w:r>
    </w:p>
    <w:p>
      <w:pPr>
        <w:pStyle w:val="Normal"/>
      </w:pPr>
      <w:r>
        <w:t xml:space="preserve">All three internal state characteristics show no significant relationship with statutory content. Agricultural economic importance (N=43, β=0.003, p=0.979), political ideology (N=43, β=-0.224, p=0.467), and policy problem severity (N=43, β=-0.071, p=0.656) are all non-significant predictors. These null findings, combined with complete data coverage (N=43 for all hypotheses), provide strong evidence that internal state characteristics do not determine statutory content. This supports the hypothesis that external diffusion mechanisms, rather than rational internal design, drive policy convergence.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mbwhitford</cp:lastModifiedBy>
  <cp:revision>9</cp:revision>
  <dcterms:created xsi:type="dcterms:W3CDTF">2017-02-28T11:18:00Z</dcterms:created>
  <dcterms:modified xsi:type="dcterms:W3CDTF">2026-01-03T08:10:42Z</dcterms:modified>
  <cp:category/>
</cp:coreProperties>
</file>