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Corpus Summary Statistics</w:t>
      </w:r>
    </w:p>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Corpus Summary Statistics - Agritourism Statutes (N=43)</w:t>
      </w:r>
    </w:p>
    <w:tbl xmlns:a="http://schemas.openxmlformats.org/drawingml/2006/main" xmlns:pic="http://schemas.openxmlformats.org/drawingml/2006/picture">
      <w:tblPr>
        <w:tblLayout w:type="fixed"/>
        <w:jc w:val="center"/>
        <w:tblLook w:firstRow="1" w:lastRow="0" w:firstColumn="0" w:lastColumn="0" w:noHBand="0" w:noVBand="1"/>
      </w:tblPr>
      <w:tblGrid>
        <w:gridCol w:w="2160"/>
        <w:gridCol w:w="1728"/>
        <w:gridCol w:w="1728"/>
        <w:gridCol w:w="1728"/>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Words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Tokens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Sentences</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Documents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43.0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43.0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43.0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1,231.4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1,262.8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38.4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984.0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1,004.0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35.0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779.8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801.9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22.0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298.0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299.0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6.0</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4,358.0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4,510.0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102.0</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52,952.0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54,301.0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1,651.0</w:t>
            </w:r>
          </w:p>
        </w:tc>
      </w:tr>
      <w:tr>
        <w:trPr>
          <w:trHeight w:val="360" w:hRule="auto"/>
        </w:trPr>
        footer1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Notes: Statistics calculated from text of state agritourism liability statutes.</w:t>
            </w:r>
          </w:p>
        </w:tc>
      </w:tr>
      <w:tr>
        <w:trPr>
          <w:trHeight w:val="360" w:hRule="auto"/>
        </w:trPr>
        footer2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Words = whitespace-separated tokens; Tokens = alphanumeric sequences.</w:t>
            </w:r>
          </w:p>
        </w:tc>
      </w:tr>
      <w:tr>
        <w:trPr>
          <w:trHeight w:val="360" w:hRule="auto"/>
        </w:trPr>
        footer3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Sentences estimated using terminal punctuation (., !, ?).</w:t>
            </w:r>
          </w:p>
        </w:tc>
      </w:tr>
      <w:tr>
        <w:trPr>
          <w:trHeight w:val="360" w:hRule="auto"/>
        </w:trPr>
        footer4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N=43 states included (Connecticut excluded from analysis).</w:t>
            </w:r>
          </w:p>
        </w:tc>
      </w:tr>
    </w:tbl>
    <w:p>
      <w:pPr>
        <w:pStyle w:val="Normal"/>
      </w:pPr>
      <w:r>
        <w:t xml:space="preserve"/>
      </w:r>
    </w:p>
    <w:p>
      <w:pPr>
        <w:pStyle w:val="Titre2"/>
      </w:pPr>
      <w:r>
        <w:t xml:space="preserve">Interpretation</w:t>
      </w:r>
    </w:p>
    <w:p>
      <w:pPr>
        <w:pStyle w:val="Normal"/>
      </w:pPr>
      <w:r>
        <w:t xml:space="preserve">The corpus consists of 43 state agritourism liability statutes enacted between 2003 and 2021. Documents average 1231 words (SD=780, range=298–4358), with a median of 984 words. The total corpus contains 52,952 words across all documents. Document length variation reflects differences in statutory scope and detail, with some states enacting brief liability shields while others include comprehensive regulatory frameworks.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mbwhitford</cp:lastModifiedBy>
  <cp:revision>9</cp:revision>
  <dcterms:created xsi:type="dcterms:W3CDTF">2017-02-28T11:18:00Z</dcterms:created>
  <dcterms:modified xsi:type="dcterms:W3CDTF">2026-01-03T08:57:31Z</dcterms:modified>
  <cp:category/>
</cp:coreProperties>
</file>