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OLS Robustness Check: Internal State Characteristics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OLS Robustness Check - Internal State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3600"/>
        <w:gridCol w:w="1728"/>
        <w:gridCol w:w="1440"/>
        <w:gridCol w:w="720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Results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Hypothesis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Cash Receipts (log $1000s)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Governor Party (1=Republican)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Litigation Cases (log count)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Dependent variable is Topic 1 (Liability/Warning Language) proportion from Structural Topic Model (K=4).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OLS regression presented as robustness check for beta regression results.</w:t>
            </w:r>
          </w:p>
        </w:tc>
      </w:tr>
      <w:tr>
        <w:trPr>
          <w:trHeight w:val="360" w:hRule="auto"/>
        </w:trPr>
        footer3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Standard errors in parentheses.</w:t>
            </w:r>
          </w:p>
        </w:tc>
      </w:tr>
      <w:tr>
        <w:trPr>
          <w:trHeight w:val="360" w:hRule="auto"/>
        </w:trPr>
        footer4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Agricultural cash receipts from USDA Economic Research Service Farm Income and Wealth Statistics.</w:t>
            </w:r>
          </w:p>
        </w:tc>
      </w:tr>
      <w:tr>
        <w:trPr>
          <w:trHeight w:val="360" w:hRule="auto"/>
        </w:trPr>
        footer5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Governor party: 1 = Republican, 0 = Democrat at time of statute enactment.</w:t>
            </w:r>
          </w:p>
        </w:tc>
      </w:tr>
      <w:tr>
        <w:trPr>
          <w:trHeight w:val="360" w:hRule="auto"/>
        </w:trPr>
        footer6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 counts from comprehensive legal database search.</w:t>
            </w:r>
          </w:p>
        </w:tc>
      </w:tr>
      <w:tr>
        <w:trPr>
          <w:trHeight w:val="360" w:hRule="auto"/>
        </w:trPr>
        footer7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N=43 for all hypotheses (complete coverage).</w:t>
            </w:r>
          </w:p>
        </w:tc>
      </w:tr>
      <w:tr>
        <w:trPr>
          <w:trHeight w:val="360" w:hRule="auto"/>
        </w:trPr>
        footer8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Results consistent with beta regression (all null findings remain non-significant).</w:t>
            </w:r>
          </w:p>
        </w:tc>
      </w:tr>
      <w:tr>
        <w:trPr>
          <w:trHeight w:val="360" w:hRule="auto"/>
        </w:trPr>
        footer9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† p &lt; 0.10, * p &lt; 0.05, ** p &lt; 0.01, *** p 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Interpretation</w:t>
      </w:r>
    </w:p>
    <w:p>
      <w:pPr>
        <w:pStyle w:val="Normal"/>
      </w:pPr>
      <w:r>
        <w:t xml:space="preserve">OLS regression results confirm the beta regression findings. All three internal state characteristics remain non-significant predictors of statutory content. Agricultural economic importance (N=43, β=-0.002, p=0.936), political ideology (N=43, β=-0.011, p=0.867), and policy problem severity (N=43, β=-0.009, p=0.790) show no relationship with Topic 1 (Liability/Warning Language) proportions. The consistency between OLS and beta regression results demonstrates that the null findings are robust to model specification.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mbwhitford</cp:lastModifiedBy>
  <cp:revision>9</cp:revision>
  <dcterms:created xsi:type="dcterms:W3CDTF">2017-02-28T11:18:00Z</dcterms:created>
  <dcterms:modified xsi:type="dcterms:W3CDTF">2026-01-03T08:30:11Z</dcterms:modified>
  <cp:category/>
</cp:coreProperties>
</file>