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einleitung"/>
    <w:p>
      <w:pPr>
        <w:spacing w:after="40" w:before="0"/>
        <w:jc w:val="center"/>
      </w:pPr>
      <w:r>
        <w:rPr>
          <w:rFonts w:ascii="Times New Roman" w:hAnsi="Times New Roman"/>
          <w:b w:val="0"/>
          <w:i w:val="0"/>
          <w:sz w:val="24"/>
        </w:rPr>
        <w:t>[Name der Schule]</w:t>
      </w:r>
    </w:p>
    <w:p>
      <w:pPr>
        <w:spacing w:after="0" w:before="0"/>
        <w:jc w:val="center"/>
      </w:pPr>
      <w:r>
        <w:rPr>
          <w:rFonts w:ascii="Times New Roman" w:hAnsi="Times New Roman"/>
          <w:b w:val="0"/>
          <w:i w:val="0"/>
          <w:sz w:val="24"/>
        </w:rPr>
        <w:t>W-Seminar im Fach [Fach] — [Titel des W-Seminars]</w:t>
      </w:r>
    </w:p>
    <w:p>
      <w:pPr>
        <w:spacing w:after="0" w:before="0"/>
        <w:jc w:val="center"/>
      </w:pPr>
    </w:p>
    <w:p>
      <w:pPr>
        <w:spacing w:after="0" w:before="0"/>
        <w:jc w:val="center"/>
      </w:pPr>
    </w:p>
    <w:p>
      <w:pPr>
        <w:spacing w:after="0" w:before="0"/>
        <w:jc w:val="center"/>
      </w:pPr>
    </w:p>
    <w:p>
      <w:pPr>
        <w:spacing w:after="0" w:before="0"/>
        <w:jc w:val="center"/>
      </w:pPr>
    </w:p>
    <w:p>
      <w:pPr>
        <w:spacing w:after="80" w:before="0"/>
        <w:jc w:val="center"/>
      </w:pPr>
      <w:r>
        <w:rPr>
          <w:rFonts w:ascii="Times New Roman" w:hAnsi="Times New Roman"/>
          <w:b/>
          <w:i w:val="0"/>
          <w:sz w:val="44"/>
        </w:rPr>
        <w:t>Markowitz versus Random Forest</w:t>
      </w:r>
    </w:p>
    <w:p>
      <w:pPr>
        <w:spacing w:after="0" w:before="0"/>
        <w:jc w:val="center"/>
      </w:pPr>
      <w:r>
        <w:rPr>
          <w:rFonts w:ascii="Times New Roman" w:hAnsi="Times New Roman"/>
          <w:b w:val="0"/>
          <w:i/>
          <w:sz w:val="28"/>
        </w:rPr>
        <w:t>Ein statistisch abgesicherter Vergleich von Portfolio­optimierungs­strategien</w:t>
      </w:r>
    </w:p>
    <w:p>
      <w:pPr>
        <w:spacing w:after="0" w:before="0"/>
        <w:jc w:val="center"/>
      </w:pPr>
    </w:p>
    <w:p>
      <w:pPr>
        <w:spacing w:after="0" w:before="0"/>
        <w:jc w:val="center"/>
      </w:pPr>
    </w:p>
    <w:p>
      <w:pPr>
        <w:spacing w:after="0" w:before="0"/>
        <w:jc w:val="center"/>
      </w:pPr>
    </w:p>
    <w:p>
      <w:pPr>
        <w:spacing w:after="0" w:before="0"/>
        <w:jc w:val="center"/>
      </w:pPr>
    </w:p>
    <w:p>
      <w:pPr>
        <w:spacing w:after="0" w:before="0"/>
        <w:jc w:val="center"/>
      </w:pPr>
    </w:p>
    <w:p>
      <w:pPr>
        <w:spacing w:after="40" w:before="0"/>
        <w:jc w:val="center"/>
      </w:pPr>
      <w:r>
        <w:rPr>
          <w:rFonts w:ascii="Times New Roman" w:hAnsi="Times New Roman"/>
          <w:b/>
          <w:i w:val="0"/>
          <w:sz w:val="24"/>
        </w:rPr>
        <w:t>Seminararbeit</w:t>
      </w:r>
    </w:p>
    <w:p>
      <w:pPr>
        <w:spacing w:after="0" w:before="0"/>
        <w:jc w:val="center"/>
      </w:pPr>
      <w:r>
        <w:rPr>
          <w:rFonts w:ascii="Times New Roman" w:hAnsi="Times New Roman"/>
          <w:b w:val="0"/>
          <w:i w:val="0"/>
          <w:sz w:val="24"/>
        </w:rPr>
        <w:t>von [Vorname Nachname]</w:t>
      </w:r>
    </w:p>
    <w:p>
      <w:pPr>
        <w:spacing w:after="0" w:before="0"/>
        <w:jc w:val="center"/>
      </w:pPr>
    </w:p>
    <w:p>
      <w:pPr>
        <w:spacing w:after="0" w:before="0"/>
        <w:jc w:val="center"/>
      </w:pPr>
    </w:p>
    <w:p>
      <w:pPr>
        <w:spacing w:after="0" w:before="0"/>
        <w:jc w:val="center"/>
      </w:pPr>
    </w:p>
    <w:p>
      <w:pPr>
        <w:spacing w:after="0" w:before="0"/>
        <w:jc w:val="center"/>
      </w:pPr>
    </w:p>
    <w:p>
      <w:pPr>
        <w:spacing w:after="40" w:before="0"/>
        <w:jc w:val="center"/>
      </w:pPr>
      <w:r>
        <w:rPr>
          <w:rFonts w:ascii="Times New Roman" w:hAnsi="Times New Roman"/>
          <w:b w:val="0"/>
          <w:i w:val="0"/>
          <w:sz w:val="24"/>
        </w:rPr>
        <w:t>Betreuende Lehrkraft: [Name der Lehrkraft]</w:t>
      </w:r>
    </w:p>
    <w:p>
      <w:pPr>
        <w:spacing w:after="40" w:before="0"/>
        <w:jc w:val="center"/>
      </w:pPr>
      <w:r>
        <w:rPr>
          <w:rFonts w:ascii="Times New Roman" w:hAnsi="Times New Roman"/>
          <w:b w:val="0"/>
          <w:i w:val="0"/>
          <w:sz w:val="24"/>
        </w:rPr>
        <w:t>Abgabetermin: [TT.MM.JJJJ]</w:t>
      </w:r>
    </w:p>
    <w:p>
      <w:pPr>
        <w:spacing w:after="0" w:before="0"/>
        <w:jc w:val="center"/>
      </w:pPr>
      <w:r>
        <w:rPr>
          <w:rFonts w:ascii="Times New Roman" w:hAnsi="Times New Roman"/>
          <w:b w:val="0"/>
          <w:i w:val="0"/>
          <w:sz w:val="24"/>
        </w:rPr>
        <w:t>[Ort], [TT.MM.JJJJ]</w:t>
      </w:r>
    </w:p>
    <w:p>
      <w:r>
        <w:br w:type="page"/>
      </w:r>
    </w:p>
    <w:p>
      <w:pPr>
        <w:pStyle w:val="Heading1"/>
        <w:sectPr>
          <w:type w:val="nextPage"/>
          <w:footerReference w:type="default" r:id="rId10"/>
          <w:footnotePr>
            <w:numRestart w:val="eachSect"/>
          </w:footnotePr>
          <w:pgMar w:bottom="1417" w:left="1984" w:right="1417" w:top="1417"/>
        </w:sectPr>
      </w:pPr>
      <w:r>
        <w:t>Inhaltsverzeichnis</w:t>
      </w:r>
    </w:p>
    <w:p>
      <w:pPr>
        <w:pStyle w:val="Heading1"/>
      </w:pPr>
      <w:r>
        <w:t xml:space="preserve">1 Einleitung</w:t>
      </w:r>
    </w:p>
    <w:bookmarkStart w:id="12" w:name="motivation"/>
    <w:p>
      <w:pPr>
        <w:pStyle w:val="Heading2"/>
      </w:pPr>
      <w:r>
        <w:t xml:space="preserve">1.1 Motivation</w:t>
      </w:r>
    </w:p>
    <w:p>
      <w:pPr>
        <w:pStyle w:val="FirstParagraph"/>
      </w:pPr>
      <w:r>
        <w:t xml:space="preserve">Die Frage, wie ein Anleger sein Vermögen optimal auf verschiedene Wertpapiere verteilt, gehört zu den ältesten der Finanzwissenschaft. Mit der Arbeit von Markowitz erhielt sie 1952 ein mathematisches Fundament: Seither lässt sich die Portfoliowahl als Abwägung zwischen erwarteter Rendite und Risiko (Varianz) beschreiben.</w:t>
      </w:r>
      <w:r>
        <w:rPr>
          <w:rStyle w:val="FootnoteReference"/>
        </w:rPr>
        <w:footnoteReference w:id="9"/>
      </w:r>
      <w:r>
        <w:t xml:space="preserve"> </w:t>
      </w:r>
      <w:r>
        <w:t xml:space="preserve">In den folgenden Jahrzehnten wurde dieses Verfahren verfeinert – und zugleich grundlegend in Frage gestellt, weil seine „optimalen” Lösungen empfindlich auf Schätzfehler reagieren und schon eine naive Gleichverteilung out-of-sample oft nicht zu schlagen ist.</w:t>
      </w:r>
      <w:r>
        <w:rPr>
          <w:rStyle w:val="FootnoteReference"/>
        </w:rPr>
        <w:footnoteReference w:id="10"/>
      </w:r>
    </w:p>
    <w:p>
      <w:pPr>
        <w:pStyle w:val="BodyText"/>
      </w:pPr>
      <w:r>
        <w:t xml:space="preserve">Zugleich hält das maschinelle Lernen Einzug in die Finanzwelt: Verfahren wie der Random Forest versprechen, aus großen Datenmengen bessere Renditeprognosen zu gewinnen.</w:t>
      </w:r>
      <w:r>
        <w:rPr>
          <w:rStyle w:val="FootnoteReference"/>
        </w:rPr>
        <w:footnoteReference w:id="11"/>
      </w:r>
      <w:r>
        <w:t xml:space="preserve"> </w:t>
      </w:r>
      <w:r>
        <w:t xml:space="preserve">Damit stellt sich neu und konkret die Frage, ob solche datengetriebenen Methoden die klassische Optimierung und die simple Gleichverteilung tatsächlich übertreffen – oder ob ihr scheinbarer Vorsprung bloß ein Zufall des betrachteten Zeitraums ist.</w:t>
      </w:r>
    </w:p>
    <w:bookmarkEnd w:id="12"/>
    <w:bookmarkStart w:id="13" w:name="forschungsfrage-und-leitfragen"/>
    <w:p>
      <w:pPr>
        <w:pStyle w:val="Heading2"/>
      </w:pPr>
      <w:r>
        <w:t xml:space="preserve">1.2 Forschungsfrage und Leitfragen</w:t>
      </w:r>
    </w:p>
    <w:p>
      <w:pPr>
        <w:pStyle w:val="FirstParagraph"/>
      </w:pPr>
      <w:r>
        <w:t xml:space="preserve">Die vorliegende Arbeit untersucht daher die folgende Forschungsfrage:</w:t>
      </w:r>
      <w:r>
        <w:t xml:space="preserve"> </w:t>
      </w:r>
      <w:r>
        <w:rPr>
          <w:i/>
          <w:iCs/>
        </w:rPr>
        <w:t xml:space="preserve">Kann eine Random-Forest-gestützte Portfoliooptimierung die klassische Markowitz-Mean-Variance-Optimierung und die naive 1/N-Diversifikation hinsichtlich der risikoadjustierten Rendite übertreffen – und ist ein etwaiger Vorsprung statistisch belastbar?</w:t>
      </w:r>
    </w:p>
    <w:p>
      <w:pPr>
        <w:pStyle w:val="BodyText"/>
      </w:pPr>
      <w:r>
        <w:t xml:space="preserve">Zur Beantwortung dienen fünf Leitfragen:</w:t>
      </w:r>
    </w:p>
    <w:p>
      <w:pPr>
        <w:pStyle w:val="Compact"/>
        <w:numPr>
          <w:ilvl w:val="0"/>
          <w:numId w:val="1001"/>
        </w:numPr>
      </w:pPr>
      <w:r>
        <w:t xml:space="preserve">Auf welcher mathematischen Theorie beruht die Mean-Variance-Optimierung, und welche Schwächen hat sie?</w:t>
      </w:r>
    </w:p>
    <w:p>
      <w:pPr>
        <w:pStyle w:val="Compact"/>
        <w:numPr>
          <w:ilvl w:val="0"/>
          <w:numId w:val="1001"/>
        </w:numPr>
      </w:pPr>
      <w:r>
        <w:t xml:space="preserve">Wie funktioniert ein Random Forest, und wie lässt er sich zur Renditeprognose einsetzen?</w:t>
      </w:r>
    </w:p>
    <w:p>
      <w:pPr>
        <w:pStyle w:val="Compact"/>
        <w:numPr>
          <w:ilvl w:val="0"/>
          <w:numId w:val="1001"/>
        </w:numPr>
      </w:pPr>
      <w:r>
        <w:t xml:space="preserve">Wie vergleicht man Anlagestrategien methodisch sauber und verzerrungsfrei?</w:t>
      </w:r>
    </w:p>
    <w:p>
      <w:pPr>
        <w:pStyle w:val="Compact"/>
        <w:numPr>
          <w:ilvl w:val="0"/>
          <w:numId w:val="1001"/>
        </w:numPr>
      </w:pPr>
      <w:r>
        <w:t xml:space="preserve">Sind beobachtete Performance-Unterschiede statistisch signifikant oder Zufall?</w:t>
      </w:r>
    </w:p>
    <w:p>
      <w:pPr>
        <w:pStyle w:val="Compact"/>
        <w:numPr>
          <w:ilvl w:val="0"/>
          <w:numId w:val="1001"/>
        </w:numPr>
      </w:pPr>
      <w:r>
        <w:t xml:space="preserve">Welche Ergebnisse liefert der empirische Vergleich, und welche Grenzen hat er?</w:t>
      </w:r>
    </w:p>
    <w:bookmarkEnd w:id="13"/>
    <w:bookmarkStart w:id="14" w:name="aufbau-der-arbeit"/>
    <w:p>
      <w:pPr>
        <w:pStyle w:val="Heading2"/>
      </w:pPr>
      <w:r>
        <w:t xml:space="preserve">1.3 Aufbau der Arbeit</w:t>
      </w:r>
    </w:p>
    <w:p>
      <w:pPr>
        <w:pStyle w:val="FirstParagraph"/>
      </w:pPr>
      <w:r>
        <w:t xml:space="preserve">Kapitel 2 entwickelt die Theorie der Mean-Variance-Optimierung samt ihrer Schätzproblematik und der 1/N-Benchmark; Kapitel 3 erläutert den Random Forest und seinen Einsatz in der Renditeprognose. Kapitel 4 beschreibt die Methodik des empirischen Vergleichs, Kapitel 5 die statistischen Verfahren zur Signifikanzprüfung. Kapitel 6 dokumentiert die Implementierung, Kapitel 7 präsentiert die Ergebnisse. Kapitel 8 diskutiert diese kritisch und benennt die Limitationen, Kapitel 9 fasst die Befunde zusammen und gibt einen Ausblick.</w:t>
      </w:r>
    </w:p>
    <w:bookmarkEnd w:id="14"/>
    <w:bookmarkEnd w:id="15"/>
    <w:bookmarkStart w:id="84" w:name="X755ea9fba24d7bd83bac3177d33a2b4bdfbef71"/>
    <w:p>
      <w:pPr>
        <w:pStyle w:val="Heading1"/>
      </w:pPr>
      <w:r>
        <w:t xml:space="preserve">2 Theoretische Grundlagen der Portfoliooptimierung</w:t>
      </w:r>
    </w:p>
    <w:bookmarkStart w:id="20" w:name="rendite-und-risiko-einer-anlage"/>
    <w:p>
      <w:pPr>
        <w:pStyle w:val="Heading2"/>
      </w:pPr>
      <w:r>
        <w:t xml:space="preserve">2.1 Rendite und Risiko einer Anlage</w:t>
      </w:r>
    </w:p>
    <w:p>
      <w:pPr>
        <w:pStyle w:val="FirstParagraph"/>
      </w:pPr>
      <w:r>
        <w:t xml:space="preserve">Die moderne Portfoliotheorie geht auf Markowitz zurück, der den Auswahlprozess in zwei Stufen gliedert: Die erste Stufe führt von Beobachtung und Erfahrung zu Erwartungen über die künftige Wertentwicklung der Wertpapiere, die zweite von diesen Erwartungen zur Wahl des Portfolios.</w:t>
      </w:r>
      <w:r>
        <w:rPr>
          <w:rStyle w:val="FootnoteReference"/>
        </w:rPr>
        <w:footnoteReference w:id="16"/>
      </w:r>
      <w:r>
        <w:t xml:space="preserve"> </w:t>
      </w:r>
      <w:r>
        <w:t xml:space="preserve">Grundlegend ist dabei die Annahme, dass der Anleger die erwartete Rendite als wünschenswert und die Streuung der Rendite als unerwünscht ansieht.</w:t>
      </w:r>
      <w:r>
        <w:rPr>
          <w:rStyle w:val="FootnoteReference"/>
        </w:rPr>
        <w:footnoteReference w:id="17"/>
      </w:r>
      <w:r>
        <w:t xml:space="preserve"> </w:t>
      </w:r>
      <w:r>
        <w:t xml:space="preserve">Diese beiden Größen werden statistisch gefasst: Der Erwartungswert (das Mittel)</w:t>
      </w:r>
      <w:r>
        <w:t xml:space="preserve"> </w:t>
      </w:r>
      <m:oMath>
        <m:r>
          <m:t>E</m:t>
        </m:r>
      </m:oMath>
      <w:r>
        <w:t xml:space="preserve"> </w:t>
      </w:r>
      <w:r>
        <w:t xml:space="preserve">einer Zufallsvariablen beschreibt die durchschnittlich zu erwartende Rendite, die Varianz</w:t>
      </w:r>
      <w:r>
        <w:t xml:space="preserve"> </w:t>
      </w:r>
      <m:oMath>
        <m:r>
          <m:t>V</m:t>
        </m:r>
      </m:oMath>
      <w:r>
        <w:t xml:space="preserve"> </w:t>
      </w:r>
      <w:r>
        <w:t xml:space="preserve">die durchschnittliche quadratische Abweichung der Rendite von ihrem Erwartungswert; als verwandtes Streuungsmaß dient die Standardabweichung</w:t>
      </w:r>
      <w:r>
        <w:t xml:space="preserve"> </w:t>
      </w:r>
      <m:oMath>
        <m:r>
          <m:t>σ</m:t>
        </m:r>
        <m:r>
          <m:rPr>
            <m:sty m:val="p"/>
          </m:rPr>
          <m:t>=</m:t>
        </m:r>
        <m:rad>
          <m:radPr>
            <m:degHide m:val="on"/>
          </m:radPr>
          <m:deg/>
          <m:e>
            <m:r>
              <m:t>V</m:t>
            </m:r>
          </m:e>
        </m:rad>
      </m:oMath>
      <w:r>
        <w:t xml:space="preserve">.</w:t>
      </w:r>
      <w:r>
        <w:rPr>
          <w:rStyle w:val="FootnoteReference"/>
        </w:rPr>
        <w:footnoteReference w:id="18"/>
      </w:r>
      <w:r>
        <w:t xml:space="preserve"> </w:t>
      </w:r>
      <w:r>
        <w:t xml:space="preserve">Markowitz hält ausdrücklich fest, dass die in der Finanzliteratur gebräuchlichen Begriffe „Ertrag” und „Risiko” weitgehend bedeutungsgleich durch „erwartete Rendite” und „Varianz der Rendite” ersetzt werden können.</w:t>
      </w:r>
      <w:r>
        <w:rPr>
          <w:rStyle w:val="FootnoteReference"/>
        </w:rPr>
        <w:footnoteReference w:id="19"/>
      </w:r>
      <w:r>
        <w:t xml:space="preserve"> </w:t>
      </w:r>
      <w:r>
        <w:t xml:space="preserve">Damit wird das Anlageproblem auf zwei Kennzahlen reduziert – eine Vereinfachung, deren Tragweite und Grenzen die folgenden Abschnitte entfalten.</w:t>
      </w:r>
    </w:p>
    <w:bookmarkEnd w:id="20"/>
    <w:bookmarkStart w:id="26" w:name="diversifikation-und-kovarianz"/>
    <w:p>
      <w:pPr>
        <w:pStyle w:val="Heading2"/>
      </w:pPr>
      <w:r>
        <w:t xml:space="preserve">2.2 Diversifikation und Kovarianz</w:t>
      </w:r>
    </w:p>
    <w:p>
      <w:pPr>
        <w:pStyle w:val="FirstParagraph"/>
      </w:pPr>
      <w:r>
        <w:t xml:space="preserve">Den Ausgangspunkt der Theorie bildet die Ablehnung einer rein renditeorientierten Anlageregel. Würde der Anleger allein den diskontierten erwarteten Ertrag maximieren, so legte er sein gesamtes Vermögen in das eine Wertpapier mit dem höchsten erwarteten Ertrag; eine solche Regel begründet niemals die Überlegenheit eines gestreuten Portfolios. Da Diversifikation aber sowohl beobachtet als auch sinnvoll sei, müsse eine Regel, die sie nicht impliziert, verworfen werden.</w:t>
      </w:r>
      <w:r>
        <w:rPr>
          <w:rStyle w:val="FootnoteReference"/>
        </w:rPr>
        <w:footnoteReference w:id="21"/>
      </w:r>
    </w:p>
    <w:p>
      <w:pPr>
        <w:pStyle w:val="BodyText"/>
      </w:pPr>
      <w:r>
        <w:t xml:space="preserve">Auch der naheliegende Einwand, das Gesetz der großen Zahl sorge bei breiter Streuung ohnehin für einen verlässlichen Durchschnittsertrag, greift nicht: Die Wertpapierrenditen sind zu stark untereinander korreliert, sodass Diversifikation niemals die gesamte Varianz beseitigen kann.</w:t>
      </w:r>
      <w:r>
        <w:rPr>
          <w:rStyle w:val="FootnoteReference"/>
        </w:rPr>
        <w:footnoteReference w:id="22"/>
      </w:r>
      <w:r>
        <w:t xml:space="preserve"> </w:t>
      </w:r>
      <w:r>
        <w:t xml:space="preserve">Entscheidend für den Diversifikationseffekt ist daher das Zusammenspiel der Anlagen, das Markowitz über die</w:t>
      </w:r>
      <w:r>
        <w:t xml:space="preserve"> </w:t>
      </w:r>
      <w:r>
        <w:rPr>
          <w:b/>
          <w:bCs/>
        </w:rPr>
        <w:t xml:space="preserve">Kovarianz</w:t>
      </w:r>
      <w:r>
        <w:t xml:space="preserve"> </w:t>
      </w:r>
      <w:r>
        <w:t xml:space="preserve">erfasst. Die Kovarianz zweier Renditen lässt sich über den Korrelationskoeffizienten ausdrücken: Sie ist gleich dem Produkt aus ihrer Korrelation und den beiden Standardabweichungen,</w:t>
      </w:r>
      <w:r>
        <w:t xml:space="preserve"> </w:t>
      </w:r>
      <m:oMath>
        <m:sSub>
          <m:e>
            <m:r>
              <m:t>σ</m:t>
            </m:r>
          </m:e>
          <m:sub>
            <m:r>
              <m:t>i</m:t>
            </m:r>
            <m:r>
              <m:t>j</m:t>
            </m:r>
          </m:sub>
        </m:sSub>
        <m:r>
          <m:rPr>
            <m:sty m:val="p"/>
          </m:rPr>
          <m:t>=</m:t>
        </m:r>
        <m:sSub>
          <m:e>
            <m:r>
              <m:t>ρ</m:t>
            </m:r>
          </m:e>
          <m:sub>
            <m:r>
              <m:t>i</m:t>
            </m:r>
            <m:r>
              <m:t>j</m:t>
            </m:r>
          </m:sub>
        </m:sSub>
        <m:r>
          <m:t> </m:t>
        </m:r>
        <m:sSub>
          <m:e>
            <m:r>
              <m:t>σ</m:t>
            </m:r>
          </m:e>
          <m:sub>
            <m:r>
              <m:t>i</m:t>
            </m:r>
          </m:sub>
        </m:sSub>
        <m:r>
          <m:t> </m:t>
        </m:r>
        <m:sSub>
          <m:e>
            <m:r>
              <m:t>σ</m:t>
            </m:r>
          </m:e>
          <m:sub>
            <m:r>
              <m:t>j</m:t>
            </m:r>
          </m:sub>
        </m:sSub>
      </m:oMath>
      <w:r>
        <w:t xml:space="preserve">.</w:t>
      </w:r>
      <w:r>
        <w:rPr>
          <w:rStyle w:val="FootnoteReference"/>
        </w:rPr>
        <w:footnoteReference w:id="23"/>
      </w:r>
    </w:p>
    <w:p>
      <w:pPr>
        <w:pStyle w:val="BodyText"/>
      </w:pPr>
      <w:r>
        <w:t xml:space="preserve">Hieraus folgt eine zentrale Einsicht: Um die Varianz klein zu halten, genügt es nicht, in viele Wertpapiere zu investieren; vielmehr müssen Wertpapiere mit hohen Kovarianzen untereinander gemieden werden. Ein Portfolio aus sechzig Eisenbahntiteln ist deshalb schlechter diversifiziert als ein gleich großes über verschiedene Branchen gestreutes, weil Firmen derselben Branche eher gleichzeitig schwächeln und damit höhere Kovarianzen aufweisen.</w:t>
      </w:r>
      <w:r>
        <w:rPr>
          <w:rStyle w:val="FootnoteReference"/>
        </w:rPr>
        <w:footnoteReference w:id="24"/>
      </w:r>
      <w:r>
        <w:t xml:space="preserve"> </w:t>
      </w:r>
      <w:r>
        <w:t xml:space="preserve">Diversifikation muss also „der richtigen Art und aus dem richtigen Grund” erfolgen.</w:t>
      </w:r>
      <w:r>
        <w:rPr>
          <w:rStyle w:val="FootnoteReference"/>
        </w:rPr>
        <w:footnoteReference w:id="25"/>
      </w:r>
    </w:p>
    <w:bookmarkEnd w:id="26"/>
    <w:bookmarkStart w:id="33" w:name="X33a1f4bc0ad83e38d5a05488658ffb6fb4a4d2c"/>
    <w:p>
      <w:pPr>
        <w:pStyle w:val="Heading2"/>
      </w:pPr>
      <w:r>
        <w:t xml:space="preserve">2.3 Portfoliorendite, Portfoliovarianz und die Effizienzlinie</w:t>
      </w:r>
    </w:p>
    <w:p>
      <w:pPr>
        <w:pStyle w:val="FirstParagraph"/>
      </w:pPr>
      <w:r>
        <w:t xml:space="preserve">Formal beschreibt Markowitz ein Portfolio durch die Anteile</w:t>
      </w:r>
      <w:r>
        <w:t xml:space="preserve"> </w:t>
      </w:r>
      <m:oMath>
        <m:sSub>
          <m:e>
            <m:r>
              <m:t>X</m:t>
            </m:r>
          </m:e>
          <m:sub>
            <m:r>
              <m:t>i</m:t>
            </m:r>
          </m:sub>
        </m:sSub>
      </m:oMath>
      <w:r>
        <w:t xml:space="preserve">, die ein Anleger den</w:t>
      </w:r>
      <w:r>
        <w:t xml:space="preserve"> </w:t>
      </w:r>
      <m:oMath>
        <m:r>
          <m:t>N</m:t>
        </m:r>
      </m:oMath>
      <w:r>
        <w:t xml:space="preserve"> </w:t>
      </w:r>
      <w:r>
        <w:t xml:space="preserve">Wertpapieren zuweist. Da es sich um Anteile handelt, gilt</w:t>
      </w:r>
      <w:r>
        <w:t xml:space="preserve"> </w:t>
      </w:r>
      <m:oMath>
        <m:nary>
          <m:naryPr>
            <m:chr m:val="∑"/>
            <m:limLoc m:val="undOvr"/>
            <m:subHide m:val="off"/>
            <m:supHide m:val="on"/>
          </m:naryPr>
          <m:sub>
            <m:r>
              <m:t>i</m:t>
            </m:r>
          </m:sub>
          <m:sup>
            <m:r>
              <m:t>​</m:t>
            </m:r>
          </m:sup>
          <m:e>
            <m:sSub>
              <m:e>
                <m:r>
                  <m:t>X</m:t>
                </m:r>
              </m:e>
              <m:sub>
                <m:r>
                  <m:t>i</m:t>
                </m:r>
              </m:sub>
            </m:sSub>
          </m:e>
        </m:nary>
        <m:r>
          <m:rPr>
            <m:sty m:val="p"/>
          </m:rPr>
          <m:t>=</m:t>
        </m:r>
        <m:r>
          <m:t>1</m:t>
        </m:r>
      </m:oMath>
      <w:r>
        <w:t xml:space="preserve">; Leerverkäufe werden ausgeschlossen, also</w:t>
      </w:r>
      <w:r>
        <w:t xml:space="preserve"> </w:t>
      </w:r>
      <m:oMath>
        <m:sSub>
          <m:e>
            <m:r>
              <m:t>X</m:t>
            </m:r>
          </m:e>
          <m:sub>
            <m:r>
              <m:t>i</m:t>
            </m:r>
          </m:sub>
        </m:sSub>
        <m:r>
          <m:rPr>
            <m:sty m:val="p"/>
          </m:rPr>
          <m:t>≥</m:t>
        </m:r>
        <m:r>
          <m:t>0</m:t>
        </m:r>
      </m:oMath>
      <w:r>
        <w:t xml:space="preserve"> </w:t>
      </w:r>
      <w:r>
        <w:t xml:space="preserve">für alle</w:t>
      </w:r>
      <w:r>
        <w:t xml:space="preserve"> </w:t>
      </w:r>
      <m:oMath>
        <m:r>
          <m:t>i</m:t>
        </m:r>
      </m:oMath>
      <w:r>
        <w:t xml:space="preserve">.</w:t>
      </w:r>
      <w:r>
        <w:rPr>
          <w:rStyle w:val="FootnoteReference"/>
        </w:rPr>
        <w:footnoteReference w:id="27"/>
      </w:r>
      <w:r>
        <w:t xml:space="preserve"> </w:t>
      </w:r>
      <w:r>
        <w:t xml:space="preserve">Die Portfoliorendite</w:t>
      </w:r>
      <w:r>
        <w:t xml:space="preserve"> </w:t>
      </w:r>
      <m:oMath>
        <m:r>
          <m:t>R</m:t>
        </m:r>
        <m:r>
          <m:rPr>
            <m:sty m:val="p"/>
          </m:rPr>
          <m:t>=</m:t>
        </m:r>
        <m:nary>
          <m:naryPr>
            <m:chr m:val="∑"/>
            <m:limLoc m:val="undOvr"/>
            <m:subHide m:val="off"/>
            <m:supHide m:val="on"/>
          </m:naryPr>
          <m:sub>
            <m:r>
              <m:t>i</m:t>
            </m:r>
          </m:sub>
          <m:sup>
            <m:r>
              <m:t>​</m:t>
            </m:r>
          </m:sup>
          <m:e>
            <m:sSub>
              <m:e>
                <m:r>
                  <m:t>X</m:t>
                </m:r>
              </m:e>
              <m:sub>
                <m:r>
                  <m:t>i</m:t>
                </m:r>
              </m:sub>
            </m:sSub>
          </m:e>
        </m:nary>
        <m:sSub>
          <m:e>
            <m:r>
              <m:t>R</m:t>
            </m:r>
          </m:e>
          <m:sub>
            <m:r>
              <m:t>i</m:t>
            </m:r>
          </m:sub>
        </m:sSub>
      </m:oMath>
      <w:r>
        <w:t xml:space="preserve"> </w:t>
      </w:r>
      <w:r>
        <w:t xml:space="preserve">ist eine gewichtete Summe der – als Zufallsvariablen aufgefassten – Einzelrenditen. Für die beiden maßgeblichen Kenngrößen gilt: Die erwartete Portfoliorendite ist die gewichtete Summe der erwarteten Einzelrenditen,</w:t>
      </w:r>
      <w:r>
        <w:t xml:space="preserve"> </w:t>
      </w:r>
      <m:oMath>
        <m:r>
          <m:t>E</m:t>
        </m:r>
        <m:r>
          <m:rPr>
            <m:sty m:val="p"/>
          </m:rPr>
          <m:t>=</m:t>
        </m:r>
        <m:nary>
          <m:naryPr>
            <m:chr m:val="∑"/>
            <m:limLoc m:val="undOvr"/>
            <m:subHide m:val="off"/>
            <m:supHide m:val="on"/>
          </m:naryPr>
          <m:sub>
            <m:r>
              <m:t>i</m:t>
            </m:r>
          </m:sub>
          <m:sup>
            <m:r>
              <m:t>​</m:t>
            </m:r>
          </m:sup>
          <m:e>
            <m:sSub>
              <m:e>
                <m:r>
                  <m:t>X</m:t>
                </m:r>
              </m:e>
              <m:sub>
                <m:r>
                  <m:t>i</m:t>
                </m:r>
              </m:sub>
            </m:sSub>
          </m:e>
        </m:nary>
        <m:sSub>
          <m:e>
            <m:r>
              <m:t>μ</m:t>
            </m:r>
          </m:e>
          <m:sub>
            <m:r>
              <m:t>i</m:t>
            </m:r>
          </m:sub>
        </m:sSub>
      </m:oMath>
      <w:r>
        <w:t xml:space="preserve">, während sich die Portfoliovarianz nicht ebenso einfach ergibt, sondern sämtliche Kovarianzen einbezieht,</w:t>
      </w:r>
      <w:r>
        <w:t xml:space="preserve"> </w:t>
      </w:r>
      <m:oMath>
        <m:r>
          <m:t>V</m:t>
        </m:r>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X</m:t>
                    </m:r>
                  </m:e>
                  <m:sub>
                    <m:r>
                      <m:t>i</m:t>
                    </m:r>
                  </m:sub>
                </m:sSub>
              </m:e>
            </m:nary>
          </m:e>
        </m:nary>
        <m:sSub>
          <m:e>
            <m:r>
              <m:t>X</m:t>
            </m:r>
          </m:e>
          <m:sub>
            <m:r>
              <m:t>j</m:t>
            </m:r>
          </m:sub>
        </m:sSub>
        <m:r>
          <m:t> </m:t>
        </m:r>
        <m:sSub>
          <m:e>
            <m:r>
              <m:t>σ</m:t>
            </m:r>
          </m:e>
          <m:sub>
            <m:r>
              <m:t>i</m:t>
            </m:r>
            <m:r>
              <m:t>j</m:t>
            </m:r>
          </m:sub>
        </m:sSub>
      </m:oMath>
      <w:r>
        <w:t xml:space="preserve">.</w:t>
      </w:r>
      <w:r>
        <w:rPr>
          <w:rStyle w:val="FootnoteReference"/>
        </w:rPr>
        <w:footnoteReference w:id="28"/>
      </w:r>
      <w:r>
        <w:t xml:space="preserve"> </w:t>
      </w:r>
      <w:r>
        <w:t xml:space="preserve">Diese Varianzformel folgt unmittelbar aus den Rechenregeln für die Varianz einer gewichteten Summe von Zufallsvariablen. Mit</w:t>
      </w:r>
      <w:r>
        <w:t xml:space="preserve"> </w:t>
      </w:r>
      <m:oMath>
        <m:r>
          <m:rPr>
            <m:sty m:val="p"/>
          </m:rPr>
          <m:t>Var</m:t>
        </m:r>
        <m:r>
          <m:t>​</m:t>
        </m:r>
        <m:d>
          <m:dPr>
            <m:begChr m:val="("/>
            <m:sepChr m:val=""/>
            <m:endChr m:val=")"/>
            <m:grow/>
          </m:dPr>
          <m:e>
            <m:nary>
              <m:naryPr>
                <m:chr m:val="∑"/>
                <m:limLoc m:val="undOvr"/>
                <m:subHide m:val="off"/>
                <m:supHide m:val="on"/>
              </m:naryPr>
              <m:sub>
                <m:r>
                  <m:t>i</m:t>
                </m:r>
              </m:sub>
              <m:sup>
                <m:r>
                  <m:t>​</m:t>
                </m:r>
              </m:sup>
              <m:e>
                <m:sSub>
                  <m:e>
                    <m:r>
                      <m:t>X</m:t>
                    </m:r>
                  </m:e>
                  <m:sub>
                    <m:r>
                      <m:t>i</m:t>
                    </m:r>
                  </m:sub>
                </m:sSub>
              </m:e>
            </m:nary>
            <m:sSub>
              <m:e>
                <m:r>
                  <m:t>R</m:t>
                </m:r>
              </m:e>
              <m:sub>
                <m:r>
                  <m:t>i</m:t>
                </m:r>
              </m:sub>
            </m:sSub>
          </m:e>
        </m:d>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X</m:t>
                    </m:r>
                  </m:e>
                  <m:sub>
                    <m:r>
                      <m:t>i</m:t>
                    </m:r>
                  </m:sub>
                </m:sSub>
              </m:e>
            </m:nary>
          </m:e>
        </m:nary>
        <m:sSub>
          <m:e>
            <m:r>
              <m:t>X</m:t>
            </m:r>
          </m:e>
          <m:sub>
            <m:r>
              <m:t>j</m:t>
            </m:r>
          </m:sub>
        </m:sSub>
        <m:r>
          <m:t> </m:t>
        </m:r>
        <m:r>
          <m:rPr>
            <m:sty m:val="p"/>
          </m:rPr>
          <m:t>Cov</m:t>
        </m:r>
        <m:r>
          <m:rPr>
            <m:sty m:val="p"/>
          </m:rPr>
          <m:t>(</m:t>
        </m:r>
        <m:sSub>
          <m:e>
            <m:r>
              <m:t>R</m:t>
            </m:r>
          </m:e>
          <m:sub>
            <m:r>
              <m:t>i</m:t>
            </m:r>
          </m:sub>
        </m:sSub>
        <m:r>
          <m:rPr>
            <m:sty m:val="p"/>
          </m:rPr>
          <m:t>,</m:t>
        </m:r>
        <m:sSub>
          <m:e>
            <m:r>
              <m:t>R</m:t>
            </m:r>
          </m:e>
          <m:sub>
            <m:r>
              <m:t>j</m:t>
            </m:r>
          </m:sub>
        </m:sSub>
        <m:r>
          <m:rPr>
            <m:sty m:val="p"/>
          </m:rPr>
          <m:t>)</m:t>
        </m:r>
      </m:oMath>
      <w:r>
        <w:t xml:space="preserve"> </w:t>
      </w:r>
      <w:r>
        <w:t xml:space="preserve">und</w:t>
      </w:r>
      <w:r>
        <w:t xml:space="preserve"> </w:t>
      </w:r>
      <m:oMath>
        <m:r>
          <m:rPr>
            <m:sty m:val="p"/>
          </m:rPr>
          <m:t>Cov</m:t>
        </m:r>
        <m:r>
          <m:rPr>
            <m:sty m:val="p"/>
          </m:rPr>
          <m:t>(</m:t>
        </m:r>
        <m:sSub>
          <m:e>
            <m:r>
              <m:t>R</m:t>
            </m:r>
          </m:e>
          <m:sub>
            <m:r>
              <m:t>i</m:t>
            </m:r>
          </m:sub>
        </m:sSub>
        <m:r>
          <m:rPr>
            <m:sty m:val="p"/>
          </m:rPr>
          <m:t>,</m:t>
        </m:r>
        <m:sSub>
          <m:e>
            <m:r>
              <m:t>R</m:t>
            </m:r>
          </m:e>
          <m:sub>
            <m:r>
              <m:t>i</m:t>
            </m:r>
          </m:sub>
        </m:sSub>
        <m:r>
          <m:rPr>
            <m:sty m:val="p"/>
          </m:rPr>
          <m:t>)</m:t>
        </m:r>
        <m:r>
          <m:rPr>
            <m:sty m:val="p"/>
          </m:rPr>
          <m:t>=</m:t>
        </m:r>
        <m:sSubSup>
          <m:e>
            <m:r>
              <m:t>σ</m:t>
            </m:r>
          </m:e>
          <m:sub>
            <m:r>
              <m:t>i</m:t>
            </m:r>
          </m:sub>
          <m:sup>
            <m:r>
              <m:t>2</m:t>
            </m:r>
          </m:sup>
        </m:sSubSup>
      </m:oMath>
      <w:r>
        <w:t xml:space="preserve"> </w:t>
      </w:r>
      <w:r>
        <w:t xml:space="preserve">lässt sie sich in einen Eigen- und einen Wechselwirkungsterm zerlegen:</w:t>
      </w:r>
    </w:p>
    <w:p>
      <w:pPr>
        <w:pStyle w:val="BodyText"/>
      </w:pPr>
      <m:oMathPara>
        <m:oMathParaPr>
          <m:jc m:val="center"/>
        </m:oMathParaPr>
        <m:oMath>
          <m:r>
            <m:t>V</m:t>
          </m:r>
          <m:r>
            <m:rPr>
              <m:sty m:val="p"/>
            </m:rPr>
            <m:t>=</m:t>
          </m:r>
          <m:nary>
            <m:naryPr>
              <m:chr m:val="∑"/>
              <m:limLoc m:val="undOvr"/>
              <m:subHide m:val="off"/>
              <m:supHide m:val="on"/>
            </m:naryPr>
            <m:sub>
              <m:r>
                <m:t>i</m:t>
              </m:r>
            </m:sub>
            <m:sup>
              <m:r>
                <m:t>​</m:t>
              </m:r>
            </m:sup>
            <m:e>
              <m:sSubSup>
                <m:e>
                  <m:r>
                    <m:t>X</m:t>
                  </m:r>
                </m:e>
                <m:sub>
                  <m:r>
                    <m:t>i</m:t>
                  </m:r>
                </m:sub>
                <m:sup>
                  <m:r>
                    <m:t>2</m:t>
                  </m:r>
                </m:sup>
              </m:sSubSup>
            </m:e>
          </m:nary>
          <m:r>
            <m:t> </m:t>
          </m:r>
          <m:sSubSup>
            <m:e>
              <m:r>
                <m:t>σ</m:t>
              </m:r>
            </m:e>
            <m:sub>
              <m:r>
                <m:t>i</m:t>
              </m:r>
            </m:sub>
            <m:sup>
              <m:r>
                <m:t>2</m:t>
              </m:r>
            </m:sup>
          </m:sSubSup>
          <m:r>
            <m:t> </m:t>
          </m:r>
          <m:r>
            <m:rPr>
              <m:sty m:val="p"/>
            </m:rPr>
            <m:t>+</m:t>
          </m:r>
          <m:r>
            <m:t> </m:t>
          </m:r>
          <m:nary>
            <m:naryPr>
              <m:chr m:val="∑"/>
              <m:limLoc m:val="undOvr"/>
              <m:subHide m:val="off"/>
              <m:supHide m:val="on"/>
            </m:naryPr>
            <m:sub>
              <m:r>
                <m:t>i</m:t>
              </m:r>
            </m:sub>
            <m:sup>
              <m:r>
                <m:t>​</m:t>
              </m:r>
            </m:sup>
            <m:e>
              <m:nary>
                <m:naryPr>
                  <m:chr m:val="∑"/>
                  <m:limLoc m:val="undOvr"/>
                  <m:subHide m:val="off"/>
                  <m:supHide m:val="on"/>
                </m:naryPr>
                <m:sub>
                  <m:r>
                    <m:t>j</m:t>
                  </m:r>
                  <m:r>
                    <m:rPr>
                      <m:sty m:val="p"/>
                    </m:rPr>
                    <m:t>≠</m:t>
                  </m:r>
                  <m:r>
                    <m:t>i</m:t>
                  </m:r>
                </m:sub>
                <m:sup>
                  <m:r>
                    <m:t>​</m:t>
                  </m:r>
                </m:sup>
                <m:e>
                  <m:sSub>
                    <m:e>
                      <m:r>
                        <m:t>X</m:t>
                      </m:r>
                    </m:e>
                    <m:sub>
                      <m:r>
                        <m:t>i</m:t>
                      </m:r>
                    </m:sub>
                  </m:sSub>
                </m:e>
              </m:nary>
            </m:e>
          </m:nary>
          <m:sSub>
            <m:e>
              <m:r>
                <m:t>X</m:t>
              </m:r>
            </m:e>
            <m:sub>
              <m:r>
                <m:t>j</m:t>
              </m:r>
            </m:sub>
          </m:sSub>
          <m:r>
            <m:t> </m:t>
          </m:r>
          <m:sSub>
            <m:e>
              <m:r>
                <m:t>σ</m:t>
              </m:r>
            </m:e>
            <m:sub>
              <m:r>
                <m:t>i</m:t>
              </m:r>
              <m:r>
                <m:t>j</m:t>
              </m:r>
            </m:sub>
          </m:sSub>
          <m:r>
            <m:rPr>
              <m:sty m:val="p"/>
            </m:rPr>
            <m:t>.</m:t>
          </m:r>
        </m:oMath>
      </m:oMathPara>
    </w:p>
    <w:p>
      <w:pPr>
        <w:pStyle w:val="FirstParagraph"/>
      </w:pPr>
      <w:r>
        <w:t xml:space="preserve">Gerade der zweite, die Kovarianzen enthaltende Term ist der mathematische Kern der Diversifikation. Sein Effekt lässt sich an einem Grenzfall verdeutlichen: Hält ein Anleger</w:t>
      </w:r>
      <w:r>
        <w:t xml:space="preserve"> </w:t>
      </w:r>
      <m:oMath>
        <m:r>
          <m:t>N</m:t>
        </m:r>
      </m:oMath>
      <w:r>
        <w:t xml:space="preserve"> </w:t>
      </w:r>
      <w:r>
        <w:t xml:space="preserve">Wertpapiere mit gleicher Varianz</w:t>
      </w:r>
      <w:r>
        <w:t xml:space="preserve"> </w:t>
      </w:r>
      <m:oMath>
        <m:sSup>
          <m:e>
            <m:r>
              <m:t>σ</m:t>
            </m:r>
          </m:e>
          <m:sup>
            <m:r>
              <m:t>2</m:t>
            </m:r>
          </m:sup>
        </m:sSup>
      </m:oMath>
      <w:r>
        <w:t xml:space="preserve">, paarweise gleicher Korrelation</w:t>
      </w:r>
      <w:r>
        <w:t xml:space="preserve"> </w:t>
      </w:r>
      <m:oMath>
        <m:r>
          <m:t>ρ</m:t>
        </m:r>
      </m:oMath>
      <w:r>
        <w:t xml:space="preserve"> </w:t>
      </w:r>
      <w:r>
        <w:t xml:space="preserve">und gleichem Gewicht</w:t>
      </w:r>
      <w:r>
        <w:t xml:space="preserve"> </w:t>
      </w:r>
      <m:oMath>
        <m:sSub>
          <m:e>
            <m:r>
              <m:t>X</m:t>
            </m:r>
          </m:e>
          <m:sub>
            <m:r>
              <m:t>i</m:t>
            </m:r>
          </m:sub>
        </m:sSub>
        <m:r>
          <m:rPr>
            <m:sty m:val="p"/>
          </m:rPr>
          <m:t>=</m:t>
        </m:r>
        <m:r>
          <m:t>1</m:t>
        </m:r>
        <m:r>
          <m:rPr>
            <m:sty m:val="p"/>
          </m:rPr>
          <m:t>/</m:t>
        </m:r>
        <m:r>
          <m:t>N</m:t>
        </m:r>
      </m:oMath>
      <w:r>
        <w:t xml:space="preserve">, so gilt wegen</w:t>
      </w:r>
      <w:r>
        <w:t xml:space="preserve"> </w:t>
      </w:r>
      <m:oMath>
        <m:sSub>
          <m:e>
            <m:r>
              <m:t>σ</m:t>
            </m:r>
          </m:e>
          <m:sub>
            <m:r>
              <m:t>i</m:t>
            </m:r>
            <m:r>
              <m:t>j</m:t>
            </m:r>
          </m:sub>
        </m:sSub>
        <m:r>
          <m:rPr>
            <m:sty m:val="p"/>
          </m:rPr>
          <m:t>=</m:t>
        </m:r>
        <m:r>
          <m:t>ρ</m:t>
        </m:r>
        <m:r>
          <m:t> </m:t>
        </m:r>
        <m:sSup>
          <m:e>
            <m:r>
              <m:t>σ</m:t>
            </m:r>
          </m:e>
          <m:sup>
            <m:r>
              <m:t>2</m:t>
            </m:r>
          </m:sup>
        </m:sSup>
      </m:oMath>
      <w:r>
        <w:t xml:space="preserve"> </w:t>
      </w:r>
      <w:r>
        <w:t xml:space="preserve">für</w:t>
      </w:r>
      <w:r>
        <w:t xml:space="preserve"> </w:t>
      </w:r>
      <m:oMath>
        <m:r>
          <m:t>i</m:t>
        </m:r>
        <m:r>
          <m:rPr>
            <m:sty m:val="p"/>
          </m:rPr>
          <m:t>≠</m:t>
        </m:r>
        <m:r>
          <m:t>j</m:t>
        </m:r>
      </m:oMath>
    </w:p>
    <w:p>
      <w:pPr>
        <w:pStyle w:val="BodyText"/>
      </w:pPr>
      <m:oMathPara>
        <m:oMathParaPr>
          <m:jc m:val="center"/>
        </m:oMathParaPr>
        <m:oMath>
          <m:r>
            <m:t>V</m:t>
          </m:r>
          <m:r>
            <m:rPr>
              <m:sty m:val="p"/>
            </m:rPr>
            <m:t>=</m:t>
          </m:r>
          <m:f>
            <m:fPr>
              <m:type m:val="bar"/>
            </m:fPr>
            <m:num>
              <m:r>
                <m:t>1</m:t>
              </m:r>
            </m:num>
            <m:den>
              <m:r>
                <m:t>N</m:t>
              </m:r>
            </m:den>
          </m:f>
          <m:r>
            <m:t> </m:t>
          </m:r>
          <m:sSup>
            <m:e>
              <m:r>
                <m:t>σ</m:t>
              </m:r>
            </m:e>
            <m:sup>
              <m:r>
                <m:t>2</m:t>
              </m:r>
            </m:sup>
          </m:sSup>
          <m:r>
            <m:rPr>
              <m:sty m:val="p"/>
            </m:rPr>
            <m:t>+</m:t>
          </m:r>
          <m:d>
            <m:dPr>
              <m:begChr m:val="("/>
              <m:sepChr m:val=""/>
              <m:endChr m:val=")"/>
              <m:grow/>
            </m:dPr>
            <m:e>
              <m:r>
                <m:t>1</m:t>
              </m:r>
              <m:r>
                <m:rPr>
                  <m:sty m:val="p"/>
                </m:rPr>
                <m:t>−</m:t>
              </m:r>
              <m:f>
                <m:fPr>
                  <m:type m:val="bar"/>
                </m:fPr>
                <m:num>
                  <m:r>
                    <m:t>1</m:t>
                  </m:r>
                </m:num>
                <m:den>
                  <m:r>
                    <m:t>N</m:t>
                  </m:r>
                </m:den>
              </m:f>
            </m:e>
          </m:d>
          <m:r>
            <m:t>ρ</m:t>
          </m:r>
          <m:r>
            <m:t> </m:t>
          </m:r>
          <m:sSup>
            <m:e>
              <m:r>
                <m:t>σ</m:t>
              </m:r>
            </m:e>
            <m:sup>
              <m:r>
                <m:t>2</m:t>
              </m:r>
            </m:sup>
          </m:sSup>
          <m:r>
            <m:t> </m:t>
          </m:r>
          <m:r>
            <m:rPr>
              <m:sty m:val="p"/>
            </m:rPr>
            <m:t>→</m:t>
          </m:r>
          <m:r>
            <m:t> </m:t>
          </m:r>
          <m:r>
            <m:t>ρ</m:t>
          </m:r>
          <m:r>
            <m:t> </m:t>
          </m:r>
          <m:sSup>
            <m:e>
              <m:r>
                <m:t>σ</m:t>
              </m:r>
            </m:e>
            <m:sup>
              <m:r>
                <m:t>2</m:t>
              </m:r>
            </m:sup>
          </m:sSup>
          <m:r>
            <m:t>  </m:t>
          </m:r>
          <m:r>
            <m:rPr>
              <m:sty m:val="p"/>
            </m:rPr>
            <m:t>(</m:t>
          </m:r>
          <m:r>
            <m:t>N</m:t>
          </m:r>
          <m:r>
            <m:rPr>
              <m:sty m:val="p"/>
            </m:rPr>
            <m:t>→</m:t>
          </m:r>
          <m:r>
            <m:rPr>
              <m:sty m:val="p"/>
            </m:rPr>
            <m:t>∞</m:t>
          </m:r>
          <m:r>
            <m:rPr>
              <m:sty m:val="p"/>
            </m:rPr>
            <m:t>)</m:t>
          </m:r>
          <m:r>
            <m:rPr>
              <m:sty m:val="p"/>
            </m:rPr>
            <m:t>.</m:t>
          </m:r>
        </m:oMath>
      </m:oMathPara>
    </w:p>
    <w:p>
      <w:pPr>
        <w:pStyle w:val="FirstParagraph"/>
      </w:pPr>
      <w:r>
        <w:t xml:space="preserve">Mit wachsender Zahl der Titel verschwindet also der erste, titelspezifische (unsystematische) Term, während der zweite, durch die Korrelationen bedingte (systematische) Term bestehen bleibt. Diversifikation kann demnach das unsystematische Risiko beliebig verkleinern, nicht aber den systematischen Rest – genau Markowitz’ Feststellung, dass die Renditen „zu stark korreliert” sind, um die gesamte Varianz zu beseitigen (Abschnitt 2.2).</w:t>
      </w:r>
      <w:r>
        <w:rPr>
          <w:rStyle w:val="FootnoteReference"/>
        </w:rPr>
        <w:footnoteReference w:id="29"/>
      </w:r>
    </w:p>
    <w:p>
      <w:pPr>
        <w:pStyle w:val="BodyText"/>
      </w:pPr>
      <w:r>
        <w:t xml:space="preserve">Auf dieser Grundlage formuliert Markowitz die</w:t>
      </w:r>
      <w:r>
        <w:t xml:space="preserve"> </w:t>
      </w:r>
      <w:r>
        <w:rPr>
          <w:b/>
          <w:bCs/>
        </w:rPr>
        <w:t xml:space="preserve">„Expected-Returns–Variance-of-Returns”-Regel</w:t>
      </w:r>
      <w:r>
        <w:t xml:space="preserve"> </w:t>
      </w:r>
      <w:r>
        <w:t xml:space="preserve">(E-V-Regel): Der Anleger soll unter allen erreichbaren</w:t>
      </w:r>
      <w:r>
        <w:t xml:space="preserve"> </w:t>
      </w:r>
      <m:oMath>
        <m:r>
          <m:rPr>
            <m:sty m:val="p"/>
          </m:rPr>
          <m:t>(</m:t>
        </m:r>
        <m:r>
          <m:t>E</m:t>
        </m:r>
        <m:r>
          <m:rPr>
            <m:sty m:val="p"/>
          </m:rPr>
          <m:t>,</m:t>
        </m:r>
        <m:r>
          <m:t>V</m:t>
        </m:r>
        <m:r>
          <m:rPr>
            <m:sty m:val="p"/>
          </m:rPr>
          <m:t>)</m:t>
        </m:r>
      </m:oMath>
      <w:r>
        <w:t xml:space="preserve">-Kombinationen eine</w:t>
      </w:r>
      <w:r>
        <w:t xml:space="preserve"> </w:t>
      </w:r>
      <w:r>
        <w:rPr>
          <w:i/>
          <w:iCs/>
        </w:rPr>
        <w:t xml:space="preserve">effiziente</w:t>
      </w:r>
      <w:r>
        <w:t xml:space="preserve"> </w:t>
      </w:r>
      <w:r>
        <w:t xml:space="preserve">wählen, das heißt eine Kombination mit minimaler Varianz bei gegebener (oder höherer) erwarteter Rendite bzw. maximaler erwarteter Rendite bei gegebener (oder geringerer) Varianz.</w:t>
      </w:r>
      <w:r>
        <w:rPr>
          <w:rStyle w:val="FootnoteReference"/>
        </w:rPr>
        <w:footnoteReference w:id="30"/>
      </w:r>
      <w:r>
        <w:t xml:space="preserve"> </w:t>
      </w:r>
      <w:r>
        <w:t xml:space="preserve">Dass eine Abwägung überhaupt nötig ist, betont er ausdrücklich: Das Portfolio mit maximaler erwarteter Rendite ist nicht zwangsläufig jenes mit minimaler Varianz; es existiert eine Rate, zu der man erwartete Rendite gegen Varianz tauschen kann.</w:t>
      </w:r>
      <w:r>
        <w:rPr>
          <w:rStyle w:val="FootnoteReference"/>
        </w:rPr>
        <w:footnoteReference w:id="31"/>
      </w:r>
      <w:r>
        <w:t xml:space="preserve"> </w:t>
      </w:r>
      <w:r>
        <w:t xml:space="preserve">Die Menge aller effizienten</w:t>
      </w:r>
      <w:r>
        <w:t xml:space="preserve"> </w:t>
      </w:r>
      <m:oMath>
        <m:r>
          <m:rPr>
            <m:sty m:val="p"/>
          </m:rPr>
          <m:t>(</m:t>
        </m:r>
        <m:r>
          <m:t>E</m:t>
        </m:r>
        <m:r>
          <m:rPr>
            <m:sty m:val="p"/>
          </m:rPr>
          <m:t>,</m:t>
        </m:r>
        <m:r>
          <m:t>V</m:t>
        </m:r>
        <m:r>
          <m:rPr>
            <m:sty m:val="p"/>
          </m:rPr>
          <m:t>)</m:t>
        </m:r>
      </m:oMath>
      <w:r>
        <w:t xml:space="preserve">-Kombinationen bildet die</w:t>
      </w:r>
      <w:r>
        <w:t xml:space="preserve"> </w:t>
      </w:r>
      <w:r>
        <w:rPr>
          <w:b/>
          <w:bCs/>
        </w:rPr>
        <w:t xml:space="preserve">Effizienzlinie</w:t>
      </w:r>
      <w:r>
        <w:t xml:space="preserve">; Markowitz weist darauf hin, dass sich diese Menge mit geeigneten Verfahren berechnen lässt, ohne sie im Aufsatz vorzuführen.</w:t>
      </w:r>
      <w:r>
        <w:rPr>
          <w:rStyle w:val="FootnoteReference"/>
        </w:rPr>
        <w:footnoteReference w:id="32"/>
      </w:r>
    </w:p>
    <w:bookmarkEnd w:id="33"/>
    <w:bookmarkStart w:id="37" w:name="Xff1d21a16ab1c22bd5c6ad706eaab80ae1eda2d"/>
    <w:p>
      <w:pPr>
        <w:pStyle w:val="Heading2"/>
      </w:pPr>
      <w:r>
        <w:t xml:space="preserve">2.4 Von der Effizienzlinie zur optimalen Mischung</w:t>
      </w:r>
    </w:p>
    <w:p>
      <w:pPr>
        <w:pStyle w:val="FirstParagraph"/>
      </w:pPr>
      <w:r>
        <w:t xml:space="preserve">Welche der effizienten Kombinationen ein Anleger wählt, hängt nach Markowitz von seiner Präferenz ab – die E-V-Regel grenzt die sinnvollen Portfolios lediglich auf die Effizienzlinie ein.</w:t>
      </w:r>
      <w:r>
        <w:rPr>
          <w:rStyle w:val="FootnoteReference"/>
        </w:rPr>
        <w:footnoteReference w:id="34"/>
      </w:r>
      <w:r>
        <w:t xml:space="preserve"> </w:t>
      </w:r>
      <w:r>
        <w:t xml:space="preserve">Die Effizienzlinie selbst lässt sich analytisch bestimmen. Sucht man bei vorgegebener Zielrendite</w:t>
      </w:r>
      <w:r>
        <w:t xml:space="preserve"> </w:t>
      </w:r>
      <m:oMath>
        <m:sSub>
          <m:e>
            <m:r>
              <m:t>μ</m:t>
            </m:r>
          </m:e>
          <m:sub>
            <m:r>
              <m:t>p</m:t>
            </m:r>
          </m:sub>
        </m:sSub>
      </m:oMath>
      <w:r>
        <w:t xml:space="preserve"> </w:t>
      </w:r>
      <w:r>
        <w:t xml:space="preserve">das Portfolio minimaler Varianz, so lautet das Optimierungsproblem in Vektorschreibweise – mit dem Gewichtsvektor</w:t>
      </w:r>
      <w:r>
        <w:t xml:space="preserve"> </w:t>
      </w:r>
      <m:oMath>
        <m:r>
          <m:t>w</m:t>
        </m:r>
      </m:oMath>
      <w:r>
        <w:t xml:space="preserve">, dem Vektor der erwarteten Renditen</w:t>
      </w:r>
      <w:r>
        <w:t xml:space="preserve"> </w:t>
      </w:r>
      <m:oMath>
        <m:r>
          <m:t>μ</m:t>
        </m:r>
      </m:oMath>
      <w:r>
        <w:t xml:space="preserve">, der Kovarianzmatrix</w:t>
      </w:r>
      <w:r>
        <w:t xml:space="preserve"> </w:t>
      </w:r>
      <m:oMath>
        <m:r>
          <m:rPr>
            <m:sty m:val="p"/>
          </m:rPr>
          <m:t>Σ</m:t>
        </m:r>
      </m:oMath>
      <w:r>
        <w:t xml:space="preserve"> </w:t>
      </w:r>
      <w:r>
        <w:t xml:space="preserve">und dem Einsvektor</w:t>
      </w:r>
      <w:r>
        <w:t xml:space="preserve"> </w:t>
      </w:r>
      <m:oMath>
        <m:r>
          <m:rPr>
            <m:sty m:val="b"/>
          </m:rPr>
          <m:t>1</m:t>
        </m:r>
      </m:oMath>
      <w:r>
        <w:t xml:space="preserve">:</w:t>
      </w:r>
    </w:p>
    <w:p>
      <w:pPr>
        <w:pStyle w:val="BodyText"/>
      </w:pPr>
      <m:oMathPara>
        <m:oMathParaPr>
          <m:jc m:val="center"/>
        </m:oMathParaPr>
        <m:oMath>
          <m:limLow>
            <m:e>
              <m:r>
                <m:rPr>
                  <m:sty m:val="p"/>
                </m:rPr>
                <m:t>min</m:t>
              </m:r>
            </m:e>
            <m:lim>
              <m:r>
                <m:t>w</m:t>
              </m:r>
            </m:lim>
          </m:limLow>
          <m:r>
            <m:t> </m:t>
          </m:r>
          <m:f>
            <m:fPr>
              <m:type m:val="lin"/>
            </m:fPr>
            <m:num>
              <m:r>
                <m:t>1</m:t>
              </m:r>
            </m:num>
            <m:den>
              <m:r>
                <m:t>2</m:t>
              </m:r>
            </m:den>
          </m:f>
          <m:r>
            <m:t> </m:t>
          </m:r>
          <m:sSup>
            <m:e>
              <m:r>
                <m:t>w</m:t>
              </m:r>
            </m:e>
            <m:sup>
              <m:r>
                <m:rPr>
                  <m:sty m:val="p"/>
                </m:rPr>
                <m:t>⊤</m:t>
              </m:r>
            </m:sup>
          </m:sSup>
          <m:r>
            <m:rPr>
              <m:sty m:val="p"/>
            </m:rPr>
            <m:t>Σ</m:t>
          </m:r>
          <m:r>
            <m:t> </m:t>
          </m:r>
          <m:r>
            <m:t>w</m:t>
          </m:r>
          <m:r>
            <m:t>  </m:t>
          </m:r>
          <m:r>
            <m:rPr>
              <m:nor/>
              <m:sty m:val="p"/>
            </m:rPr>
            <m:t>unter</m:t>
          </m:r>
          <m:r>
            <m:t>  </m:t>
          </m:r>
          <m:sSup>
            <m:e>
              <m:r>
                <m:t>w</m:t>
              </m:r>
            </m:e>
            <m:sup>
              <m:r>
                <m:rPr>
                  <m:sty m:val="p"/>
                </m:rPr>
                <m:t>⊤</m:t>
              </m:r>
            </m:sup>
          </m:sSup>
          <m:r>
            <m:t>μ</m:t>
          </m:r>
          <m:r>
            <m:rPr>
              <m:sty m:val="p"/>
            </m:rPr>
            <m:t>=</m:t>
          </m:r>
          <m:sSub>
            <m:e>
              <m:r>
                <m:t>μ</m:t>
              </m:r>
            </m:e>
            <m:sub>
              <m:r>
                <m:t>p</m:t>
              </m:r>
            </m:sub>
          </m:sSub>
          <m:r>
            <m:rPr>
              <m:sty m:val="p"/>
            </m:rPr>
            <m:t>,</m:t>
          </m:r>
          <m:r>
            <m:t> </m:t>
          </m:r>
          <m:sSup>
            <m:e>
              <m:r>
                <m:t>w</m:t>
              </m:r>
            </m:e>
            <m:sup>
              <m:r>
                <m:rPr>
                  <m:sty m:val="p"/>
                </m:rPr>
                <m:t>⊤</m:t>
              </m:r>
            </m:sup>
          </m:sSup>
          <m:r>
            <m:rPr>
              <m:sty m:val="b"/>
            </m:rPr>
            <m:t>1</m:t>
          </m:r>
          <m:r>
            <m:rPr>
              <m:sty m:val="p"/>
            </m:rPr>
            <m:t>=</m:t>
          </m:r>
          <m:r>
            <m:t>1</m:t>
          </m:r>
          <m:r>
            <m:rPr>
              <m:sty m:val="p"/>
            </m:rPr>
            <m:t>.</m:t>
          </m:r>
        </m:oMath>
      </m:oMathPara>
    </w:p>
    <w:p>
      <w:pPr>
        <w:pStyle w:val="FirstParagraph"/>
      </w:pPr>
      <w:r>
        <w:t xml:space="preserve">Mit den Lagrange-Multiplikatoren</w:t>
      </w:r>
      <w:r>
        <w:t xml:space="preserve"> </w:t>
      </w:r>
      <m:oMath>
        <m:r>
          <m:t>λ</m:t>
        </m:r>
      </m:oMath>
      <w:r>
        <w:t xml:space="preserve"> </w:t>
      </w:r>
      <w:r>
        <w:t xml:space="preserve">und</w:t>
      </w:r>
      <w:r>
        <w:t xml:space="preserve"> </w:t>
      </w:r>
      <m:oMath>
        <m:r>
          <m:t>γ</m:t>
        </m:r>
      </m:oMath>
      <w:r>
        <w:t xml:space="preserve"> </w:t>
      </w:r>
      <w:r>
        <w:t xml:space="preserve">ergibt sich die Lagrange-Funktion</w:t>
      </w:r>
    </w:p>
    <w:p>
      <w:pPr>
        <w:pStyle w:val="BodyText"/>
      </w:pPr>
      <m:oMathPara>
        <m:oMathParaPr>
          <m:jc m:val="center"/>
        </m:oMathParaPr>
        <m:oMath>
          <m:r>
            <m:rPr>
              <m:scr m:val="script"/>
              <m:sty m:val="p"/>
            </m:rPr>
            <m:t>L</m:t>
          </m:r>
          <m:r>
            <m:rPr>
              <m:sty m:val="p"/>
            </m:rPr>
            <m:t>(</m:t>
          </m:r>
          <m:r>
            <m:t>w</m:t>
          </m:r>
          <m:r>
            <m:rPr>
              <m:sty m:val="p"/>
            </m:rPr>
            <m:t>,</m:t>
          </m:r>
          <m:r>
            <m:t>λ</m:t>
          </m:r>
          <m:r>
            <m:rPr>
              <m:sty m:val="p"/>
            </m:rPr>
            <m:t>,</m:t>
          </m:r>
          <m:r>
            <m:t>γ</m:t>
          </m:r>
          <m:r>
            <m:rPr>
              <m:sty m:val="p"/>
            </m:rPr>
            <m:t>)</m:t>
          </m:r>
          <m:r>
            <m:rPr>
              <m:sty m:val="p"/>
            </m:rPr>
            <m:t>=</m:t>
          </m:r>
          <m:f>
            <m:fPr>
              <m:type m:val="lin"/>
            </m:fPr>
            <m:num>
              <m:r>
                <m:t>1</m:t>
              </m:r>
            </m:num>
            <m:den>
              <m:r>
                <m:t>2</m:t>
              </m:r>
            </m:den>
          </m:f>
          <m:r>
            <m:t> </m:t>
          </m:r>
          <m:sSup>
            <m:e>
              <m:r>
                <m:t>w</m:t>
              </m:r>
            </m:e>
            <m:sup>
              <m:r>
                <m:rPr>
                  <m:sty m:val="p"/>
                </m:rPr>
                <m:t>⊤</m:t>
              </m:r>
            </m:sup>
          </m:sSup>
          <m:r>
            <m:rPr>
              <m:sty m:val="p"/>
            </m:rPr>
            <m:t>Σ</m:t>
          </m:r>
          <m:r>
            <m:t> </m:t>
          </m:r>
          <m:r>
            <m:t>w</m:t>
          </m:r>
          <m:r>
            <m:rPr>
              <m:sty m:val="p"/>
            </m:rPr>
            <m:t>−</m:t>
          </m:r>
          <m:r>
            <m:t>λ</m:t>
          </m:r>
          <m:r>
            <m:t> </m:t>
          </m:r>
          <m:d>
            <m:dPr>
              <m:begChr m:val="("/>
              <m:sepChr m:val=""/>
              <m:endChr m:val=")"/>
              <m:grow/>
            </m:dPr>
            <m:e>
              <m:sSup>
                <m:e>
                  <m:r>
                    <m:t>w</m:t>
                  </m:r>
                </m:e>
                <m:sup>
                  <m:r>
                    <m:rPr>
                      <m:sty m:val="p"/>
                    </m:rPr>
                    <m:t>⊤</m:t>
                  </m:r>
                </m:sup>
              </m:sSup>
              <m:r>
                <m:t>μ</m:t>
              </m:r>
              <m:r>
                <m:rPr>
                  <m:sty m:val="p"/>
                </m:rPr>
                <m:t>−</m:t>
              </m:r>
              <m:sSub>
                <m:e>
                  <m:r>
                    <m:t>μ</m:t>
                  </m:r>
                </m:e>
                <m:sub>
                  <m:r>
                    <m:t>p</m:t>
                  </m:r>
                </m:sub>
              </m:sSub>
            </m:e>
          </m:d>
          <m:r>
            <m:rPr>
              <m:sty m:val="p"/>
            </m:rPr>
            <m:t>−</m:t>
          </m:r>
          <m:r>
            <m:t>γ</m:t>
          </m:r>
          <m:r>
            <m:t> </m:t>
          </m:r>
          <m:d>
            <m:dPr>
              <m:begChr m:val="("/>
              <m:sepChr m:val=""/>
              <m:endChr m:val=")"/>
              <m:grow/>
            </m:dPr>
            <m:e>
              <m:sSup>
                <m:e>
                  <m:r>
                    <m:t>w</m:t>
                  </m:r>
                </m:e>
                <m:sup>
                  <m:r>
                    <m:rPr>
                      <m:sty m:val="p"/>
                    </m:rPr>
                    <m:t>⊤</m:t>
                  </m:r>
                </m:sup>
              </m:sSup>
              <m:r>
                <m:rPr>
                  <m:sty m:val="b"/>
                </m:rPr>
                <m:t>1</m:t>
              </m:r>
              <m:r>
                <m:rPr>
                  <m:sty m:val="p"/>
                </m:rPr>
                <m:t>−</m:t>
              </m:r>
              <m:r>
                <m:t>1</m:t>
              </m:r>
            </m:e>
          </m:d>
          <m:r>
            <m:rPr>
              <m:sty m:val="p"/>
            </m:rPr>
            <m:t>.</m:t>
          </m:r>
        </m:oMath>
      </m:oMathPara>
    </w:p>
    <w:p>
      <w:pPr>
        <w:pStyle w:val="FirstParagraph"/>
      </w:pPr>
      <w:r>
        <w:t xml:space="preserve">Das Nullsetzen des Gradienten nach</w:t>
      </w:r>
      <w:r>
        <w:t xml:space="preserve"> </w:t>
      </w:r>
      <m:oMath>
        <m:r>
          <m:t>w</m:t>
        </m:r>
      </m:oMath>
      <w:r>
        <w:t xml:space="preserve"> </w:t>
      </w:r>
      <w:r>
        <w:t xml:space="preserve">liefert die Bedingung</w:t>
      </w:r>
      <w:r>
        <w:t xml:space="preserve"> </w:t>
      </w:r>
      <m:oMath>
        <m:r>
          <m:rPr>
            <m:sty m:val="p"/>
          </m:rPr>
          <m:t>Σ</m:t>
        </m:r>
        <m:r>
          <m:t>w</m:t>
        </m:r>
        <m:r>
          <m:rPr>
            <m:sty m:val="p"/>
          </m:rPr>
          <m:t>−</m:t>
        </m:r>
        <m:r>
          <m:t>λ</m:t>
        </m:r>
        <m:r>
          <m:t>μ</m:t>
        </m:r>
        <m:r>
          <m:rPr>
            <m:sty m:val="p"/>
          </m:rPr>
          <m:t>−</m:t>
        </m:r>
        <m:r>
          <m:t>γ</m:t>
        </m:r>
        <m:r>
          <m:t> </m:t>
        </m:r>
        <m:r>
          <m:rPr>
            <m:sty m:val="b"/>
          </m:rPr>
          <m:t>1</m:t>
        </m:r>
        <m:r>
          <m:rPr>
            <m:sty m:val="p"/>
          </m:rPr>
          <m:t>=</m:t>
        </m:r>
        <m:r>
          <m:t>0</m:t>
        </m:r>
      </m:oMath>
      <w:r>
        <w:t xml:space="preserve"> </w:t>
      </w:r>
      <w:r>
        <w:t xml:space="preserve">und damit die optimalen Gewichte</w:t>
      </w:r>
    </w:p>
    <w:p>
      <w:pPr>
        <w:pStyle w:val="BodyText"/>
      </w:pPr>
      <m:oMathPara>
        <m:oMathParaPr>
          <m:jc m:val="center"/>
        </m:oMathParaPr>
        <m:oMath>
          <m:sSup>
            <m:e>
              <m:r>
                <m:t>w</m:t>
              </m:r>
            </m:e>
            <m:sup>
              <m:r>
                <m:rPr>
                  <m:sty m:val="p"/>
                </m:rPr>
                <m:t>⋆</m:t>
              </m:r>
            </m:sup>
          </m:sSup>
          <m:r>
            <m:rPr>
              <m:sty m:val="p"/>
            </m:rPr>
            <m:t>=</m:t>
          </m:r>
          <m:sSup>
            <m:e>
              <m:r>
                <m:rPr>
                  <m:sty m:val="p"/>
                </m:rPr>
                <m:t>Σ</m:t>
              </m:r>
            </m:e>
            <m:sup>
              <m:r>
                <m:rPr>
                  <m:sty m:val="p"/>
                </m:rPr>
                <m:t>−</m:t>
              </m:r>
              <m:r>
                <m:t>1</m:t>
              </m:r>
            </m:sup>
          </m:sSup>
          <m:d>
            <m:dPr>
              <m:begChr m:val="("/>
              <m:sepChr m:val=""/>
              <m:endChr m:val=")"/>
              <m:grow/>
            </m:dPr>
            <m:e>
              <m:r>
                <m:t>λ</m:t>
              </m:r>
              <m:r>
                <m:t>μ</m:t>
              </m:r>
              <m:r>
                <m:rPr>
                  <m:sty m:val="p"/>
                </m:rPr>
                <m:t>+</m:t>
              </m:r>
              <m:r>
                <m:t>γ</m:t>
              </m:r>
              <m:r>
                <m:t> </m:t>
              </m:r>
              <m:r>
                <m:rPr>
                  <m:sty m:val="b"/>
                </m:rPr>
                <m:t>1</m:t>
              </m:r>
            </m:e>
          </m:d>
          <m:r>
            <m:rPr>
              <m:sty m:val="p"/>
            </m:rPr>
            <m:t>,</m:t>
          </m:r>
        </m:oMath>
      </m:oMathPara>
    </w:p>
    <w:p>
      <w:pPr>
        <w:pStyle w:val="FirstParagraph"/>
      </w:pPr>
      <w:r>
        <w:t xml:space="preserve">wobei sich</w:t>
      </w:r>
      <w:r>
        <w:t xml:space="preserve"> </w:t>
      </w:r>
      <m:oMath>
        <m:r>
          <m:t>λ</m:t>
        </m:r>
      </m:oMath>
      <w:r>
        <w:t xml:space="preserve"> </w:t>
      </w:r>
      <w:r>
        <w:t xml:space="preserve">und</w:t>
      </w:r>
      <w:r>
        <w:t xml:space="preserve"> </w:t>
      </w:r>
      <m:oMath>
        <m:r>
          <m:t>γ</m:t>
        </m:r>
      </m:oMath>
      <w:r>
        <w:t xml:space="preserve"> </w:t>
      </w:r>
      <w:r>
        <w:t xml:space="preserve">eindeutig aus den beiden Nebenbedingungen bestimmen. Da</w:t>
      </w:r>
      <w:r>
        <w:t xml:space="preserve"> </w:t>
      </w:r>
      <m:oMath>
        <m:sSup>
          <m:e>
            <m:r>
              <m:t>w</m:t>
            </m:r>
          </m:e>
          <m:sup>
            <m:r>
              <m:rPr>
                <m:sty m:val="p"/>
              </m:rPr>
              <m:t>⋆</m:t>
            </m:r>
          </m:sup>
        </m:sSup>
      </m:oMath>
      <w:r>
        <w:t xml:space="preserve"> </w:t>
      </w:r>
      <w:r>
        <w:t xml:space="preserve">linear von der Zielrendite</w:t>
      </w:r>
      <w:r>
        <w:t xml:space="preserve"> </w:t>
      </w:r>
      <m:oMath>
        <m:sSub>
          <m:e>
            <m:r>
              <m:t>μ</m:t>
            </m:r>
          </m:e>
          <m:sub>
            <m:r>
              <m:t>p</m:t>
            </m:r>
          </m:sub>
        </m:sSub>
      </m:oMath>
      <w:r>
        <w:t xml:space="preserve"> </w:t>
      </w:r>
      <w:r>
        <w:t xml:space="preserve">abhängt, ist jedes effiziente Portfolio eine Linearkombination zweier fester Portfolios (Zwei-Fonds-Separation); im Standardabweichungs-Rendite-Diagramm bilden die effizienten Paare</w:t>
      </w:r>
      <w:r>
        <w:t xml:space="preserve"> </w:t>
      </w:r>
      <m:oMath>
        <m:r>
          <m:rPr>
            <m:sty m:val="p"/>
          </m:rPr>
          <m:t>(</m:t>
        </m:r>
        <m:sSub>
          <m:e>
            <m:r>
              <m:t>σ</m:t>
            </m:r>
          </m:e>
          <m:sub>
            <m:r>
              <m:t>p</m:t>
            </m:r>
          </m:sub>
        </m:sSub>
        <m:r>
          <m:rPr>
            <m:sty m:val="p"/>
          </m:rPr>
          <m:t>,</m:t>
        </m:r>
        <m:sSub>
          <m:e>
            <m:r>
              <m:t>μ</m:t>
            </m:r>
          </m:e>
          <m:sub>
            <m:r>
              <m:t>p</m:t>
            </m:r>
          </m:sub>
        </m:sSub>
        <m:r>
          <m:rPr>
            <m:sty m:val="p"/>
          </m:rPr>
          <m:t>)</m:t>
        </m:r>
      </m:oMath>
      <w:r>
        <w:t xml:space="preserve"> </w:t>
      </w:r>
      <w:r>
        <w:t xml:space="preserve">eine Hyperbel – eben jene Effizienzlinie, die Markowitz nur geometrisch andeutet.</w:t>
      </w:r>
      <w:r>
        <w:rPr>
          <w:rStyle w:val="FootnoteReference"/>
        </w:rPr>
        <w:footnoteReference w:id="35"/>
      </w:r>
    </w:p>
    <w:p>
      <w:pPr>
        <w:pStyle w:val="BodyText"/>
      </w:pPr>
      <w:r>
        <w:t xml:space="preserve">Lässt man zusätzlich eine risikofreie Anlage mit Rendite</w:t>
      </w:r>
      <w:r>
        <w:t xml:space="preserve"> </w:t>
      </w:r>
      <m:oMath>
        <m:sSub>
          <m:e>
            <m:r>
              <m:t>r</m:t>
            </m:r>
          </m:e>
          <m:sub>
            <m:r>
              <m:t>f</m:t>
            </m:r>
          </m:sub>
        </m:sSub>
      </m:oMath>
      <w:r>
        <w:t xml:space="preserve"> </w:t>
      </w:r>
      <w:r>
        <w:t xml:space="preserve">zu, so existiert ein ausgezeichnetes effizientes Portfolio: das</w:t>
      </w:r>
      <w:r>
        <w:t xml:space="preserve"> </w:t>
      </w:r>
      <w:r>
        <w:rPr>
          <w:b/>
          <w:bCs/>
        </w:rPr>
        <w:t xml:space="preserve">Tangentialportfolio</w:t>
      </w:r>
      <w:r>
        <w:t xml:space="preserve">, das die Sharpe Ratio maximiert. Die Maximierung des Quotienten</w:t>
      </w:r>
      <w:r>
        <w:t xml:space="preserve"> </w:t>
      </w:r>
      <m:oMath>
        <m:f>
          <m:fPr>
            <m:type m:val="bar"/>
          </m:fPr>
          <m:num>
            <m:sSup>
              <m:e>
                <m:r>
                  <m:t>w</m:t>
                </m:r>
              </m:e>
              <m:sup>
                <m:r>
                  <m:rPr>
                    <m:sty m:val="p"/>
                  </m:rPr>
                  <m:t>⊤</m:t>
                </m:r>
              </m:sup>
            </m:sSup>
            <m:r>
              <m:t>μ</m:t>
            </m:r>
            <m:r>
              <m:rPr>
                <m:sty m:val="p"/>
              </m:rPr>
              <m:t>−</m:t>
            </m:r>
            <m:sSub>
              <m:e>
                <m:r>
                  <m:t>r</m:t>
                </m:r>
              </m:e>
              <m:sub>
                <m:r>
                  <m:t>f</m:t>
                </m:r>
              </m:sub>
            </m:sSub>
          </m:num>
          <m:den>
            <m:rad>
              <m:radPr>
                <m:degHide m:val="on"/>
              </m:radPr>
              <m:deg/>
              <m:e>
                <m:sSup>
                  <m:e>
                    <m:r>
                      <m:t>w</m:t>
                    </m:r>
                  </m:e>
                  <m:sup>
                    <m:r>
                      <m:rPr>
                        <m:sty m:val="p"/>
                      </m:rPr>
                      <m:t>⊤</m:t>
                    </m:r>
                  </m:sup>
                </m:sSup>
                <m:r>
                  <m:rPr>
                    <m:sty m:val="p"/>
                  </m:rPr>
                  <m:t>Σ</m:t>
                </m:r>
                <m:r>
                  <m:t> </m:t>
                </m:r>
                <m:r>
                  <m:t>w</m:t>
                </m:r>
              </m:e>
            </m:rad>
          </m:den>
        </m:f>
      </m:oMath>
      <w:r>
        <w:t xml:space="preserve"> </w:t>
      </w:r>
      <w:r>
        <w:t xml:space="preserve">führt – da die Sharpe Ratio skaleninvariant ist – nach dem Nullsetzen des Gradienten und der Normierung auf</w:t>
      </w:r>
      <w:r>
        <w:t xml:space="preserve"> </w:t>
      </w:r>
      <m:oMath>
        <m:sSup>
          <m:e>
            <m:r>
              <m:t>w</m:t>
            </m:r>
          </m:e>
          <m:sup>
            <m:r>
              <m:rPr>
                <m:sty m:val="p"/>
              </m:rPr>
              <m:t>⊤</m:t>
            </m:r>
          </m:sup>
        </m:sSup>
        <m:r>
          <m:rPr>
            <m:sty m:val="b"/>
          </m:rPr>
          <m:t>1</m:t>
        </m:r>
        <m:r>
          <m:rPr>
            <m:sty m:val="p"/>
          </m:rPr>
          <m:t>=</m:t>
        </m:r>
        <m:r>
          <m:t>1</m:t>
        </m:r>
      </m:oMath>
      <w:r>
        <w:t xml:space="preserve"> </w:t>
      </w:r>
      <w:r>
        <w:t xml:space="preserve">auf</w:t>
      </w:r>
    </w:p>
    <w:p>
      <w:pPr>
        <w:pStyle w:val="BodyText"/>
      </w:pPr>
      <m:oMathPara>
        <m:oMathParaPr>
          <m:jc m:val="center"/>
        </m:oMathParaPr>
        <m:oMath>
          <m:sSub>
            <m:e>
              <m:r>
                <m:t>w</m:t>
              </m:r>
            </m:e>
            <m:sub>
              <m:r>
                <m:rPr>
                  <m:nor/>
                  <m:sty m:val="p"/>
                </m:rPr>
                <m:t>tan</m:t>
              </m:r>
            </m:sub>
          </m:sSub>
          <m:r>
            <m:t> </m:t>
          </m:r>
          <m:r>
            <m:rPr>
              <m:sty m:val="p"/>
            </m:rPr>
            <m:t>∝</m:t>
          </m:r>
          <m:r>
            <m:t> </m:t>
          </m:r>
          <m:sSup>
            <m:e>
              <m:r>
                <m:rPr>
                  <m:sty m:val="p"/>
                </m:rPr>
                <m:t>Σ</m:t>
              </m:r>
            </m:e>
            <m:sup>
              <m:r>
                <m:rPr>
                  <m:sty m:val="p"/>
                </m:rPr>
                <m:t>−</m:t>
              </m:r>
              <m:r>
                <m:t>1</m:t>
              </m:r>
            </m:sup>
          </m:sSup>
          <m:d>
            <m:dPr>
              <m:begChr m:val="("/>
              <m:sepChr m:val=""/>
              <m:endChr m:val=")"/>
              <m:grow/>
            </m:dPr>
            <m:e>
              <m:r>
                <m:t>μ</m:t>
              </m:r>
              <m:r>
                <m:rPr>
                  <m:sty m:val="p"/>
                </m:rPr>
                <m:t>−</m:t>
              </m:r>
              <m:sSub>
                <m:e>
                  <m:r>
                    <m:t>r</m:t>
                  </m:r>
                </m:e>
                <m:sub>
                  <m:r>
                    <m:t>f</m:t>
                  </m:r>
                </m:sub>
              </m:sSub>
              <m:r>
                <m:t> </m:t>
              </m:r>
              <m:r>
                <m:rPr>
                  <m:sty m:val="b"/>
                </m:rPr>
                <m:t>1</m:t>
              </m:r>
            </m:e>
          </m:d>
          <m:r>
            <m:rPr>
              <m:sty m:val="p"/>
            </m:rPr>
            <m:t>.</m:t>
          </m:r>
        </m:oMath>
      </m:oMathPara>
    </w:p>
    <w:p>
      <w:pPr>
        <w:pStyle w:val="FirstParagraph"/>
      </w:pPr>
      <w:r>
        <w:t xml:space="preserve">Das Tangentialportfolio gewichtet die Anlagen also gemäß ihren mit der inversen Kovarianzmatrix transformierten Überschussrenditen. Dass diese Sharpe-Maximierung das sachgerechte Auswahlkriterium ist, bestätigt Sharpe für den Fall, dass einer risikofreien Ausgangsposition eine risikobehaftete Strategie hinzugefügt wird (Abschnitt 2.5).</w:t>
      </w:r>
      <w:r>
        <w:rPr>
          <w:rStyle w:val="FootnoteReference"/>
        </w:rPr>
        <w:footnoteReference w:id="36"/>
      </w:r>
      <w:r>
        <w:t xml:space="preserve"> </w:t>
      </w:r>
      <w:r>
        <w:t xml:space="preserve">Das in dieser Arbeit als „Markowitz MVO” bezeichnete Verfahren bestimmt entsprechend dasjenige zulässige Portfolio, das die Sharpe Ratio maximiert – unter den zusätzlichen Nebenbedingungen Long-only und einer Positionsobergrenze von 20 % je Titel (Abschnitt 2.8). Die nötigen Eingangsgrößen – die erwarteten Renditen</w:t>
      </w:r>
      <w:r>
        <w:t xml:space="preserve"> </w:t>
      </w:r>
      <m:oMath>
        <m:sSub>
          <m:e>
            <m:r>
              <m:t>μ</m:t>
            </m:r>
          </m:e>
          <m:sub>
            <m:r>
              <m:t>i</m:t>
            </m:r>
          </m:sub>
        </m:sSub>
      </m:oMath>
      <w:r>
        <w:t xml:space="preserve"> </w:t>
      </w:r>
      <w:r>
        <w:t xml:space="preserve">und die Kovarianzmatrix</w:t>
      </w:r>
      <w:r>
        <w:t xml:space="preserve"> </w:t>
      </w:r>
      <m:oMath>
        <m:sSub>
          <m:e>
            <m:r>
              <m:t>σ</m:t>
            </m:r>
          </m:e>
          <m:sub>
            <m:r>
              <m:t>i</m:t>
            </m:r>
            <m:r>
              <m:t>j</m:t>
            </m:r>
          </m:sub>
        </m:sSub>
      </m:oMath>
      <w:r>
        <w:t xml:space="preserve"> </w:t>
      </w:r>
      <w:r>
        <w:t xml:space="preserve">– müssen dabei geschätzt werden; ihre Bestimmung erweist sich als die eigentliche Schwierigkeit des Verfahrens (Abschnitt 2.6).</w:t>
      </w:r>
    </w:p>
    <w:bookmarkEnd w:id="37"/>
    <w:bookmarkStart w:id="52" w:name="X5f2e16ce41c4a965104db5869ac39d6520b3a8e"/>
    <w:p>
      <w:pPr>
        <w:pStyle w:val="Heading2"/>
      </w:pPr>
      <w:r>
        <w:t xml:space="preserve">2.5 Die Sharpe Ratio als risikoadjustiertes Performancemaß</w:t>
      </w:r>
    </w:p>
    <w:p>
      <w:pPr>
        <w:pStyle w:val="FirstParagraph"/>
      </w:pPr>
      <w:r>
        <w:t xml:space="preserve">Der Vergleich von Anlagestrategien erfordert ein Maß, das Rendite und Risiko gemeinsam abbildet, da eine höhere Rendite regelmäßig mit höherem Risiko erkauft wird. Ein solches Maß führte Sharpe bereits 1966 ein und bezeichnete es ursprünglich als</w:t>
      </w:r>
      <w:r>
        <w:t xml:space="preserve"> </w:t>
      </w:r>
      <w:r>
        <w:rPr>
          <w:i/>
          <w:iCs/>
        </w:rPr>
        <w:t xml:space="preserve">reward-to-variability ratio</w:t>
      </w:r>
      <w:r>
        <w:t xml:space="preserve">.</w:t>
      </w:r>
      <w:r>
        <w:rPr>
          <w:rStyle w:val="FootnoteReference"/>
        </w:rPr>
        <w:footnoteReference w:id="38"/>
      </w:r>
      <w:r>
        <w:t xml:space="preserve"> </w:t>
      </w:r>
      <w:r>
        <w:t xml:space="preserve">Es setzt am Mean-Variance-Paradigma von Markowitz an, das unterstellt, dass Erwartungswert und Standardabweichung der einperiodigen Rendite hinreichende Statistiken zur Beurteilung einer Anlage sind.</w:t>
      </w:r>
      <w:r>
        <w:rPr>
          <w:rStyle w:val="FootnoteReference"/>
        </w:rPr>
        <w:footnoteReference w:id="39"/>
      </w:r>
    </w:p>
    <w:p>
      <w:pPr>
        <w:pStyle w:val="BodyText"/>
      </w:pPr>
      <w:r>
        <w:t xml:space="preserve">Sharpe unterscheidet eine</w:t>
      </w:r>
      <w:r>
        <w:t xml:space="preserve"> </w:t>
      </w:r>
      <w:r>
        <w:rPr>
          <w:i/>
          <w:iCs/>
        </w:rPr>
        <w:t xml:space="preserve">ex-ante-</w:t>
      </w:r>
      <w:r>
        <w:t xml:space="preserve"> </w:t>
      </w:r>
      <w:r>
        <w:t xml:space="preserve">und eine</w:t>
      </w:r>
      <w:r>
        <w:t xml:space="preserve"> </w:t>
      </w:r>
      <w:r>
        <w:rPr>
          <w:i/>
          <w:iCs/>
        </w:rPr>
        <w:t xml:space="preserve">ex-post-Variante</w:t>
      </w:r>
      <w:r>
        <w:t xml:space="preserve">.</w:t>
      </w:r>
      <w:r>
        <w:rPr>
          <w:rStyle w:val="FootnoteReference"/>
        </w:rPr>
        <w:footnoteReference w:id="40"/>
      </w:r>
      <w:r>
        <w:t xml:space="preserve"> </w:t>
      </w:r>
      <w:r>
        <w:t xml:space="preserve">Grundlage beider ist die Differenzrendite</w:t>
      </w:r>
      <w:r>
        <w:t xml:space="preserve"> </w:t>
      </w:r>
      <m:oMath>
        <m:r>
          <m:t>d</m:t>
        </m:r>
      </m:oMath>
      <w:r>
        <w:t xml:space="preserve">, also die Differenz zwischen der Rendite des Portfolios und der einer Vergleichsgröße (Benchmark); ist die Benchmark eine risikofreie Anlage, entspricht</w:t>
      </w:r>
      <w:r>
        <w:t xml:space="preserve"> </w:t>
      </w:r>
      <m:oMath>
        <m:r>
          <m:t>d</m:t>
        </m:r>
      </m:oMath>
      <w:r>
        <w:t xml:space="preserve"> </w:t>
      </w:r>
      <w:r>
        <w:t xml:space="preserve">der Überschussrendite.</w:t>
      </w:r>
      <w:r>
        <w:rPr>
          <w:rStyle w:val="FootnoteReference"/>
        </w:rPr>
        <w:footnoteReference w:id="41"/>
      </w:r>
      <w:r>
        <w:t xml:space="preserve"> </w:t>
      </w:r>
      <w:r>
        <w:t xml:space="preserve">Die ex-ante-Sharpe-Ratio ist als Quotient aus erwarteter Differenzrendite und deren prognostizierter Standardabweichung definiert und gibt damit die erwartete Differenzrendite je Einheit Risiko an.</w:t>
      </w:r>
      <w:r>
        <w:rPr>
          <w:rStyle w:val="FootnoteReference"/>
        </w:rPr>
        <w:footnoteReference w:id="42"/>
      </w:r>
      <w:r>
        <w:t xml:space="preserve"> </w:t>
      </w:r>
      <w:r>
        <w:t xml:space="preserve">Für die empirische Auswertung ist die ex-post-Variante maßgeblich; sie ersetzt Erwartungswert und Standardabweichung durch ihre historischen Schätzer,</w:t>
      </w:r>
      <w:r>
        <w:t xml:space="preserve"> </w:t>
      </w:r>
      <m:oMath>
        <m:sSub>
          <m:e>
            <m:r>
              <m:t>S</m:t>
            </m:r>
          </m:e>
          <m:sub>
            <m:r>
              <m:t>h</m:t>
            </m:r>
          </m:sub>
        </m:sSub>
        <m:r>
          <m:rPr>
            <m:sty m:val="p"/>
          </m:rPr>
          <m:t>=</m:t>
        </m:r>
        <m:acc>
          <m:accPr>
            <m:chr m:val="‾"/>
          </m:accPr>
          <m:e>
            <m:r>
              <m:t>D</m:t>
            </m:r>
          </m:e>
        </m:acc>
        <m:r>
          <m:rPr>
            <m:sty m:val="p"/>
          </m:rPr>
          <m:t>/</m:t>
        </m:r>
        <m:sSub>
          <m:e>
            <m:r>
              <m:t>σ</m:t>
            </m:r>
          </m:e>
          <m:sub>
            <m:r>
              <m:t>D</m:t>
            </m:r>
          </m:sub>
        </m:sSub>
      </m:oMath>
      <w:r>
        <w:t xml:space="preserve">, wobei</w:t>
      </w:r>
      <w:r>
        <w:t xml:space="preserve"> </w:t>
      </w:r>
      <m:oMath>
        <m:acc>
          <m:accPr>
            <m:chr m:val="‾"/>
          </m:accPr>
          <m:e>
            <m:r>
              <m:t>D</m:t>
            </m:r>
          </m:e>
        </m:acc>
      </m:oMath>
      <w:r>
        <w:t xml:space="preserve"> </w:t>
      </w:r>
      <w:r>
        <w:t xml:space="preserve">den Mittelwert und</w:t>
      </w:r>
      <w:r>
        <w:t xml:space="preserve"> </w:t>
      </w:r>
      <m:oMath>
        <m:sSub>
          <m:e>
            <m:r>
              <m:t>σ</m:t>
            </m:r>
          </m:e>
          <m:sub>
            <m:r>
              <m:t>D</m:t>
            </m:r>
          </m:sub>
        </m:sSub>
      </m:oMath>
      <w:r>
        <w:t xml:space="preserve"> </w:t>
      </w:r>
      <w:r>
        <w:t xml:space="preserve">die Standardabweichung der realisierten Differenzrenditen über</w:t>
      </w:r>
      <w:r>
        <w:t xml:space="preserve"> </w:t>
      </w:r>
      <m:oMath>
        <m:r>
          <m:t>T</m:t>
        </m:r>
      </m:oMath>
      <w:r>
        <w:t xml:space="preserve"> </w:t>
      </w:r>
      <w:r>
        <w:t xml:space="preserve">Perioden bezeichnen.</w:t>
      </w:r>
      <w:r>
        <w:rPr>
          <w:rStyle w:val="FootnoteReference"/>
        </w:rPr>
        <w:footnoteReference w:id="43"/>
      </w:r>
      <w:r>
        <w:t xml:space="preserve"> </w:t>
      </w:r>
      <w:r>
        <w:t xml:space="preserve">Sharpe verweist auf den engen Zusammenhang zur</w:t>
      </w:r>
      <w:r>
        <w:t xml:space="preserve"> </w:t>
      </w:r>
      <m:oMath>
        <m:r>
          <m:t>t</m:t>
        </m:r>
      </m:oMath>
      <w:r>
        <w:t xml:space="preserve">-Statistik: Der</w:t>
      </w:r>
      <w:r>
        <w:t xml:space="preserve"> </w:t>
      </w:r>
      <m:oMath>
        <m:r>
          <m:t>t</m:t>
        </m:r>
      </m:oMath>
      <w:r>
        <w:t xml:space="preserve">-Wert des mittleren Differenzertrags ist gleich der Sharpe Ratio multipliziert mit der Wurzel aus der Beobachtungszahl,</w:t>
      </w:r>
      <w:r>
        <w:t xml:space="preserve"> </w:t>
      </w:r>
      <m:oMath>
        <m:r>
          <m:t>t</m:t>
        </m:r>
        <m:r>
          <m:rPr>
            <m:sty m:val="p"/>
          </m:rPr>
          <m:t>=</m:t>
        </m:r>
        <m:sSub>
          <m:e>
            <m:r>
              <m:t>S</m:t>
            </m:r>
          </m:e>
          <m:sub>
            <m:r>
              <m:t>h</m:t>
            </m:r>
          </m:sub>
        </m:sSub>
        <m:rad>
          <m:radPr>
            <m:degHide m:val="on"/>
          </m:radPr>
          <m:deg/>
          <m:e>
            <m:r>
              <m:t>T</m:t>
            </m:r>
          </m:e>
        </m:rad>
      </m:oMath>
      <w:r>
        <w:t xml:space="preserve">.</w:t>
      </w:r>
      <w:r>
        <w:rPr>
          <w:rStyle w:val="FootnoteReference"/>
        </w:rPr>
        <w:footnoteReference w:id="44"/>
      </w:r>
      <w:r>
        <w:t xml:space="preserve"> </w:t>
      </w:r>
      <w:r>
        <w:t xml:space="preserve">Bereits hieraus folgt, dass die Aussagekraft einer Sharpe Ratio von der Länge des Beobachtungszeitraums abhängt.</w:t>
      </w:r>
    </w:p>
    <w:p>
      <w:pPr>
        <w:pStyle w:val="BodyText"/>
      </w:pPr>
      <w:r>
        <w:t xml:space="preserve">Diese Zeitabhängigkeit betrifft auch die übliche</w:t>
      </w:r>
      <w:r>
        <w:t xml:space="preserve"> </w:t>
      </w:r>
      <w:r>
        <w:rPr>
          <w:b/>
          <w:bCs/>
        </w:rPr>
        <w:t xml:space="preserve">Annualisierung</w:t>
      </w:r>
      <w:r>
        <w:t xml:space="preserve">. Werden einperiodige Differenzrenditen ohne serielle Korrelation aufsummiert, so wächst der Mittelwert proportional zu</w:t>
      </w:r>
      <w:r>
        <w:t xml:space="preserve"> </w:t>
      </w:r>
      <m:oMath>
        <m:r>
          <m:t>T</m:t>
        </m:r>
      </m:oMath>
      <w:r>
        <w:t xml:space="preserve">, die Standardabweichung hingegen nur proportional zu</w:t>
      </w:r>
      <w:r>
        <w:t xml:space="preserve"> </w:t>
      </w:r>
      <m:oMath>
        <m:rad>
          <m:radPr>
            <m:degHide m:val="on"/>
          </m:radPr>
          <m:deg/>
          <m:e>
            <m:r>
              <m:t>T</m:t>
            </m:r>
          </m:e>
        </m:rad>
      </m:oMath>
      <w:r>
        <w:t xml:space="preserve">; folglich gilt</w:t>
      </w:r>
      <w:r>
        <w:t xml:space="preserve"> </w:t>
      </w:r>
      <m:oMath>
        <m:sSub>
          <m:e>
            <m:r>
              <m:t>S</m:t>
            </m:r>
          </m:e>
          <m:sub>
            <m:r>
              <m:t>T</m:t>
            </m:r>
          </m:sub>
        </m:sSub>
        <m:r>
          <m:rPr>
            <m:sty m:val="p"/>
          </m:rPr>
          <m:t>=</m:t>
        </m:r>
        <m:sSub>
          <m:e>
            <m:r>
              <m:t>S</m:t>
            </m:r>
          </m:e>
          <m:sub>
            <m:r>
              <m:t>1</m:t>
            </m:r>
          </m:sub>
        </m:sSub>
        <m:rad>
          <m:radPr>
            <m:degHide m:val="on"/>
          </m:radPr>
          <m:deg/>
          <m:e>
            <m:r>
              <m:t>T</m:t>
            </m:r>
          </m:e>
        </m:rad>
      </m:oMath>
      <w:r>
        <w:t xml:space="preserve">.</w:t>
      </w:r>
      <w:r>
        <w:rPr>
          <w:rStyle w:val="FootnoteReference"/>
        </w:rPr>
        <w:footnoteReference w:id="45"/>
      </w:r>
      <w:r>
        <w:t xml:space="preserve"> </w:t>
      </w:r>
      <w:r>
        <w:t xml:space="preserve">Eine monatliche Sharpe Ratio wäre demnach mit</w:t>
      </w:r>
      <w:r>
        <w:t xml:space="preserve"> </w:t>
      </w:r>
      <m:oMath>
        <m:rad>
          <m:radPr>
            <m:degHide m:val="on"/>
          </m:radPr>
          <m:deg/>
          <m:e>
            <m:r>
              <m:t>12</m:t>
            </m:r>
          </m:e>
        </m:rad>
      </m:oMath>
      <w:r>
        <w:t xml:space="preserve"> </w:t>
      </w:r>
      <w:r>
        <w:t xml:space="preserve">zu multiplizieren. Sharpe selbst schränkt jedoch ein, dass diese Beziehung durch Zinseszinseffekte und durch serielle Korrelation der Renditen komplizierter wird.</w:t>
      </w:r>
      <w:r>
        <w:rPr>
          <w:rStyle w:val="FootnoteReference"/>
        </w:rPr>
        <w:footnoteReference w:id="46"/>
      </w:r>
    </w:p>
    <w:p>
      <w:pPr>
        <w:pStyle w:val="BodyText"/>
      </w:pPr>
      <w:r>
        <w:t xml:space="preserve">Genau hier setzt Lo an. Er betont, dass die Bausteine der Sharpe Ratio – erwartete Rendite und Volatilität – unbekannte, statistisch zu schätzende und damit schätzfehlerbehaftete Größen sind.</w:t>
      </w:r>
      <w:r>
        <w:rPr>
          <w:rStyle w:val="FootnoteReference"/>
        </w:rPr>
        <w:footnoteReference w:id="47"/>
      </w:r>
      <w:r>
        <w:t xml:space="preserve"> </w:t>
      </w:r>
      <w:r>
        <w:t xml:space="preserve">Unter der Annahme unabhängig und identisch verteilter (i.i.d.) Renditen leitet er den asymptotischen Standardfehler des Schätzers her; dieser wächst mit der Höhe der Sharpe Ratio selbst, sodass größere Sharpe Ratios unpräziser geschätzt werden.</w:t>
      </w:r>
      <w:r>
        <w:rPr>
          <w:rStyle w:val="FootnoteReference"/>
        </w:rPr>
        <w:footnoteReference w:id="48"/>
      </w:r>
      <w:r>
        <w:t xml:space="preserve"> </w:t>
      </w:r>
      <w:r>
        <w:t xml:space="preserve">Entscheidend für die vorliegende Arbeit ist sein Befund zur Annualisierung: Die Multiplikation mit</w:t>
      </w:r>
      <w:r>
        <w:t xml:space="preserve"> </w:t>
      </w:r>
      <m:oMath>
        <m:rad>
          <m:radPr>
            <m:degHide m:val="on"/>
          </m:radPr>
          <m:deg/>
          <m:e>
            <m:r>
              <m:t>12</m:t>
            </m:r>
          </m:e>
        </m:rad>
      </m:oMath>
      <w:r>
        <w:t xml:space="preserve"> </w:t>
      </w:r>
      <w:r>
        <w:t xml:space="preserve">ist nur unter der i.i.d.-Annahme korrekt.</w:t>
      </w:r>
      <w:r>
        <w:rPr>
          <w:rStyle w:val="FootnoteReference"/>
        </w:rPr>
        <w:footnoteReference w:id="49"/>
      </w:r>
      <w:r>
        <w:t xml:space="preserve"> </w:t>
      </w:r>
      <w:r>
        <w:t xml:space="preserve">Bei autokorrelierten Renditen ist stattdessen ein Korrekturfaktor zu verwenden, der die Autokorrelationen berücksichtigt; bei einer monatlichen Autokorrelation erster Ordnung von 20 % etwa beträgt der korrekte Skalierungsfaktor 2,88 statt 3,46 (</w:t>
      </w:r>
      <m:oMath>
        <m:r>
          <m:rPr>
            <m:sty m:val="p"/>
          </m:rPr>
          <m:t>=</m:t>
        </m:r>
        <m:rad>
          <m:radPr>
            <m:degHide m:val="on"/>
          </m:radPr>
          <m:deg/>
          <m:e>
            <m:r>
              <m:t>12</m:t>
            </m:r>
          </m:e>
        </m:rad>
      </m:oMath>
      <w:r>
        <w:t xml:space="preserve">), womit die naive Annualisierung die wahre Sharpe Ratio überschätzt.</w:t>
      </w:r>
      <w:r>
        <w:rPr>
          <w:rStyle w:val="FootnoteReference"/>
        </w:rPr>
        <w:footnoteReference w:id="50"/>
      </w:r>
    </w:p>
    <w:p>
      <w:pPr>
        <w:pStyle w:val="BodyText"/>
      </w:pPr>
      <w:r>
        <w:t xml:space="preserve">Schließlich ist eine grundsätzliche Grenze zu beachten: Die Sharpe Ratio berücksichtigt nicht die Korrelation einer Strategie mit anderen Vermögenswerten und kann daher in bestimmten Konstellationen zu Fehlentscheidungen führen.</w:t>
      </w:r>
      <w:r>
        <w:rPr>
          <w:rStyle w:val="FootnoteReference"/>
        </w:rPr>
        <w:footnoteReference w:id="51"/>
      </w:r>
      <w:r>
        <w:t xml:space="preserve"> </w:t>
      </w:r>
      <w:r>
        <w:t xml:space="preserve">Aus diesen Eigenschaften ergeben sich zwei methodische Konsequenzen für die vorliegende Untersuchung: Erstens dient die Sharpe Ratio als zentrales risikoadjustiertes Vergleichsmaß; zweitens dürfen beobachtete Unterschiede zwischen Strategien nicht als bloße Punktschätzer gedeutet, sondern müssen – gerade wegen ihres Schätzfehlers – statistisch auf Signifikanz geprüft werden (vgl. Kapitel 5).</w:t>
      </w:r>
    </w:p>
    <w:bookmarkEnd w:id="52"/>
    <w:bookmarkStart w:id="62" w:name="Xcbd7a3a6c1471d347e3a45c8a9cdc7941667962"/>
    <w:p>
      <w:pPr>
        <w:pStyle w:val="Heading2"/>
      </w:pPr>
      <w:r>
        <w:t xml:space="preserve">2.6 Das Kernproblem: Schätzfehler in den Eingangsgrößen</w:t>
      </w:r>
    </w:p>
    <w:p>
      <w:pPr>
        <w:pStyle w:val="FirstParagraph"/>
      </w:pPr>
      <w:r>
        <w:t xml:space="preserve">Markowitz benennt die Bestimmung der Eingangsgrößen selbst als die praktische Hürde des Verfahrens. Als vorläufige Wahl schlägt er vor, die beobachteten</w:t>
      </w:r>
      <w:r>
        <w:t xml:space="preserve"> </w:t>
      </w:r>
      <m:oMath>
        <m:sSub>
          <m:e>
            <m:r>
              <m:t>μ</m:t>
            </m:r>
          </m:e>
          <m:sub>
            <m:r>
              <m:t>i</m:t>
            </m:r>
          </m:sub>
        </m:sSub>
      </m:oMath>
      <w:r>
        <w:t xml:space="preserve"> </w:t>
      </w:r>
      <w:r>
        <w:t xml:space="preserve">und</w:t>
      </w:r>
      <w:r>
        <w:t xml:space="preserve"> </w:t>
      </w:r>
      <m:oMath>
        <m:sSub>
          <m:e>
            <m:r>
              <m:t>σ</m:t>
            </m:r>
          </m:e>
          <m:sub>
            <m:r>
              <m:t>i</m:t>
            </m:r>
            <m:r>
              <m:t>j</m:t>
            </m:r>
          </m:sub>
        </m:sSub>
      </m:oMath>
      <w:r>
        <w:t xml:space="preserve"> </w:t>
      </w:r>
      <w:r>
        <w:t xml:space="preserve">einer vergangenen Periode zu verwenden, hält jedoch bessere, mehr Information nutzende Methoden für möglich und nötig.</w:t>
      </w:r>
      <w:r>
        <w:rPr>
          <w:rStyle w:val="FootnoteReference"/>
        </w:rPr>
        <w:footnoteReference w:id="53"/>
      </w:r>
      <w:r>
        <w:t xml:space="preserve"> </w:t>
      </w:r>
      <w:r>
        <w:t xml:space="preserve">Genau an dieser Schätzung der unbekannten Zukunft entzündet sich die zentrale Kritik an der Mean-Variance-Optimierung.</w:t>
      </w:r>
    </w:p>
    <w:p>
      <w:pPr>
        <w:pStyle w:val="BodyText"/>
      </w:pPr>
      <w:r>
        <w:t xml:space="preserve">Michaud bringt sie auf den Punkt: Das Hauptproblem der MV-Optimierung sei ihre Tendenz, die Auswirkungen von Fehlern in den Eingangsannahmen zu</w:t>
      </w:r>
      <w:r>
        <w:t xml:space="preserve"> </w:t>
      </w:r>
      <w:r>
        <w:rPr>
          <w:i/>
          <w:iCs/>
        </w:rPr>
        <w:t xml:space="preserve">maximieren</w:t>
      </w:r>
      <w:r>
        <w:t xml:space="preserve">; eine unbeschränkte MV-Optimierung könne sogar Ergebnisse liefern, die schlechter sind als einfache Gleichgewichtungsschemata.</w:t>
      </w:r>
      <w:r>
        <w:rPr>
          <w:rStyle w:val="FootnoteReference"/>
        </w:rPr>
        <w:footnoteReference w:id="54"/>
      </w:r>
      <w:r>
        <w:t xml:space="preserve"> </w:t>
      </w:r>
      <w:r>
        <w:t xml:space="preserve">Anschaulich gesprochen überschätzt der Optimierer tendenziell jene Wertpapiere, deren Rendite zufällig zu hoch und deren Varianz zufällig zu niedrig geschätzt wurde, und konzentriert das Vermögen auf sie – er wirkt als „Fehler-Maximierer”. Zugleich betont Michaud, dass sich der praktische Wert der MVO durch sinnvoll gewählte Beschränkungen (Constraints) steigern lässt.</w:t>
      </w:r>
      <w:r>
        <w:rPr>
          <w:rStyle w:val="FootnoteReference"/>
        </w:rPr>
        <w:footnoteReference w:id="55"/>
      </w:r>
    </w:p>
    <w:p>
      <w:pPr>
        <w:pStyle w:val="BodyText"/>
      </w:pPr>
      <w:r>
        <w:t xml:space="preserve">Wie sich die Fehleranfälligkeit auf die einzelnen Eingangsgrößen verteilt, quantifizieren Chopra und Ziemba. Über den</w:t>
      </w:r>
      <w:r>
        <w:t xml:space="preserve"> </w:t>
      </w:r>
      <w:r>
        <w:rPr>
          <w:i/>
          <w:iCs/>
        </w:rPr>
        <w:t xml:space="preserve">Cash Equivalent Loss</w:t>
      </w:r>
      <w:r>
        <w:t xml:space="preserve"> </w:t>
      </w:r>
      <w:r>
        <w:t xml:space="preserve">(CEL) messen sie den Nutzenverlust, der entsteht, wenn statt des optimalen ein fehlerbehaftetes Portfolio gehalten wird.</w:t>
      </w:r>
      <w:r>
        <w:rPr>
          <w:rStyle w:val="FootnoteReference"/>
        </w:rPr>
        <w:footnoteReference w:id="56"/>
      </w:r>
      <w:r>
        <w:t xml:space="preserve"> </w:t>
      </w:r>
      <w:r>
        <w:t xml:space="preserve">Ihr zentrales Ergebnis lautet, dass Fehler in den Erwartungswerten weit schwerer wiegen als Fehler in Varianzen und Kovarianzen und dass sich dieser Unterschied mit steigender Risikotoleranz noch vergrößert.</w:t>
      </w:r>
      <w:r>
        <w:rPr>
          <w:rStyle w:val="FootnoteReference"/>
        </w:rPr>
        <w:footnoteReference w:id="57"/>
      </w:r>
      <w:r>
        <w:t xml:space="preserve"> </w:t>
      </w:r>
      <w:r>
        <w:t xml:space="preserve">Quantitativ sind bei einer Risikotoleranz von 50 Fehler in den Mittelwerten rund elfmal so bedeutsam wie Fehler in den Varianzen und etwa 22-mal so bedeutsam wie Fehler in den Kovarianzen, während Fehler in den Varianzen rund doppelt so schwer wiegen wie solche in den Kovarianzen.</w:t>
      </w:r>
      <w:r>
        <w:rPr>
          <w:rStyle w:val="FootnoteReference"/>
        </w:rPr>
        <w:footnoteReference w:id="58"/>
      </w:r>
      <w:r>
        <w:t xml:space="preserve"> </w:t>
      </w:r>
      <w:r>
        <w:t xml:space="preserve">Daraus folgern die Autoren, dass die begrenzten Ressourcen zur Parameterschätzung vorrangig in möglichst gute Schätzungen der erwarteten Renditen fließen sollten.</w:t>
      </w:r>
      <w:r>
        <w:rPr>
          <w:rStyle w:val="FootnoteReference"/>
        </w:rPr>
        <w:footnoteReference w:id="59"/>
      </w:r>
      <w:r>
        <w:t xml:space="preserve"> </w:t>
      </w:r>
      <w:r>
        <w:t xml:space="preserve">Dass die optimalen Portfoliogewichte tatsächlich „extrem empfindlich” auf Änderungen der Mittelwert-Schätzungen reagieren, bestätigen Best und Grauer analytisch wie numerisch.</w:t>
      </w:r>
      <w:r>
        <w:rPr>
          <w:rStyle w:val="FootnoteReference"/>
        </w:rPr>
        <w:footnoteReference w:id="60"/>
      </w:r>
      <w:r>
        <w:t xml:space="preserve"> </w:t>
      </w:r>
      <w:r>
        <w:t xml:space="preserve">Und warum gerade die Mittelwerte so schwer zu schätzen sind, zeigt Merton: Die Varianz lässt sich – insbesondere mithilfe höher frequenter Daten – weit genauer schätzen als die erwartete Rendite, die selbst über lange Zeiträume unpräzise bleibt.</w:t>
      </w:r>
      <w:r>
        <w:rPr>
          <w:rStyle w:val="FootnoteReference"/>
        </w:rPr>
        <w:footnoteReference w:id="61"/>
      </w:r>
    </w:p>
    <w:p>
      <w:pPr>
        <w:pStyle w:val="BodyText"/>
      </w:pPr>
      <w:r>
        <w:t xml:space="preserve">Dieser Befund ist für die vorliegende Arbeit grundlegend: Er erklärt erstens, warum die naive 1/N-Strategie eine ernstzunehmende Vergleichsgröße darstellt (Abschnitt 2.9), und motiviert zweitens den Einsatz eines Random Forest, der gezielt die schwierigste und folgenreichste Eingangsgröße – die erwartete Rendite – datengetrieben zu verbessern sucht (Kapitel 3).</w:t>
      </w:r>
    </w:p>
    <w:bookmarkEnd w:id="62"/>
    <w:bookmarkStart w:id="67" w:name="Xfd0c67c42e22b408f8d7fe80925022d8f557447"/>
    <w:p>
      <w:pPr>
        <w:pStyle w:val="Heading2"/>
      </w:pPr>
      <w:r>
        <w:t xml:space="preserve">2.7 Verbesserte Kovarianzschätzung: Ledoit-Wolf-Shrinkage</w:t>
      </w:r>
    </w:p>
    <w:p>
      <w:pPr>
        <w:pStyle w:val="FirstParagraph"/>
      </w:pPr>
      <w:r>
        <w:t xml:space="preserve">Da auch Fehler in der Kovarianzmatrix die Optimierung beeinträchtigen (Abschnitt 2.6), ist deren möglichst genaue und stabile Schätzung von Bedeutung. Ledoit und Wolf zeigen, dass die übliche Stichprobenkovarianzmatrix für hochdimensionale Probleme – also wenn die Zahl der Wertpapiere im Verhältnis zur Zahl der Beobachtungen groß ist – schlecht konditioniert ist und im Extremfall, bei mehr Wertpapieren als Beobachtungen, nicht einmal invertiert werden kann.</w:t>
      </w:r>
      <w:r>
        <w:rPr>
          <w:rStyle w:val="FootnoteReference"/>
        </w:rPr>
        <w:footnoteReference w:id="63"/>
      </w:r>
      <w:r>
        <w:t xml:space="preserve"> </w:t>
      </w:r>
      <w:r>
        <w:t xml:space="preserve">„Schlecht konditioniert” bedeutet dabei, dass die Invertierung der Matrix – die in die Portfoliooptimierung eingeht – Schätzfehler verstärkt.</w:t>
      </w:r>
      <w:r>
        <w:rPr>
          <w:rStyle w:val="FootnoteReference"/>
        </w:rPr>
        <w:footnoteReference w:id="64"/>
      </w:r>
      <w:r>
        <w:t xml:space="preserve"> </w:t>
      </w:r>
      <w:r>
        <w:t xml:space="preserve">Als Abhilfe schlagen sie einen Schätzer vor, der eine</w:t>
      </w:r>
      <w:r>
        <w:t xml:space="preserve"> </w:t>
      </w:r>
      <w:r>
        <w:rPr>
          <w:i/>
          <w:iCs/>
        </w:rPr>
        <w:t xml:space="preserve">konvexe Linearkombination</w:t>
      </w:r>
      <w:r>
        <w:t xml:space="preserve"> </w:t>
      </w:r>
      <w:r>
        <w:t xml:space="preserve">(ein gewichtetes Mittel) aus der Stichprobenkovarianzmatrix und einer strukturierten Zielmatrix – einem Vielfachen der Einheitsmatrix – bildet; das Mischungsgewicht, die sogenannte Shrinkage-Intensität, wird so gewählt, dass der erwartete quadratische Schätzfehler asymptotisch minimal wird.</w:t>
      </w:r>
      <w:r>
        <w:rPr>
          <w:rStyle w:val="FootnoteReference"/>
        </w:rPr>
        <w:footnoteReference w:id="65"/>
      </w:r>
      <w:r>
        <w:t xml:space="preserve"> </w:t>
      </w:r>
      <w:r>
        <w:t xml:space="preserve">Dieser Shrinkage-Schätzer ist zugleich gut konditioniert und asymptotisch genauer als die reine Stichprobenkovarianz, verteilungsfrei und über eine einfache, geschlossene Formel berechenbar.</w:t>
      </w:r>
      <w:r>
        <w:rPr>
          <w:rStyle w:val="FootnoteReference"/>
        </w:rPr>
        <w:footnoteReference w:id="66"/>
      </w:r>
      <w:r>
        <w:t xml:space="preserve"> </w:t>
      </w:r>
      <w:r>
        <w:t xml:space="preserve">Die vorliegende Arbeit verwendet die Ledoit-Wolf-Schätzung als Kovarianzgrundlage aller varianzbasierten Strategien.</w:t>
      </w:r>
    </w:p>
    <w:bookmarkEnd w:id="67"/>
    <w:bookmarkStart w:id="71" w:name="warum-beschränkungen-helfen"/>
    <w:p>
      <w:pPr>
        <w:pStyle w:val="Heading2"/>
      </w:pPr>
      <w:r>
        <w:t xml:space="preserve">2.8 Warum Beschränkungen helfen</w:t>
      </w:r>
    </w:p>
    <w:p>
      <w:pPr>
        <w:pStyle w:val="FirstParagraph"/>
      </w:pPr>
      <w:r>
        <w:t xml:space="preserve">Eine zweite, praktisch besonders wirksame Methode zur Stabilisierung der Optimierung sind Beschränkungen der Portfoliogewichte. Mean-Variance-effiziente Portfolios auf Basis von Stichprobenmomenten weisen häufig extreme Long- und Short-Positionen auf, weshalb Praktiker Gewichtsbeschränkungen einführen.</w:t>
      </w:r>
      <w:r>
        <w:rPr>
          <w:rStyle w:val="FootnoteReference"/>
        </w:rPr>
        <w:footnoteReference w:id="68"/>
      </w:r>
      <w:r>
        <w:t xml:space="preserve"> </w:t>
      </w:r>
      <w:r>
        <w:t xml:space="preserve">Auf den ersten Blick müsste eine „falsche” Beschränkung die Lösung verschlechtern; empirisch ist jedoch oft das Gegenteil zu beobachten. Jagannathan und Ma lösen diesen scheinbaren Widerspruch auf: Sie zeigen, dass das Verbot von Leerverkäufen (Nichtnegativitätsbeschränkung) äquivalent dazu ist, die großen Elemente der Stichprobenkovarianzmatrix zu verkleinern und anschließend ohne Beschränkung zu optimieren – die Beschränkung wirkt also wie eine Shrinkage der Kovarianzmatrix und senkt das Schätzrisiko.</w:t>
      </w:r>
      <w:r>
        <w:rPr>
          <w:rStyle w:val="FootnoteReference"/>
        </w:rPr>
        <w:footnoteReference w:id="69"/>
      </w:r>
      <w:r>
        <w:t xml:space="preserve"> </w:t>
      </w:r>
      <w:r>
        <w:t xml:space="preserve">Bemerkenswerterweise schneiden mit Nichtnegativitätsbeschränkung gebildete Minimum-Varianz-Portfolios auf Basis der einfachen monatlichen Stichprobenkovarianz so gut ab wie solche, die aufwändigere Schätzverfahren – Faktormodelle, Shrinkage-Schätzer oder Tagesdaten – verwenden.</w:t>
      </w:r>
      <w:r>
        <w:rPr>
          <w:rStyle w:val="FootnoteReference"/>
        </w:rPr>
        <w:footnoteReference w:id="70"/>
      </w:r>
      <w:r>
        <w:t xml:space="preserve"> </w:t>
      </w:r>
      <w:r>
        <w:t xml:space="preserve">Dies begründet unmittelbar zwei Designentscheidungen der vorliegenden Arbeit: das Verbot von Leerverkäufen (Long-only) sowie die Positionsobergrenze von 20 % je Titel.</w:t>
      </w:r>
    </w:p>
    <w:bookmarkEnd w:id="71"/>
    <w:bookmarkStart w:id="77" w:name="die-naive-1n-strategie-als-maßstab"/>
    <w:p>
      <w:pPr>
        <w:pStyle w:val="Heading2"/>
      </w:pPr>
      <w:r>
        <w:t xml:space="preserve">2.9 Die naive 1/N-Strategie als Maßstab</w:t>
      </w:r>
    </w:p>
    <w:p>
      <w:pPr>
        <w:pStyle w:val="FirstParagraph"/>
      </w:pPr>
      <w:r>
        <w:t xml:space="preserve">Die geschilderten Schätzprobleme werfen die grundsätzliche Frage auf, ob sich der Aufwand der Optimierung gegenüber der denkbar einfachsten Regel überhaupt lohnt: der naiven 1/N-Strategie, die jedem der</w:t>
      </w:r>
      <w:r>
        <w:t xml:space="preserve"> </w:t>
      </w:r>
      <m:oMath>
        <m:r>
          <m:t>N</m:t>
        </m:r>
      </m:oMath>
      <w:r>
        <w:t xml:space="preserve"> </w:t>
      </w:r>
      <w:r>
        <w:t xml:space="preserve">Wertpapiere denselben Anteil zuweist. Diese Idee ist alt – bereits der Talmud empfiehlt, das Vermögen zu dritteln.</w:t>
      </w:r>
      <w:r>
        <w:rPr>
          <w:rStyle w:val="FootnoteReference"/>
        </w:rPr>
        <w:footnoteReference w:id="72"/>
      </w:r>
      <w:r>
        <w:t xml:space="preserve"> </w:t>
      </w:r>
      <w:r>
        <w:t xml:space="preserve">Schon in der Einleitung halten DeMiguel, Garlappi und Uppal fest, dass mit klassischen ökonometrischen Punktschätzern gebildete Portfolios extreme, über die Zeit stark schwankende Gewichte aufweisen, und ordnen die Gegenmittel ein – Bayes-Shrinkage, Black-Litterman sowie Gewichtsbeschränkungen, die nach Jagannathan und Ma als Shrinkage der extremen Kovarianzelemente zu deuten sind.</w:t>
      </w:r>
      <w:r>
        <w:rPr>
          <w:rStyle w:val="FootnoteReference"/>
        </w:rPr>
        <w:footnoteReference w:id="73"/>
      </w:r>
      <w:r>
        <w:t xml:space="preserve"> </w:t>
      </w:r>
      <w:r>
        <w:t xml:space="preserve">Ihr zentrales Ergebnis lautet, dass die 1/N-Regel „far from inefficient” ist: Out-of-sample weist sie häufig eine höhere Sharpe Ratio und einen geringeren Umschlag (Turnover) auf als die statischen und dynamischen Optimierungsmodelle.</w:t>
      </w:r>
      <w:r>
        <w:rPr>
          <w:rStyle w:val="FootnoteReference"/>
        </w:rPr>
        <w:footnoteReference w:id="74"/>
      </w:r>
      <w:r>
        <w:t xml:space="preserve"> </w:t>
      </w:r>
      <w:r>
        <w:t xml:space="preserve">Der Grund liegt im bereits bekannten Schätzfehler – zwar erreichen die Optimierungsmodelle</w:t>
      </w:r>
      <w:r>
        <w:t xml:space="preserve"> </w:t>
      </w:r>
      <w:r>
        <w:rPr>
          <w:i/>
          <w:iCs/>
        </w:rPr>
        <w:t xml:space="preserve">in-sample</w:t>
      </w:r>
      <w:r>
        <w:t xml:space="preserve"> </w:t>
      </w:r>
      <w:r>
        <w:t xml:space="preserve">eine höhere Sharpe Ratio, doch</w:t>
      </w:r>
      <w:r>
        <w:t xml:space="preserve"> </w:t>
      </w:r>
      <w:r>
        <w:rPr>
          <w:i/>
          <w:iCs/>
        </w:rPr>
        <w:t xml:space="preserve">out-of-sample</w:t>
      </w:r>
      <w:r>
        <w:t xml:space="preserve"> </w:t>
      </w:r>
      <w:r>
        <w:t xml:space="preserve">frisst der erhebliche Schätzfehler den Vorteil der „optimalen” gegenüber der naiven Diversifikation auf.</w:t>
      </w:r>
      <w:r>
        <w:rPr>
          <w:rStyle w:val="FootnoteReference"/>
        </w:rPr>
        <w:footnoteReference w:id="75"/>
      </w:r>
      <w:r>
        <w:t xml:space="preserve"> </w:t>
      </w:r>
      <w:r>
        <w:t xml:space="preserve">Wie schwerwiegend das Schätzproblem ist, verdeutlichen ihre Simulationen: Damit die klassische Mean-Variance-Politik (mit Maximum-Likelihood-Schätzern) die 1/N-Regel schlägt, ist bei vier Anlagen mit 20 % durchschnittlicher idiosynkratischer Volatilität ein Schätzfenster von 50 Jahren erforderlich; sinkt die Volatilität auf 10 %, sind es bereits 500 Jahre, und bei 100 Anlagen mehr als 1000 Jahre.</w:t>
      </w:r>
      <w:r>
        <w:rPr>
          <w:rStyle w:val="FootnoteReference"/>
        </w:rPr>
        <w:footnoteReference w:id="76"/>
      </w:r>
      <w:r>
        <w:t xml:space="preserve"> </w:t>
      </w:r>
      <w:r>
        <w:t xml:space="preserve">Die 1/N-Strategie ist somit kein bloßer Strohmann, sondern ein anspruchsvoller Maßstab – und genau in dieser Funktion dient sie auch in der vorliegenden Arbeit als Benchmark (Equal Weight).</w:t>
      </w:r>
    </w:p>
    <w:bookmarkEnd w:id="77"/>
    <w:bookmarkStart w:id="83" w:name="Xd2851ae61e417e64abc3e853315fa3af0eef789"/>
    <w:p>
      <w:pPr>
        <w:pStyle w:val="Heading2"/>
      </w:pPr>
      <w:r>
        <w:t xml:space="preserve">2.10 Risk Parity als risikobasierte Alternative</w:t>
      </w:r>
    </w:p>
    <w:p>
      <w:pPr>
        <w:pStyle w:val="FirstParagraph"/>
      </w:pPr>
      <w:r>
        <w:t xml:space="preserve">Eine dritte Vergleichsstrategie verzichtet – wie die 1/N-Regel – auf die fehleranfällige Schätzung erwarteter Renditen, verteilt aber nicht das Kapital, sondern das</w:t>
      </w:r>
      <w:r>
        <w:t xml:space="preserve"> </w:t>
      </w:r>
      <w:r>
        <w:rPr>
          <w:i/>
          <w:iCs/>
        </w:rPr>
        <w:t xml:space="preserve">Risiko</w:t>
      </w:r>
      <w:r>
        <w:t xml:space="preserve"> </w:t>
      </w:r>
      <w:r>
        <w:t xml:space="preserve">gleichmäßig. Diese als</w:t>
      </w:r>
      <w:r>
        <w:t xml:space="preserve"> </w:t>
      </w:r>
      <w:r>
        <w:rPr>
          <w:i/>
          <w:iCs/>
        </w:rPr>
        <w:t xml:space="preserve">Risk Parity</w:t>
      </w:r>
      <w:r>
        <w:t xml:space="preserve"> </w:t>
      </w:r>
      <w:r>
        <w:t xml:space="preserve">bzw.</w:t>
      </w:r>
      <w:r>
        <w:t xml:space="preserve"> </w:t>
      </w:r>
      <w:r>
        <w:rPr>
          <w:i/>
          <w:iCs/>
        </w:rPr>
        <w:t xml:space="preserve">Equal Risk Contribution</w:t>
      </w:r>
      <w:r>
        <w:t xml:space="preserve"> </w:t>
      </w:r>
      <w:r>
        <w:t xml:space="preserve">(ERC) bezeichnete Idee geht auf Qian zurück, der ein Portfolio anstrebt, das das Marktrisiko gleichmäßig auf die Anlagen verteilt und so eine „echte” Diversifikation erreicht;</w:t>
      </w:r>
      <w:r>
        <w:rPr>
          <w:rStyle w:val="FootnoteReference"/>
        </w:rPr>
        <w:footnoteReference w:id="78"/>
      </w:r>
      <w:r>
        <w:t xml:space="preserve"> </w:t>
      </w:r>
      <w:r>
        <w:t xml:space="preserve">formal ausgearbeitet wurde sie von Maillard, Roncalli und Teïletche.</w:t>
      </w:r>
      <w:r>
        <w:rPr>
          <w:rStyle w:val="FootnoteReference"/>
        </w:rPr>
        <w:footnoteReference w:id="79"/>
      </w:r>
    </w:p>
    <w:p>
      <w:pPr>
        <w:pStyle w:val="BodyText"/>
      </w:pPr>
      <w:r>
        <w:t xml:space="preserve">Ausgangspunkt ist die Zerlegung des Portfoliorisikos in die Beiträge der einzelnen Anlagen. Mit dem Portfoliorisiko</w:t>
      </w:r>
      <w:r>
        <w:t xml:space="preserve"> </w:t>
      </w:r>
      <m:oMath>
        <m:r>
          <m:t>σ</m:t>
        </m:r>
        <m:r>
          <m:rPr>
            <m:sty m:val="p"/>
          </m:rPr>
          <m:t>(</m:t>
        </m:r>
        <m:r>
          <m:t>x</m:t>
        </m:r>
        <m:r>
          <m:rPr>
            <m:sty m:val="p"/>
          </m:rPr>
          <m:t>)</m:t>
        </m:r>
        <m:r>
          <m:rPr>
            <m:sty m:val="p"/>
          </m:rPr>
          <m:t>=</m:t>
        </m:r>
        <m:rad>
          <m:radPr>
            <m:degHide m:val="on"/>
          </m:radPr>
          <m:deg/>
          <m:e>
            <m:sSup>
              <m:e>
                <m:r>
                  <m:t>x</m:t>
                </m:r>
              </m:e>
              <m:sup>
                <m:r>
                  <m:rPr>
                    <m:sty m:val="p"/>
                  </m:rPr>
                  <m:t>⊤</m:t>
                </m:r>
              </m:sup>
            </m:sSup>
            <m:r>
              <m:rPr>
                <m:sty m:val="p"/>
              </m:rPr>
              <m:t>Σ</m:t>
            </m:r>
            <m:r>
              <m:t>x</m:t>
            </m:r>
          </m:e>
        </m:rad>
      </m:oMath>
      <w:r>
        <w:t xml:space="preserve"> </w:t>
      </w:r>
      <w:r>
        <w:t xml:space="preserve">ist der</w:t>
      </w:r>
      <w:r>
        <w:t xml:space="preserve"> </w:t>
      </w:r>
      <w:r>
        <w:rPr>
          <w:i/>
          <w:iCs/>
        </w:rPr>
        <w:t xml:space="preserve">marginale</w:t>
      </w:r>
      <w:r>
        <w:t xml:space="preserve"> </w:t>
      </w:r>
      <w:r>
        <w:t xml:space="preserve">Risikobeitrag einer Anlage</w:t>
      </w:r>
      <w:r>
        <w:t xml:space="preserve"> </w:t>
      </w:r>
      <m:oMath>
        <m:r>
          <m:t>i</m:t>
        </m:r>
      </m:oMath>
      <w:r>
        <w:t xml:space="preserve"> </w:t>
      </w:r>
      <w:r>
        <w:t xml:space="preserve">die partielle Ableitung</w:t>
      </w:r>
    </w:p>
    <w:p>
      <w:pPr>
        <w:pStyle w:val="BodyText"/>
      </w:pPr>
      <m:oMathPara>
        <m:oMathParaPr>
          <m:jc m:val="center"/>
        </m:oMathParaPr>
        <m:oMath>
          <m:sSub>
            <m:e>
              <m:r>
                <m:rPr>
                  <m:sty m:val="p"/>
                </m:rPr>
                <m:t>∂</m:t>
              </m:r>
            </m:e>
            <m:sub>
              <m:sSub>
                <m:e>
                  <m:r>
                    <m:t>x</m:t>
                  </m:r>
                </m:e>
                <m:sub>
                  <m:r>
                    <m:t>i</m:t>
                  </m:r>
                </m:sub>
              </m:sSub>
            </m:sub>
          </m:sSub>
          <m:r>
            <m:t>σ</m:t>
          </m:r>
          <m:r>
            <m:rPr>
              <m:sty m:val="p"/>
            </m:rPr>
            <m:t>(</m:t>
          </m:r>
          <m:r>
            <m:t>x</m:t>
          </m:r>
          <m:r>
            <m:rPr>
              <m:sty m:val="p"/>
            </m:rPr>
            <m:t>)</m:t>
          </m:r>
          <m:r>
            <m:rPr>
              <m:sty m:val="p"/>
            </m:rPr>
            <m:t>=</m:t>
          </m:r>
          <m:f>
            <m:fPr>
              <m:type m:val="bar"/>
            </m:fPr>
            <m:num>
              <m:r>
                <m:rPr>
                  <m:sty m:val="p"/>
                </m:rPr>
                <m:t>∂</m:t>
              </m:r>
              <m:r>
                <m:t>σ</m:t>
              </m:r>
              <m:r>
                <m:rPr>
                  <m:sty m:val="p"/>
                </m:rPr>
                <m:t>(</m:t>
              </m:r>
              <m:r>
                <m:t>x</m:t>
              </m:r>
              <m:r>
                <m:rPr>
                  <m:sty m:val="p"/>
                </m:rPr>
                <m:t>)</m:t>
              </m:r>
            </m:num>
            <m:den>
              <m:r>
                <m:rPr>
                  <m:sty m:val="p"/>
                </m:rPr>
                <m:t>∂</m:t>
              </m:r>
              <m:sSub>
                <m:e>
                  <m:r>
                    <m:t>x</m:t>
                  </m:r>
                </m:e>
                <m:sub>
                  <m:r>
                    <m:t>i</m:t>
                  </m:r>
                </m:sub>
              </m:sSub>
            </m:den>
          </m:f>
          <m:r>
            <m:rPr>
              <m:sty m:val="p"/>
            </m:rPr>
            <m:t>=</m:t>
          </m:r>
          <m:f>
            <m:fPr>
              <m:type m:val="bar"/>
            </m:fPr>
            <m:num>
              <m:sSub>
                <m:e>
                  <m:r>
                    <m:t>x</m:t>
                  </m:r>
                </m:e>
                <m:sub>
                  <m:r>
                    <m:t>i</m:t>
                  </m:r>
                </m:sub>
              </m:sSub>
              <m:r>
                <m:t> </m:t>
              </m:r>
              <m:sSubSup>
                <m:e>
                  <m:r>
                    <m:t>σ</m:t>
                  </m:r>
                </m:e>
                <m:sub>
                  <m:r>
                    <m:t>i</m:t>
                  </m:r>
                </m:sub>
                <m:sup>
                  <m:r>
                    <m:t>2</m:t>
                  </m:r>
                </m:sup>
              </m:sSubSup>
              <m:r>
                <m:rPr>
                  <m:sty m:val="p"/>
                </m:rPr>
                <m:t>+</m:t>
              </m:r>
              <m:nary>
                <m:naryPr>
                  <m:chr m:val="∑"/>
                  <m:limLoc m:val="undOvr"/>
                  <m:subHide m:val="off"/>
                  <m:supHide m:val="on"/>
                </m:naryPr>
                <m:sub>
                  <m:r>
                    <m:t>j</m:t>
                  </m:r>
                  <m:r>
                    <m:rPr>
                      <m:sty m:val="p"/>
                    </m:rPr>
                    <m:t>≠</m:t>
                  </m:r>
                  <m:r>
                    <m:t>i</m:t>
                  </m:r>
                </m:sub>
                <m:sup>
                  <m:r>
                    <m:t>​</m:t>
                  </m:r>
                </m:sup>
                <m:e>
                  <m:sSub>
                    <m:e>
                      <m:r>
                        <m:t>x</m:t>
                      </m:r>
                    </m:e>
                    <m:sub>
                      <m:r>
                        <m:t>j</m:t>
                      </m:r>
                    </m:sub>
                  </m:sSub>
                </m:e>
              </m:nary>
              <m:r>
                <m:t> </m:t>
              </m:r>
              <m:sSub>
                <m:e>
                  <m:r>
                    <m:t>σ</m:t>
                  </m:r>
                </m:e>
                <m:sub>
                  <m:r>
                    <m:t>i</m:t>
                  </m:r>
                  <m:r>
                    <m:t>j</m:t>
                  </m:r>
                </m:sub>
              </m:sSub>
            </m:num>
            <m:den>
              <m:r>
                <m:t>σ</m:t>
              </m:r>
              <m:r>
                <m:rPr>
                  <m:sty m:val="p"/>
                </m:rPr>
                <m:t>(</m:t>
              </m:r>
              <m:r>
                <m:t>x</m:t>
              </m:r>
              <m:r>
                <m:rPr>
                  <m:sty m:val="p"/>
                </m:rPr>
                <m:t>)</m:t>
              </m:r>
            </m:den>
          </m:f>
          <m:r>
            <m:rPr>
              <m:sty m:val="p"/>
            </m:rPr>
            <m:t>,</m:t>
          </m:r>
        </m:oMath>
      </m:oMathPara>
    </w:p>
    <w:p>
      <w:pPr>
        <w:pStyle w:val="FirstParagraph"/>
      </w:pPr>
      <w:r>
        <w:t xml:space="preserve">also die Änderung des Gesamtrisikos bei einer kleinen Erhöhung des Gewichts</w:t>
      </w:r>
      <w:r>
        <w:t xml:space="preserve"> </w:t>
      </w:r>
      <m:oMath>
        <m:sSub>
          <m:e>
            <m:r>
              <m:t>x</m:t>
            </m:r>
          </m:e>
          <m:sub>
            <m:r>
              <m:t>i</m:t>
            </m:r>
          </m:sub>
        </m:sSub>
      </m:oMath>
      <w:r>
        <w:t xml:space="preserve">.</w:t>
      </w:r>
      <w:r>
        <w:rPr>
          <w:rStyle w:val="FootnoteReference"/>
        </w:rPr>
        <w:footnoteReference w:id="80"/>
      </w:r>
      <w:r>
        <w:t xml:space="preserve"> </w:t>
      </w:r>
      <w:r>
        <w:t xml:space="preserve">Der</w:t>
      </w:r>
      <w:r>
        <w:t xml:space="preserve"> </w:t>
      </w:r>
      <w:r>
        <w:rPr>
          <w:i/>
          <w:iCs/>
        </w:rPr>
        <w:t xml:space="preserve">(totale) Risikobeitrag</w:t>
      </w:r>
      <w:r>
        <w:t xml:space="preserve"> </w:t>
      </w:r>
      <w:r>
        <w:t xml:space="preserve">der Anlage</w:t>
      </w:r>
      <w:r>
        <w:t xml:space="preserve"> </w:t>
      </w:r>
      <m:oMath>
        <m:r>
          <m:t>i</m:t>
        </m:r>
      </m:oMath>
      <w:r>
        <w:t xml:space="preserve"> </w:t>
      </w:r>
      <w:r>
        <w:t xml:space="preserve">ist</w:t>
      </w:r>
      <w:r>
        <w:t xml:space="preserve"> </w:t>
      </w:r>
      <m:oMath>
        <m:sSub>
          <m:e>
            <m:r>
              <m:t>σ</m:t>
            </m:r>
          </m:e>
          <m:sub>
            <m:r>
              <m:t>i</m:t>
            </m:r>
          </m:sub>
        </m:sSub>
        <m:r>
          <m:rPr>
            <m:sty m:val="p"/>
          </m:rPr>
          <m:t>(</m:t>
        </m:r>
        <m:r>
          <m:t>x</m:t>
        </m:r>
        <m:r>
          <m:rPr>
            <m:sty m:val="p"/>
          </m:rPr>
          <m:t>)</m:t>
        </m:r>
        <m:r>
          <m:rPr>
            <m:sty m:val="p"/>
          </m:rPr>
          <m:t>=</m:t>
        </m:r>
        <m:sSub>
          <m:e>
            <m:r>
              <m:t>x</m:t>
            </m:r>
          </m:e>
          <m:sub>
            <m:r>
              <m:t>i</m:t>
            </m:r>
          </m:sub>
        </m:sSub>
        <m:r>
          <m:t> </m:t>
        </m:r>
        <m:sSub>
          <m:e>
            <m:r>
              <m:rPr>
                <m:sty m:val="p"/>
              </m:rPr>
              <m:t>∂</m:t>
            </m:r>
          </m:e>
          <m:sub>
            <m:sSub>
              <m:e>
                <m:r>
                  <m:t>x</m:t>
                </m:r>
              </m:e>
              <m:sub>
                <m:r>
                  <m:t>i</m:t>
                </m:r>
              </m:sub>
            </m:sSub>
          </m:sub>
        </m:sSub>
        <m:r>
          <m:t>σ</m:t>
        </m:r>
        <m:r>
          <m:rPr>
            <m:sty m:val="p"/>
          </m:rPr>
          <m:t>(</m:t>
        </m:r>
        <m:r>
          <m:t>x</m:t>
        </m:r>
        <m:r>
          <m:rPr>
            <m:sty m:val="p"/>
          </m:rPr>
          <m:t>)</m:t>
        </m:r>
      </m:oMath>
      <w:r>
        <w:t xml:space="preserve">, und das Gesamtrisiko zerfällt – wegen der Homogenität des Risikomaßes (Satz von Euler) – vollständig in diese Beiträge</w:t>
      </w:r>
      <w:r>
        <w:rPr>
          <w:rStyle w:val="FootnoteReference"/>
        </w:rPr>
        <w:footnoteReference w:id="81"/>
      </w:r>
      <w:r>
        <w:t xml:space="preserve">:</w:t>
      </w:r>
    </w:p>
    <w:p>
      <w:pPr>
        <w:pStyle w:val="BodyText"/>
      </w:pPr>
      <m:oMathPara>
        <m:oMathParaPr>
          <m:jc m:val="center"/>
        </m:oMathParaPr>
        <m:oMath>
          <m:r>
            <m:t>σ</m:t>
          </m:r>
          <m:r>
            <m:rPr>
              <m:sty m:val="p"/>
            </m:rPr>
            <m:t>(</m:t>
          </m:r>
          <m:r>
            <m:t>x</m:t>
          </m:r>
          <m:r>
            <m:rPr>
              <m:sty m:val="p"/>
            </m:rPr>
            <m:t>)</m:t>
          </m:r>
          <m:r>
            <m:rPr>
              <m:sty m:val="p"/>
            </m:rPr>
            <m:t>=</m:t>
          </m:r>
          <m:nary>
            <m:naryPr>
              <m:chr m:val="∑"/>
              <m:limLoc m:val="undOvr"/>
              <m:subHide m:val="off"/>
              <m:supHide m:val="off"/>
            </m:naryPr>
            <m:sub>
              <m:r>
                <m:t>i</m:t>
              </m:r>
              <m:r>
                <m:rPr>
                  <m:sty m:val="p"/>
                </m:rPr>
                <m:t>=</m:t>
              </m:r>
              <m:r>
                <m:t>1</m:t>
              </m:r>
            </m:sub>
            <m:sup>
              <m:r>
                <m:t>n</m:t>
              </m:r>
            </m:sup>
            <m:e>
              <m:sSub>
                <m:e>
                  <m:r>
                    <m:t>σ</m:t>
                  </m:r>
                </m:e>
                <m:sub>
                  <m:r>
                    <m:t>i</m:t>
                  </m:r>
                </m:sub>
              </m:sSub>
            </m:e>
          </m:nary>
          <m:r>
            <m:rPr>
              <m:sty m:val="p"/>
            </m:rPr>
            <m:t>(</m:t>
          </m:r>
          <m:r>
            <m:t>x</m:t>
          </m:r>
          <m:r>
            <m:rPr>
              <m:sty m:val="p"/>
            </m:rPr>
            <m:t>)</m:t>
          </m:r>
          <m:r>
            <m:rPr>
              <m:sty m:val="p"/>
            </m:rPr>
            <m:t>.</m:t>
          </m:r>
        </m:oMath>
      </m:oMathPara>
    </w:p>
    <w:p>
      <w:pPr>
        <w:pStyle w:val="FirstParagraph"/>
      </w:pPr>
      <w:r>
        <w:t xml:space="preserve">Das Risk-Parity- bzw. ERC-Portfolio ist dadurch definiert, dass alle Risikobeiträge gleich groß sind:</w:t>
      </w:r>
    </w:p>
    <w:p>
      <w:pPr>
        <w:pStyle w:val="BodyText"/>
      </w:pPr>
      <m:oMathPara>
        <m:oMathParaPr>
          <m:jc m:val="center"/>
        </m:oMathParaPr>
        <m:oMath>
          <m:sSub>
            <m:e>
              <m:r>
                <m:t>x</m:t>
              </m:r>
            </m:e>
            <m:sub>
              <m:r>
                <m:t>i</m:t>
              </m:r>
            </m:sub>
          </m:sSub>
          <m:r>
            <m:t> </m:t>
          </m:r>
          <m:sSub>
            <m:e>
              <m:r>
                <m:rPr>
                  <m:sty m:val="p"/>
                </m:rPr>
                <m:t>∂</m:t>
              </m:r>
            </m:e>
            <m:sub>
              <m:sSub>
                <m:e>
                  <m:r>
                    <m:t>x</m:t>
                  </m:r>
                </m:e>
                <m:sub>
                  <m:r>
                    <m:t>i</m:t>
                  </m:r>
                </m:sub>
              </m:sSub>
            </m:sub>
          </m:sSub>
          <m:r>
            <m:t>σ</m:t>
          </m:r>
          <m:r>
            <m:rPr>
              <m:sty m:val="p"/>
            </m:rPr>
            <m:t>(</m:t>
          </m:r>
          <m:r>
            <m:t>x</m:t>
          </m:r>
          <m:r>
            <m:rPr>
              <m:sty m:val="p"/>
            </m:rPr>
            <m:t>)</m:t>
          </m:r>
          <m:r>
            <m:rPr>
              <m:sty m:val="p"/>
            </m:rPr>
            <m:t>=</m:t>
          </m:r>
          <m:sSub>
            <m:e>
              <m:r>
                <m:t>x</m:t>
              </m:r>
            </m:e>
            <m:sub>
              <m:r>
                <m:t>j</m:t>
              </m:r>
            </m:sub>
          </m:sSub>
          <m:r>
            <m:t> </m:t>
          </m:r>
          <m:sSub>
            <m:e>
              <m:r>
                <m:rPr>
                  <m:sty m:val="p"/>
                </m:rPr>
                <m:t>∂</m:t>
              </m:r>
            </m:e>
            <m:sub>
              <m:sSub>
                <m:e>
                  <m:r>
                    <m:t>x</m:t>
                  </m:r>
                </m:e>
                <m:sub>
                  <m:r>
                    <m:t>j</m:t>
                  </m:r>
                </m:sub>
              </m:sSub>
            </m:sub>
          </m:sSub>
          <m:r>
            <m:t>σ</m:t>
          </m:r>
          <m:r>
            <m:rPr>
              <m:sty m:val="p"/>
            </m:rPr>
            <m:t>(</m:t>
          </m:r>
          <m:r>
            <m:t>x</m:t>
          </m:r>
          <m:r>
            <m:rPr>
              <m:sty m:val="p"/>
            </m:rPr>
            <m:t>)</m:t>
          </m:r>
          <m:r>
            <m:t> </m:t>
          </m:r>
          <m:r>
            <m:rPr>
              <m:nor/>
              <m:sty m:val="p"/>
            </m:rPr>
            <m:t>für alle </m:t>
          </m:r>
          <m:r>
            <m:t>i</m:t>
          </m:r>
          <m:r>
            <m:rPr>
              <m:sty m:val="p"/>
            </m:rPr>
            <m:t>,</m:t>
          </m:r>
          <m:r>
            <m:t>j</m:t>
          </m:r>
          <m:r>
            <m:rPr>
              <m:sty m:val="p"/>
            </m:rPr>
            <m:t>,</m:t>
          </m:r>
          <m:r>
            <m:t>  </m:t>
          </m:r>
          <m:nary>
            <m:naryPr>
              <m:chr m:val="∑"/>
              <m:limLoc m:val="undOvr"/>
              <m:subHide m:val="off"/>
              <m:supHide m:val="on"/>
            </m:naryPr>
            <m:sub>
              <m:r>
                <m:t>i</m:t>
              </m:r>
            </m:sub>
            <m:sup>
              <m:r>
                <m:t>​</m:t>
              </m:r>
            </m:sup>
            <m:e>
              <m:sSub>
                <m:e>
                  <m:r>
                    <m:t>x</m:t>
                  </m:r>
                </m:e>
                <m:sub>
                  <m:r>
                    <m:t>i</m:t>
                  </m:r>
                </m:sub>
              </m:sSub>
            </m:e>
          </m:nary>
          <m:r>
            <m:rPr>
              <m:sty m:val="p"/>
            </m:rPr>
            <m:t>=</m:t>
          </m:r>
          <m:r>
            <m:t>1</m:t>
          </m:r>
          <m:r>
            <m:rPr>
              <m:sty m:val="p"/>
            </m:rPr>
            <m:t>,</m:t>
          </m:r>
          <m:r>
            <m:t> </m:t>
          </m:r>
          <m:r>
            <m:t> </m:t>
          </m:r>
          <m:r>
            <m:t>0</m:t>
          </m:r>
          <m:r>
            <m:rPr>
              <m:sty m:val="p"/>
            </m:rPr>
            <m:t>≤</m:t>
          </m:r>
          <m:sSub>
            <m:e>
              <m:r>
                <m:t>x</m:t>
              </m:r>
            </m:e>
            <m:sub>
              <m:r>
                <m:t>i</m:t>
              </m:r>
            </m:sub>
          </m:sSub>
          <m:r>
            <m:rPr>
              <m:sty m:val="p"/>
            </m:rPr>
            <m:t>≤</m:t>
          </m:r>
          <m:r>
            <m:t>1</m:t>
          </m:r>
          <m:r>
            <m:rPr>
              <m:sty m:val="p"/>
            </m:rPr>
            <m:t>.</m:t>
          </m:r>
        </m:oMath>
      </m:oMathPara>
    </w:p>
    <w:p>
      <w:pPr>
        <w:pStyle w:val="FirstParagraph"/>
      </w:pPr>
      <w:r>
        <w:t xml:space="preserve">Jede Anlage trägt also denselben Anteil zum Gesamtrisiko bei.</w:t>
      </w:r>
      <w:r>
        <w:rPr>
          <w:rStyle w:val="FootnoteReference"/>
        </w:rPr>
        <w:footnoteReference w:id="82"/>
      </w:r>
      <w:r>
        <w:t xml:space="preserve"> </w:t>
      </w:r>
      <w:r>
        <w:t xml:space="preserve">Anders als die 1/N-Regel berücksichtigt Risk Parity damit Volatilitäten und Korrelationen, anders als die Markowitz-Optimierung vermeidet es jedoch die fehleranfällige Renditeschätzung gänzlich. Die vorliegende Arbeit führt Risk Parity als zusätzliche, rein risikobasierte Vergleichsstrategie.</w:t>
      </w:r>
    </w:p>
    <w:bookmarkEnd w:id="83"/>
    <w:bookmarkEnd w:id="84"/>
    <w:bookmarkStart w:id="104" w:name="random-forest-gestützte-renditeprognose"/>
    <w:p>
      <w:pPr>
        <w:pStyle w:val="Heading1"/>
      </w:pPr>
      <w:r>
        <w:t xml:space="preserve">3 Random-Forest-gestützte Renditeprognose</w:t>
      </w:r>
    </w:p>
    <w:bookmarkStart w:id="86" w:name="X0e9b36f9e64c501aa39a42e25ac51a14c97dc68"/>
    <w:p>
      <w:pPr>
        <w:pStyle w:val="Heading2"/>
      </w:pPr>
      <w:r>
        <w:t xml:space="preserve">3.1 Überwachtes Lernen und das Überanpassungsproblem</w:t>
      </w:r>
    </w:p>
    <w:p>
      <w:pPr>
        <w:pStyle w:val="FirstParagraph"/>
      </w:pPr>
      <w:r>
        <w:t xml:space="preserve">Der Random Forest soll in dieser Arbeit die schwierigste und folgenreichste Eingangsgröße der Mean-Variance-Optimierung verbessern – die erwartete Rendite (vgl. Abschnitt 2.6). Methodisch handelt es sich um</w:t>
      </w:r>
      <w:r>
        <w:t xml:space="preserve"> </w:t>
      </w:r>
      <w:r>
        <w:rPr>
          <w:i/>
          <w:iCs/>
        </w:rPr>
        <w:t xml:space="preserve">überwachtes Lernen</w:t>
      </w:r>
      <w:r>
        <w:t xml:space="preserve">: Aus Trainingsbeispielen, die Eingangsmerkmale</w:t>
      </w:r>
      <w:r>
        <w:t xml:space="preserve"> </w:t>
      </w:r>
      <m:oMath>
        <m:r>
          <m:t>X</m:t>
        </m:r>
      </m:oMath>
      <w:r>
        <w:t xml:space="preserve"> </w:t>
      </w:r>
      <w:r>
        <w:t xml:space="preserve">mit einer Zielgröße</w:t>
      </w:r>
      <w:r>
        <w:t xml:space="preserve"> </w:t>
      </w:r>
      <m:oMath>
        <m:r>
          <m:t>Y</m:t>
        </m:r>
      </m:oMath>
      <w:r>
        <w:t xml:space="preserve"> </w:t>
      </w:r>
      <w:r>
        <w:t xml:space="preserve">verknüpfen, wird eine Funktion</w:t>
      </w:r>
      <w:r>
        <w:t xml:space="preserve"> </w:t>
      </w:r>
      <m:oMath>
        <m:r>
          <m:t>h</m:t>
        </m:r>
        <m:r>
          <m:rPr>
            <m:sty m:val="p"/>
          </m:rPr>
          <m:t>(</m:t>
        </m:r>
        <m:r>
          <m:t>x</m:t>
        </m:r>
        <m:r>
          <m:rPr>
            <m:sty m:val="p"/>
          </m:rPr>
          <m:t>)</m:t>
        </m:r>
      </m:oMath>
      <w:r>
        <w:t xml:space="preserve"> </w:t>
      </w:r>
      <w:r>
        <w:t xml:space="preserve">gelernt, die für neue Eingaben einen Wert für</w:t>
      </w:r>
      <w:r>
        <w:t xml:space="preserve"> </w:t>
      </w:r>
      <m:oMath>
        <m:r>
          <m:t>Y</m:t>
        </m:r>
      </m:oMath>
      <w:r>
        <w:t xml:space="preserve"> </w:t>
      </w:r>
      <w:r>
        <w:t xml:space="preserve">prognostiziert. Bei numerischer Zielgröße – hier die Rendite des Folgemonats – spricht man von Regression; ihre Güte misst Breiman über den mittleren quadratischen Generalisierungsfehler</w:t>
      </w:r>
      <w:r>
        <w:t xml:space="preserve"> </w:t>
      </w:r>
      <m:oMath>
        <m:sSub>
          <m:e>
            <m:r>
              <m:t>E</m:t>
            </m:r>
          </m:e>
          <m:sub>
            <m:r>
              <m:t>X</m:t>
            </m:r>
            <m:r>
              <m:rPr>
                <m:sty m:val="p"/>
              </m:rPr>
              <m:t>,</m:t>
            </m:r>
            <m:r>
              <m:t>Y</m:t>
            </m:r>
          </m:sub>
        </m:sSub>
        <m:r>
          <m:rPr>
            <m:sty m:val="p"/>
          </m:rPr>
          <m:t>(</m:t>
        </m:r>
        <m:r>
          <m:t>Y</m:t>
        </m:r>
        <m:r>
          <m:rPr>
            <m:sty m:val="p"/>
          </m:rPr>
          <m:t>−</m:t>
        </m:r>
        <m:r>
          <m:t>h</m:t>
        </m:r>
        <m:r>
          <m:rPr>
            <m:sty m:val="p"/>
          </m:rPr>
          <m:t>(</m:t>
        </m:r>
        <m:r>
          <m:t>X</m:t>
        </m:r>
        <m:r>
          <m:rPr>
            <m:sty m:val="p"/>
          </m:rPr>
          <m:t>)</m:t>
        </m:r>
        <m:sSup>
          <m:e>
            <m:r>
              <m:rPr>
                <m:sty m:val="p"/>
              </m:rPr>
              <m:t>)</m:t>
            </m:r>
          </m:e>
          <m:sup>
            <m:r>
              <m:t>2</m:t>
            </m:r>
          </m:sup>
        </m:sSup>
      </m:oMath>
      <w:r>
        <w:t xml:space="preserve">.</w:t>
      </w:r>
      <w:r>
        <w:rPr>
          <w:rStyle w:val="FootnoteReference"/>
        </w:rPr>
        <w:footnoteReference w:id="85"/>
      </w:r>
      <w:r>
        <w:t xml:space="preserve"> </w:t>
      </w:r>
      <w:r>
        <w:t xml:space="preserve">Die eigentliche Schwierigkeit liegt in der</w:t>
      </w:r>
      <w:r>
        <w:t xml:space="preserve"> </w:t>
      </w:r>
      <w:r>
        <w:rPr>
          <w:i/>
          <w:iCs/>
        </w:rPr>
        <w:t xml:space="preserve">Generalisierung</w:t>
      </w:r>
      <w:r>
        <w:t xml:space="preserve">: Ein Modell, das die Trainingsdaten zu genau nachbildet, lernt deren Zufallsrauschen mit und sagt neue Daten schlecht vorher (Überanpassung). Genau dieses Problem adressiert der Random Forest auf konstruktive Weise.</w:t>
      </w:r>
    </w:p>
    <w:bookmarkEnd w:id="86"/>
    <w:bookmarkStart w:id="89" w:name="entscheidungsbäume-als-bausteine"/>
    <w:p>
      <w:pPr>
        <w:pStyle w:val="Heading2"/>
      </w:pPr>
      <w:r>
        <w:t xml:space="preserve">3.2 Entscheidungsbäume als Bausteine</w:t>
      </w:r>
    </w:p>
    <w:p>
      <w:pPr>
        <w:pStyle w:val="FirstParagraph"/>
      </w:pPr>
      <w:r>
        <w:t xml:space="preserve">Grundbaustein ist der Entscheidungsbaum (</w:t>
      </w:r>
      <w:r>
        <w:rPr>
          <w:i/>
          <w:iCs/>
        </w:rPr>
        <w:t xml:space="preserve">tree predictor</w:t>
      </w:r>
      <w:r>
        <w:t xml:space="preserve">): Er teilt den Merkmalsraum durch eine Folge von Verzweigungen rekursiv auf und ordnet jeder entstehenden Region einen Vorhersagewert zu – bei Regression einen numerischen Wert.</w:t>
      </w:r>
      <w:r>
        <w:rPr>
          <w:rStyle w:val="FootnoteReference"/>
        </w:rPr>
        <w:footnoteReference w:id="87"/>
      </w:r>
      <w:r>
        <w:t xml:space="preserve"> </w:t>
      </w:r>
      <w:r>
        <w:t xml:space="preserve">Ein einzelner Baum ist allerdings instabil und für sich genommen oft nur wenig besser als eine zufällige Wahl, gerade wenn viele Eingangsvariablen jeweils nur wenig Information tragen.</w:t>
      </w:r>
      <w:r>
        <w:rPr>
          <w:rStyle w:val="FootnoteReference"/>
        </w:rPr>
        <w:footnoteReference w:id="88"/>
      </w:r>
      <w:r>
        <w:t xml:space="preserve"> </w:t>
      </w:r>
      <w:r>
        <w:t xml:space="preserve">Erst die Kombination vieler Bäume macht das Verfahren leistungsfähig.</w:t>
      </w:r>
    </w:p>
    <w:bookmarkEnd w:id="89"/>
    <w:bookmarkStart w:id="96" w:name="Xa3aecce1af409174a88ace5cb9e880da6bb7e3a"/>
    <w:p>
      <w:pPr>
        <w:pStyle w:val="Heading2"/>
      </w:pPr>
      <w:r>
        <w:t xml:space="preserve">3.3 Vom Baum zum Wald: Bagging und Random Forest</w:t>
      </w:r>
    </w:p>
    <w:p>
      <w:pPr>
        <w:pStyle w:val="FirstParagraph"/>
      </w:pPr>
      <w:r>
        <w:t xml:space="preserve">Ein Random Forest ist nach Breiman eine Sammlung baumstrukturierter Prädiktoren</w:t>
      </w:r>
      <w:r>
        <w:t xml:space="preserve"> </w:t>
      </w:r>
      <m:oMath>
        <m:r>
          <m:rPr>
            <m:sty m:val="p"/>
          </m:rPr>
          <m:t>{</m:t>
        </m:r>
        <m:r>
          <m:t>h</m:t>
        </m:r>
        <m:r>
          <m:rPr>
            <m:sty m:val="p"/>
          </m:rPr>
          <m:t>(</m:t>
        </m:r>
        <m:r>
          <m:t>x</m:t>
        </m:r>
        <m:r>
          <m:rPr>
            <m:sty m:val="p"/>
          </m:rPr>
          <m:t>,</m:t>
        </m:r>
        <m:sSub>
          <m:e>
            <m:r>
              <m:rPr>
                <m:sty m:val="p"/>
              </m:rPr>
              <m:t>Θ</m:t>
            </m:r>
          </m:e>
          <m:sub>
            <m:r>
              <m:t>k</m:t>
            </m:r>
          </m:sub>
        </m:sSub>
        <m:r>
          <m:rPr>
            <m:sty m:val="p"/>
          </m:rPr>
          <m:t>)</m:t>
        </m:r>
        <m:r>
          <m:rPr>
            <m:sty m:val="p"/>
          </m:rPr>
          <m:t>}</m:t>
        </m:r>
      </m:oMath>
      <w:r>
        <w:t xml:space="preserve">, wobei die</w:t>
      </w:r>
      <w:r>
        <w:t xml:space="preserve"> </w:t>
      </w:r>
      <m:oMath>
        <m:sSub>
          <m:e>
            <m:r>
              <m:rPr>
                <m:sty m:val="p"/>
              </m:rPr>
              <m:t>Θ</m:t>
            </m:r>
          </m:e>
          <m:sub>
            <m:r>
              <m:t>k</m:t>
            </m:r>
          </m:sub>
        </m:sSub>
      </m:oMath>
      <w:r>
        <w:t xml:space="preserve"> </w:t>
      </w:r>
      <w:r>
        <w:t xml:space="preserve">unabhängige, identisch verteilte Zufallsvektoren sind; für die Regression bildet der Wald den Durchschnitt über alle Bäume.</w:t>
      </w:r>
      <w:r>
        <w:rPr>
          <w:rStyle w:val="FootnoteReference"/>
        </w:rPr>
        <w:footnoteReference w:id="90"/>
      </w:r>
      <w:r>
        <w:t xml:space="preserve"> </w:t>
      </w:r>
      <w:r>
        <w:t xml:space="preserve">Die Zufallsvektoren</w:t>
      </w:r>
      <w:r>
        <w:t xml:space="preserve"> </w:t>
      </w:r>
      <m:oMath>
        <m:sSub>
          <m:e>
            <m:r>
              <m:rPr>
                <m:sty m:val="p"/>
              </m:rPr>
              <m:t>Θ</m:t>
            </m:r>
          </m:e>
          <m:sub>
            <m:r>
              <m:t>k</m:t>
            </m:r>
          </m:sub>
        </m:sSub>
      </m:oMath>
      <w:r>
        <w:t xml:space="preserve"> </w:t>
      </w:r>
      <w:r>
        <w:t xml:space="preserve">steuern den Aufbau jedes Baumes und sorgen dafür, dass sich die Bäume voneinander unterscheiden. Zwei Quellen der Zufälligkeit kommen zum Einsatz: das</w:t>
      </w:r>
      <w:r>
        <w:t xml:space="preserve"> </w:t>
      </w:r>
      <w:r>
        <w:rPr>
          <w:i/>
          <w:iCs/>
        </w:rPr>
        <w:t xml:space="preserve">Bagging</w:t>
      </w:r>
      <w:r>
        <w:t xml:space="preserve">, bei dem jeder Baum aus einer zufälligen (Bootstrap-)Stichprobe der Trainingsdaten wächst,</w:t>
      </w:r>
      <w:r>
        <w:rPr>
          <w:rStyle w:val="FootnoteReference"/>
        </w:rPr>
        <w:footnoteReference w:id="91"/>
      </w:r>
      <w:r>
        <w:t xml:space="preserve"> </w:t>
      </w:r>
      <w:r>
        <w:t xml:space="preserve">und die zufällige</w:t>
      </w:r>
      <w:r>
        <w:t xml:space="preserve"> </w:t>
      </w:r>
      <w:r>
        <w:rPr>
          <w:i/>
          <w:iCs/>
        </w:rPr>
        <w:t xml:space="preserve">Merkmalsauswahl</w:t>
      </w:r>
      <w:r>
        <w:t xml:space="preserve">, bei der an jedem Knoten nur eine zufällige Teilmenge der Merkmale für die Aufteilung in Betracht gezogen wird.</w:t>
      </w:r>
      <w:r>
        <w:rPr>
          <w:rStyle w:val="FootnoteReference"/>
        </w:rPr>
        <w:footnoteReference w:id="92"/>
      </w:r>
    </w:p>
    <w:p>
      <w:pPr>
        <w:pStyle w:val="BodyText"/>
      </w:pPr>
      <w:r>
        <w:t xml:space="preserve">Der entscheidende theoretische Vorzug liegt in zwei Resultaten. Erstens konvergiert der Generalisierungsfehler mit wachsender Baumzahl nach dem starken Gesetz der großen Zahl gegen einen Grenzwert; eine Überanpassung allein durch zu viele Bäume ist somit ausgeschlossen.</w:t>
      </w:r>
      <w:r>
        <w:rPr>
          <w:rStyle w:val="FootnoteReference"/>
        </w:rPr>
        <w:footnoteReference w:id="93"/>
      </w:r>
      <w:r>
        <w:t xml:space="preserve"> </w:t>
      </w:r>
      <w:r>
        <w:t xml:space="preserve">Zweitens beziffert Breiman für die Regression, wovon die Genauigkeit abhängt: Der Fehler des Waldes ist höchstens das Produkt aus der mittleren Korrelation</w:t>
      </w:r>
      <w:r>
        <w:t xml:space="preserve"> </w:t>
      </w:r>
      <m:oMath>
        <m:acc>
          <m:accPr>
            <m:chr m:val="‾"/>
          </m:accPr>
          <m:e>
            <m:r>
              <m:t>ρ</m:t>
            </m:r>
          </m:e>
        </m:acc>
      </m:oMath>
      <w:r>
        <w:t xml:space="preserve"> </w:t>
      </w:r>
      <w:r>
        <w:t xml:space="preserve">der Baum-Residuen und dem mittleren Fehler der Einzelbäume,</w:t>
      </w:r>
      <w:r>
        <w:t xml:space="preserve"> </w:t>
      </w:r>
      <m:oMath>
        <m:r>
          <m:t>P</m:t>
        </m:r>
        <m:sSup>
          <m:e>
            <m:r>
              <m:t>E</m:t>
            </m:r>
          </m:e>
          <m:sup>
            <m:r>
              <m:rPr>
                <m:sty m:val="p"/>
              </m:rPr>
              <m:t>*</m:t>
            </m:r>
          </m:sup>
        </m:sSup>
        <m:r>
          <m:rPr>
            <m:sty m:val="p"/>
          </m:rPr>
          <m:t>(</m:t>
        </m:r>
        <m:r>
          <m:rPr>
            <m:nor/>
            <m:sty m:val="p"/>
          </m:rPr>
          <m:t>Wald</m:t>
        </m:r>
        <m:r>
          <m:rPr>
            <m:sty m:val="p"/>
          </m:rPr>
          <m:t>)</m:t>
        </m:r>
        <m:r>
          <m:rPr>
            <m:sty m:val="p"/>
          </m:rPr>
          <m:t>≤</m:t>
        </m:r>
        <m:acc>
          <m:accPr>
            <m:chr m:val="‾"/>
          </m:accPr>
          <m:e>
            <m:r>
              <m:t>ρ</m:t>
            </m:r>
          </m:e>
        </m:acc>
        <m:r>
          <m:t> </m:t>
        </m:r>
        <m:r>
          <m:t>P</m:t>
        </m:r>
        <m:sSup>
          <m:e>
            <m:r>
              <m:t>E</m:t>
            </m:r>
          </m:e>
          <m:sup>
            <m:r>
              <m:rPr>
                <m:sty m:val="p"/>
              </m:rPr>
              <m:t>*</m:t>
            </m:r>
          </m:sup>
        </m:sSup>
        <m:r>
          <m:rPr>
            <m:sty m:val="p"/>
          </m:rPr>
          <m:t>(</m:t>
        </m:r>
        <m:r>
          <m:rPr>
            <m:nor/>
            <m:sty m:val="p"/>
          </m:rPr>
          <m:t>Baum</m:t>
        </m:r>
        <m:r>
          <m:rPr>
            <m:sty m:val="p"/>
          </m:rPr>
          <m:t>)</m:t>
        </m:r>
      </m:oMath>
      <w:r>
        <w:t xml:space="preserve">.</w:t>
      </w:r>
      <w:r>
        <w:rPr>
          <w:rStyle w:val="FootnoteReference"/>
        </w:rPr>
        <w:footnoteReference w:id="94"/>
      </w:r>
      <w:r>
        <w:t xml:space="preserve"> </w:t>
      </w:r>
      <w:r>
        <w:t xml:space="preserve">Daraus folgt unmittelbar das Konstruktionsprinzip: Genaue Wälder erfordern</w:t>
      </w:r>
      <w:r>
        <w:t xml:space="preserve"> </w:t>
      </w:r>
      <w:r>
        <w:rPr>
          <w:i/>
          <w:iCs/>
        </w:rPr>
        <w:t xml:space="preserve">fehlerarme</w:t>
      </w:r>
      <w:r>
        <w:t xml:space="preserve"> </w:t>
      </w:r>
      <w:r>
        <w:t xml:space="preserve">und zugleich</w:t>
      </w:r>
      <w:r>
        <w:t xml:space="preserve"> </w:t>
      </w:r>
      <w:r>
        <w:rPr>
          <w:i/>
          <w:iCs/>
        </w:rPr>
        <w:t xml:space="preserve">möglichst unkorrelierte</w:t>
      </w:r>
      <w:r>
        <w:t xml:space="preserve"> </w:t>
      </w:r>
      <w:r>
        <w:t xml:space="preserve">Bäume; die Randomisierung dient gerade dazu, die Korrelation zu senken.</w:t>
      </w:r>
      <w:r>
        <w:rPr>
          <w:rStyle w:val="FootnoteReference"/>
        </w:rPr>
        <w:footnoteReference w:id="95"/>
      </w:r>
      <w:r>
        <w:t xml:space="preserve"> </w:t>
      </w:r>
      <w:r>
        <w:t xml:space="preserve">Der Random Forest verringert den Vorhersagefehler eines einzelnen Baumes also um den Faktor</w:t>
      </w:r>
      <w:r>
        <w:t xml:space="preserve"> </w:t>
      </w:r>
      <m:oMath>
        <m:acc>
          <m:accPr>
            <m:chr m:val="‾"/>
          </m:accPr>
          <m:e>
            <m:r>
              <m:t>ρ</m:t>
            </m:r>
          </m:e>
        </m:acc>
      </m:oMath>
      <w:r>
        <w:t xml:space="preserve"> </w:t>
      </w:r>
      <w:r>
        <w:t xml:space="preserve">– er stabilisiert die instabile Einzelprognose, ohne in Überanpassung zu verfallen. Eben diese Eigenschaft macht ihn zu einem Kandidaten für die stark verrauschte Aufgabe der Renditeprognose (Abschnitt 3.4).</w:t>
      </w:r>
    </w:p>
    <w:bookmarkEnd w:id="96"/>
    <w:bookmarkStart w:id="103" w:name="X726823064c99e540c40bd3ffa34a3d44b732c78"/>
    <w:p>
      <w:pPr>
        <w:pStyle w:val="Heading2"/>
      </w:pPr>
      <w:r>
        <w:t xml:space="preserve">3.4 Random Forests in der empirischen Renditeprognose</w:t>
      </w:r>
    </w:p>
    <w:p>
      <w:pPr>
        <w:pStyle w:val="FirstParagraph"/>
      </w:pPr>
      <w:r>
        <w:t xml:space="preserve">Ob sich maschinelles Lernen überhaupt eignet, um die schwer schätzbaren erwarteten Renditen zu verbessern, untersuchen Gu, Kelly und Xiu in einer großangelegten Vergleichsstudie. Sie wenden zahlreiche ML-Verfahren auf die Messung von Risikoprämien – also erwarteten Überschussrenditen – an und stellen fest, dass gerade die baum- und netzbasierten Verfahren (darunter der Random Forest) am besten abschneiden; ihren Vorsprung führen die Autoren darauf zurück, dass diese Methoden nichtlineare Wechselwirkungen zwischen den Prädiktoren zulassen, die einfachere Verfahren übersehen.</w:t>
      </w:r>
      <w:r>
        <w:rPr>
          <w:rStyle w:val="FootnoteReference"/>
        </w:rPr>
        <w:footnoteReference w:id="97"/>
      </w:r>
      <w:r>
        <w:t xml:space="preserve"> </w:t>
      </w:r>
      <w:r>
        <w:t xml:space="preserve">Zu den informativsten Signalen zählen dabei Varianten von Momentum, Liquidität und Volatilität</w:t>
      </w:r>
      <w:r>
        <w:rPr>
          <w:rStyle w:val="FootnoteReference"/>
        </w:rPr>
        <w:footnoteReference w:id="98"/>
      </w:r>
      <w:r>
        <w:t xml:space="preserve"> </w:t>
      </w:r>
      <w:r>
        <w:t xml:space="preserve">– Merkmalstypen, die auch in der vorliegenden Arbeit als Eingangsgrößen dienen (Abschnitt 4.2).</w:t>
      </w:r>
    </w:p>
    <w:p>
      <w:pPr>
        <w:pStyle w:val="BodyText"/>
      </w:pPr>
      <w:r>
        <w:t xml:space="preserve">Bedeutsam ist jedoch die Größenordnung der Prognosegüte. Auf Einzelaktienebene erreichen die besten Verfahren ein monatliches Out-of-Sample-Bestimmtheitsmaß (</w:t>
      </w:r>
      <m:oMath>
        <m:sSup>
          <m:e>
            <m:r>
              <m:t>R</m:t>
            </m:r>
          </m:e>
          <m:sup>
            <m:r>
              <m:t>2</m:t>
            </m:r>
          </m:sup>
        </m:sSup>
      </m:oMath>
      <w:r>
        <w:t xml:space="preserve">) zwischen lediglich 0,33 % und 0,40 %.</w:t>
      </w:r>
      <w:r>
        <w:rPr>
          <w:rStyle w:val="FootnoteReference"/>
        </w:rPr>
        <w:footnoteReference w:id="99"/>
      </w:r>
      <w:r>
        <w:t xml:space="preserve"> </w:t>
      </w:r>
      <w:r>
        <w:t xml:space="preserve">Diese sehr kleinen Werte spiegeln das „notorisch niedrige” Signal-Rausch-Verhältnis der Renditeprognose wider.</w:t>
      </w:r>
      <w:r>
        <w:rPr>
          <w:rStyle w:val="FootnoteReference"/>
        </w:rPr>
        <w:footnoteReference w:id="100"/>
      </w:r>
      <w:r>
        <w:t xml:space="preserve"> </w:t>
      </w:r>
      <w:r>
        <w:t xml:space="preserve">Trotz dieser geringen statistischen Erklärungskraft können die Prognosen ökonomisch wertvoll sein; die Autoren weisen erhebliche Performancegewinne für Anleger nach, die ML-Prognosen nutzen.</w:t>
      </w:r>
      <w:r>
        <w:rPr>
          <w:rStyle w:val="FootnoteReference"/>
        </w:rPr>
        <w:footnoteReference w:id="101"/>
      </w:r>
      <w:r>
        <w:t xml:space="preserve"> </w:t>
      </w:r>
      <w:r>
        <w:t xml:space="preserve">Zugleich warnen sie, dass die hohe Flexibilität dieser Modelle die Gefahr der Überanpassung erhöht und nur durch Regularisierung sowie einen konsequenten Fokus auf stabile Out-of-Sample-Performance beherrschbar bleibt.</w:t>
      </w:r>
      <w:r>
        <w:rPr>
          <w:rStyle w:val="FootnoteReference"/>
        </w:rPr>
        <w:footnoteReference w:id="102"/>
      </w:r>
    </w:p>
    <w:p>
      <w:pPr>
        <w:pStyle w:val="BodyText"/>
      </w:pPr>
      <w:r>
        <w:t xml:space="preserve">Für die vorliegende Arbeit ergeben sich daraus klare Erwartungen: Der Random Forest kann die Renditeschätzung allenfalls geringfügig verbessern, und sein Mehrwert ist keineswegs garantiert, sondern muss – gerade angesichts der Überanpassungsgefahr – sorgfältig gegen die einfacheren Strategien und gegen den Zufall geprüft werden (Kapitel 5).</w:t>
      </w:r>
    </w:p>
    <w:bookmarkEnd w:id="103"/>
    <w:bookmarkEnd w:id="104"/>
    <w:bookmarkStart w:id="113" w:name="methodik-des-empirischen-vergleichs"/>
    <w:p>
      <w:pPr>
        <w:pStyle w:val="Heading1"/>
      </w:pPr>
      <w:r>
        <w:t xml:space="preserve">4 Methodik des empirischen Vergleichs</w:t>
      </w:r>
    </w:p>
    <w:bookmarkStart w:id="105" w:name="datengrundlage-und-untersuchungsdesign"/>
    <w:p>
      <w:pPr>
        <w:pStyle w:val="Heading2"/>
      </w:pPr>
      <w:r>
        <w:t xml:space="preserve">4.1 Datengrundlage und Untersuchungsdesign</w:t>
      </w:r>
    </w:p>
    <w:p>
      <w:pPr>
        <w:pStyle w:val="FirstParagraph"/>
      </w:pPr>
      <w:r>
        <w:t xml:space="preserve">Der empirische Vergleich beruht auf den täglichen Kursdaten von fünfzehn US-amerikanischen Large-Cap-Aktien, die über verschiedene Branchen – Technologie, Gesundheit, Finanzen, Konsum, Energie, Industrie, Telekommunikation, Immobilien und Grundstoffe – gestreut sind. Die Daten werden über die Schnittstelle von Yahoo Finance bezogen und umfassen den Zeitraum 2015 bis 2024, wobei die Jahre ab 2013 als Vorlauf zur Berechnung der Indikatoren dienen. Als Marktreferenz dient der S&amp;P-500-ETF (SPY). Aus den dividendenbereinigten Schlusskursen werden</w:t>
      </w:r>
      <w:r>
        <w:t xml:space="preserve"> </w:t>
      </w:r>
      <w:r>
        <w:rPr>
          <w:i/>
          <w:iCs/>
        </w:rPr>
        <w:t xml:space="preserve">einfache</w:t>
      </w:r>
      <w:r>
        <w:t xml:space="preserve"> </w:t>
      </w:r>
      <w:r>
        <w:t xml:space="preserve">(arithmetische) Renditen berechnet,</w:t>
      </w:r>
      <w:r>
        <w:t xml:space="preserve"> </w:t>
      </w:r>
      <m:oMath>
        <m:sSub>
          <m:e>
            <m:r>
              <m:t>r</m:t>
            </m:r>
          </m:e>
          <m:sub>
            <m:r>
              <m:t>t</m:t>
            </m:r>
          </m:sub>
        </m:sSub>
        <m:r>
          <m:rPr>
            <m:sty m:val="p"/>
          </m:rPr>
          <m:t>=</m:t>
        </m:r>
        <m:sSub>
          <m:e>
            <m:r>
              <m:t>P</m:t>
            </m:r>
          </m:e>
          <m:sub>
            <m:r>
              <m:t>t</m:t>
            </m:r>
          </m:sub>
        </m:sSub>
        <m:r>
          <m:rPr>
            <m:sty m:val="p"/>
          </m:rPr>
          <m:t>/</m:t>
        </m:r>
        <m:sSub>
          <m:e>
            <m:r>
              <m:t>P</m:t>
            </m:r>
          </m:e>
          <m:sub>
            <m:r>
              <m:t>t</m:t>
            </m:r>
            <m:r>
              <m:rPr>
                <m:sty m:val="p"/>
              </m:rPr>
              <m:t>−</m:t>
            </m:r>
            <m:r>
              <m:t>1</m:t>
            </m:r>
          </m:sub>
        </m:sSub>
        <m:r>
          <m:rPr>
            <m:sty m:val="p"/>
          </m:rPr>
          <m:t>−</m:t>
        </m:r>
        <m:r>
          <m:t>1</m:t>
        </m:r>
      </m:oMath>
      <w:r>
        <w:t xml:space="preserve">. Diese Wahl ist bewusst: Nur bei einfachen Renditen ist die Portfoliorendite exakt die gewichtete Summe der Einzelrenditen (vgl. Abschnitt 2.3) – eine Eigenschaft, die logarithmische Renditen über mehrere Anlagen hinweg nicht besitzen. Da das Universum ausschließlich aus heute noch existierenden Titeln besteht, unterliegt die Untersuchung einem Survivorship Bias, der in Kapitel 8 ausführlich gewürdigt wird.</w:t>
      </w:r>
    </w:p>
    <w:bookmarkEnd w:id="105"/>
    <w:bookmarkStart w:id="108" w:name="merkmalsbildung-feature-engineering"/>
    <w:p>
      <w:pPr>
        <w:pStyle w:val="Heading2"/>
      </w:pPr>
      <w:r>
        <w:t xml:space="preserve">4.2 Merkmalsbildung (Feature Engineering)</w:t>
      </w:r>
    </w:p>
    <w:p>
      <w:pPr>
        <w:pStyle w:val="FirstParagraph"/>
      </w:pPr>
      <w:r>
        <w:t xml:space="preserve">Für den Random Forest wird jede Aktie monatlich durch einen Satz von Merkmalen beschrieben, die aus ihrer Kurshistorie berechnet werden: technische Indikatoren (RSI, MACD, Bollinger-Bänder), Preismomentum über ein, drei, sechs und zwölf Monate, die realisierte Volatilität über ein und drei Monate sowie das rollierende Alpha und Beta gegenüber dem Markt (geschätzt über eine gleitende Kleinste-Quadrate-Regression). Ergänzend erfassen</w:t>
      </w:r>
      <w:r>
        <w:t xml:space="preserve"> </w:t>
      </w:r>
      <w:r>
        <w:rPr>
          <w:i/>
          <w:iCs/>
        </w:rPr>
        <w:t xml:space="preserve">cross-sektionale</w:t>
      </w:r>
      <w:r>
        <w:t xml:space="preserve"> </w:t>
      </w:r>
      <w:r>
        <w:t xml:space="preserve">Perzentil-Ränge – etwa der Momentum- oder der RSI-Rang – die relative Stellung einer Aktie unter allen anderen im jeweiligen Monat. Die täglich berechneten Indikatoren werden zu Monatswerten verdichtet (Monatsendwerte für Niveau-Indikatoren, Durchschnitte für Momentum und Volatilität); Prognoseziel ist die Rendite des Folgemonats. Die Konzentration auf momentum- und volatilitätsbasierte Merkmale ist literaturgestützt: Gu, Kelly und Xiu identifizieren gerade solche Signale als zu den informativsten für die Renditeprognose.</w:t>
      </w:r>
      <w:r>
        <w:rPr>
          <w:rStyle w:val="FootnoteReference"/>
        </w:rPr>
        <w:footnoteReference w:id="106"/>
      </w:r>
      <w:r>
        <w:t xml:space="preserve"> </w:t>
      </w:r>
      <w:r>
        <w:t xml:space="preserve">Das Preismomentum insbesondere beruht auf dem von Jegadeesh und Titman dokumentierten Effekt, dass Aktien mit guter Vergangenheitsentwicklung über Halteperioden von drei bis zwölf Monaten signifikant positive Überschussrenditen erzielen – und umgekehrt schlechte Vergangenheits-„Verlierer” weiter unterdurchschnittlich abschneiden.</w:t>
      </w:r>
      <w:r>
        <w:rPr>
          <w:rStyle w:val="FootnoteReference"/>
        </w:rPr>
        <w:footnoteReference w:id="107"/>
      </w:r>
      <w:r>
        <w:t xml:space="preserve"> </w:t>
      </w:r>
      <w:r>
        <w:t xml:space="preserve">Die konkreten Berechnungsformeln der übrigen Indikatoren (RSI, MACD, Bollinger-Bänder) folgen der etablierten technischen Analyse und werden hier nicht im Einzelnen hergeleitet.</w:t>
      </w:r>
    </w:p>
    <w:bookmarkEnd w:id="108"/>
    <w:bookmarkStart w:id="109" w:name="Xd1064583cdbb989eaeca054847607609a27e3b5"/>
    <w:p>
      <w:pPr>
        <w:pStyle w:val="Heading2"/>
      </w:pPr>
      <w:r>
        <w:t xml:space="preserve">4.3 Walk-Forward-Backtesting und die Vermeidung von Look-Ahead-Bias</w:t>
      </w:r>
    </w:p>
    <w:p>
      <w:pPr>
        <w:pStyle w:val="FirstParagraph"/>
      </w:pPr>
      <w:r>
        <w:t xml:space="preserve">Die Strategien werden in einem rollierenden</w:t>
      </w:r>
      <w:r>
        <w:t xml:space="preserve"> </w:t>
      </w:r>
      <w:r>
        <w:rPr>
          <w:i/>
          <w:iCs/>
        </w:rPr>
        <w:t xml:space="preserve">Walk-Forward-Backtest</w:t>
      </w:r>
      <w:r>
        <w:t xml:space="preserve"> </w:t>
      </w:r>
      <w:r>
        <w:t xml:space="preserve">bewertet. Zu jedem Monatsende von 2015 bis 2024 werden ausschließlich die vorangehenden drei Jahre an Daten verwendet, um die Parameter zu schätzen und die Portfoliogewichte zu bestimmen; diese Gewichte werden anschließend über den folgenden Monat gehalten, dessen realisierte Renditen festgehalten werden. Danach wird das Fenster um einen Monat weitergeschoben und das Verfahren wiederholt. Dieses Vorgehen bildet einen realen Anleger nach, der zu jedem Zeitpunkt nur die Vergangenheit kennt. Eine zentrale methodische Gefahr ist dabei der</w:t>
      </w:r>
      <w:r>
        <w:t xml:space="preserve"> </w:t>
      </w:r>
      <w:r>
        <w:rPr>
          <w:i/>
          <w:iCs/>
        </w:rPr>
        <w:t xml:space="preserve">Look-Ahead-Bias</w:t>
      </w:r>
      <w:r>
        <w:t xml:space="preserve"> </w:t>
      </w:r>
      <w:r>
        <w:t xml:space="preserve">– die unbeabsichtigte Verwendung von Zukunftsinformation. Die Untersuchung begegnet ihm auf zwei Ebenen: Die Gewichte eines Monats nutzen nur Daten bis zum vorangehenden Monatsende, und für den Random Forest wird zusätzlich der letzte Trainingsmonat ausgeschlossen, weil dessen Prognoseziel – die Rendite des Folgemonats – sonst in die Halteperiode hineinreichen würde.</w:t>
      </w:r>
    </w:p>
    <w:bookmarkEnd w:id="109"/>
    <w:bookmarkStart w:id="110" w:name="transaktionskosten-und-umschlag"/>
    <w:p>
      <w:pPr>
        <w:pStyle w:val="Heading2"/>
      </w:pPr>
      <w:r>
        <w:t xml:space="preserve">4.4 Transaktionskosten und Umschlag</w:t>
      </w:r>
    </w:p>
    <w:p>
      <w:pPr>
        <w:pStyle w:val="FirstParagraph"/>
      </w:pPr>
      <w:r>
        <w:t xml:space="preserve">Jede Umschichtung verursacht Transaktionskosten, die mit 0,10 % des gehandelten Umschlags (</w:t>
      </w:r>
      <w:r>
        <w:rPr>
          <w:i/>
          <w:iCs/>
        </w:rPr>
        <w:t xml:space="preserve">Turnover</w:t>
      </w:r>
      <w:r>
        <w:t xml:space="preserve">) angesetzt werden, wobei der Turnover als</w:t>
      </w:r>
      <w:r>
        <w:t xml:space="preserve"> </w:t>
      </w:r>
      <m:oMath>
        <m:f>
          <m:fPr>
            <m:type m:val="lin"/>
          </m:fPr>
          <m:num>
            <m:r>
              <m:t>1</m:t>
            </m:r>
          </m:num>
          <m:den>
            <m:r>
              <m:t>2</m:t>
            </m:r>
          </m:den>
        </m:f>
        <m:nary>
          <m:naryPr>
            <m:chr m:val="∑"/>
            <m:limLoc m:val="undOvr"/>
            <m:subHide m:val="off"/>
            <m:supHide m:val="on"/>
          </m:naryPr>
          <m:sub>
            <m:r>
              <m:t>i</m:t>
            </m:r>
          </m:sub>
          <m:sup>
            <m:r>
              <m:t>​</m:t>
            </m:r>
          </m:sup>
          <m:e>
            <m:r>
              <m:rPr>
                <m:sty m:val="p"/>
              </m:rPr>
              <m:t>|</m:t>
            </m:r>
          </m:e>
        </m:nary>
        <m:sSubSup>
          <m:e>
            <m:r>
              <m:t>w</m:t>
            </m:r>
          </m:e>
          <m:sub>
            <m:r>
              <m:t>i</m:t>
            </m:r>
          </m:sub>
          <m:sup>
            <m:r>
              <m:rPr>
                <m:nor/>
                <m:sty m:val="p"/>
              </m:rPr>
              <m:t>neu</m:t>
            </m:r>
          </m:sup>
        </m:sSubSup>
        <m:r>
          <m:rPr>
            <m:sty m:val="p"/>
          </m:rPr>
          <m:t>−</m:t>
        </m:r>
        <m:sSubSup>
          <m:e>
            <m:r>
              <m:t>w</m:t>
            </m:r>
          </m:e>
          <m:sub>
            <m:r>
              <m:t>i</m:t>
            </m:r>
          </m:sub>
          <m:sup>
            <m:r>
              <m:rPr>
                <m:nor/>
                <m:sty m:val="p"/>
              </m:rPr>
              <m:t>alt</m:t>
            </m:r>
          </m:sup>
        </m:sSubSup>
        <m:r>
          <m:rPr>
            <m:sty m:val="p"/>
          </m:rPr>
          <m:t>|</m:t>
        </m:r>
      </m:oMath>
      <w:r>
        <w:t xml:space="preserve"> </w:t>
      </w:r>
      <w:r>
        <w:t xml:space="preserve">definiert ist. Um nicht systematisch umschlagsarme Strategien zu bevorzugen, wird der Turnover</w:t>
      </w:r>
      <w:r>
        <w:t xml:space="preserve"> </w:t>
      </w:r>
      <w:r>
        <w:rPr>
          <w:i/>
          <w:iCs/>
        </w:rPr>
        <w:t xml:space="preserve">driftbewusst</w:t>
      </w:r>
      <w:r>
        <w:t xml:space="preserve"> </w:t>
      </w:r>
      <w:r>
        <w:t xml:space="preserve">berechnet: Die alten Gewichte werden zunächst um die Kursdrift der Halteperiode angepasst, bevor sie mit den neuen Zielgewichten verglichen werden. Der pauschale Kostensatz ist eine Vereinfachung, die Geld-Brief-Spannen und Markteinfluss vernachlässigt; diese Limitation wird in Kapitel 8 erörtert.</w:t>
      </w:r>
    </w:p>
    <w:bookmarkEnd w:id="110"/>
    <w:bookmarkStart w:id="111" w:name="performance-kennzahlen"/>
    <w:p>
      <w:pPr>
        <w:pStyle w:val="Heading2"/>
      </w:pPr>
      <w:r>
        <w:t xml:space="preserve">4.5 Performance-Kennzahlen</w:t>
      </w:r>
    </w:p>
    <w:p>
      <w:pPr>
        <w:pStyle w:val="FirstParagraph"/>
      </w:pPr>
      <w:r>
        <w:t xml:space="preserve">Die Strategien werden anhand mehrerer risikoadjustierter Kennzahlen beurteilt. Die zentrale Größe ist die Sharpe Ratio (Abschnitt 2.5). Ergänzend dienen die durchschnittliche jährliche Wachstumsrate (CAGR), die annualisierte Volatilität, die Sortino Ratio – die im Unterschied zur Sharpe Ratio nur die Abwärtsschwankungen ins Verhältnis setzt –, der maximale Drawdown (der größte zwischenzeitliche Verlust vom Hoch zum Tief) sowie die Calmar Ratio (CAGR im Verhältnis zum maximalen Drawdown). Durchgängig wird ein risikofreier Zins von 4 % p. a. unterstellt; die Annahme eines konstanten Satzes über den gesamten Zeitraum ist eine Vereinfachung (Kapitel 8).</w:t>
      </w:r>
    </w:p>
    <w:bookmarkEnd w:id="111"/>
    <w:bookmarkStart w:id="112" w:name="die-vier-verglichenen-strategien"/>
    <w:p>
      <w:pPr>
        <w:pStyle w:val="Heading2"/>
      </w:pPr>
      <w:r>
        <w:t xml:space="preserve">4.6 Die vier verglichenen Strategien</w:t>
      </w:r>
    </w:p>
    <w:p>
      <w:pPr>
        <w:pStyle w:val="FirstParagraph"/>
      </w:pPr>
      <w:r>
        <w:t xml:space="preserve">Verglichen werden vier Strategien, die sich aus den Kapiteln 2 und 3 ergeben. Die</w:t>
      </w:r>
      <w:r>
        <w:t xml:space="preserve"> </w:t>
      </w:r>
      <w:r>
        <w:rPr>
          <w:b/>
          <w:bCs/>
        </w:rPr>
        <w:t xml:space="preserve">Markowitz-MVO</w:t>
      </w:r>
      <w:r>
        <w:t xml:space="preserve"> </w:t>
      </w:r>
      <w:r>
        <w:t xml:space="preserve">schätzt die Kovarianzmatrix nach Ledoit-Wolf (Abschnitt 2.7) und bestimmt long-only sowie mit einer Positionsobergrenze von 20 % je Titel das Sharpe-maximale Portfolio (Abschnitt 2.4). Der</w:t>
      </w:r>
      <w:r>
        <w:t xml:space="preserve"> </w:t>
      </w:r>
      <w:r>
        <w:rPr>
          <w:b/>
          <w:bCs/>
        </w:rPr>
        <w:t xml:space="preserve">Random Forest</w:t>
      </w:r>
      <w:r>
        <w:t xml:space="preserve"> </w:t>
      </w:r>
      <w:r>
        <w:t xml:space="preserve">prognostiziert die Renditen des Folgemonats und speist diese als erwartete Renditen in dieselbe Sharpe-Maximierung ein.</w:t>
      </w:r>
      <w:r>
        <w:t xml:space="preserve"> </w:t>
      </w:r>
      <w:r>
        <w:rPr>
          <w:b/>
          <w:bCs/>
        </w:rPr>
        <w:t xml:space="preserve">Equal Weight</w:t>
      </w:r>
      <w:r>
        <w:t xml:space="preserve"> </w:t>
      </w:r>
      <w:r>
        <w:t xml:space="preserve">verteilt das Vermögen gleichmäßig auf alle Titel (1/N) und dient als Benchmark (Abschnitt 2.9).</w:t>
      </w:r>
      <w:r>
        <w:t xml:space="preserve"> </w:t>
      </w:r>
      <w:r>
        <w:rPr>
          <w:b/>
          <w:bCs/>
        </w:rPr>
        <w:t xml:space="preserve">Risk Parity</w:t>
      </w:r>
      <w:r>
        <w:t xml:space="preserve"> </w:t>
      </w:r>
      <w:r>
        <w:t xml:space="preserve">schließlich gewichtet so, dass jede Anlage denselben Beitrag zum Gesamtrisiko leistet (Abschnitt 2.10), und dient als zusätzliche, rein risikobasierte Vergleichsstrategie.</w:t>
      </w:r>
    </w:p>
    <w:bookmarkEnd w:id="112"/>
    <w:bookmarkEnd w:id="113"/>
    <w:bookmarkStart w:id="152" w:name="statistische-signifikanz-und-robustheit"/>
    <w:p>
      <w:pPr>
        <w:pStyle w:val="Heading1"/>
      </w:pPr>
      <w:r>
        <w:t xml:space="preserve">5 Statistische Signifikanz und Robustheit</w:t>
      </w:r>
    </w:p>
    <w:bookmarkStart w:id="119" w:name="das-grundproblem-zufall-oder-können"/>
    <w:p>
      <w:pPr>
        <w:pStyle w:val="Heading2"/>
      </w:pPr>
      <w:r>
        <w:t xml:space="preserve">5.1 Das Grundproblem: Zufall oder Können?</w:t>
      </w:r>
    </w:p>
    <w:p>
      <w:pPr>
        <w:pStyle w:val="FirstParagraph"/>
      </w:pPr>
      <w:r>
        <w:t xml:space="preserve">Der gesamte empirische Vergleich beruht auf einem einzigen historischen Pfad (2015–2024). Bereits Sharpe betont, dass historische (ex-post-)Sharpe-Ratios nur eingeschränkt als Schätzer der wahren (ex-ante-)Werte taugen,</w:t>
      </w:r>
      <w:r>
        <w:rPr>
          <w:rStyle w:val="FootnoteReference"/>
        </w:rPr>
        <w:footnoteReference w:id="114"/>
      </w:r>
      <w:r>
        <w:t xml:space="preserve"> </w:t>
      </w:r>
      <w:r>
        <w:t xml:space="preserve">und Lo zeigt, dass Sharpe Ratios als Schätzer einen Standardfehler besitzen (Abschnitt 2.5).</w:t>
      </w:r>
      <w:r>
        <w:rPr>
          <w:rStyle w:val="FootnoteReference"/>
        </w:rPr>
        <w:footnoteReference w:id="115"/>
      </w:r>
      <w:r>
        <w:t xml:space="preserve"> </w:t>
      </w:r>
      <w:r>
        <w:t xml:space="preserve">Stellt man also fest, dass eine Strategie eine höhere Sharpe Ratio erzielt als eine andere, so ist zu klären, ob dieser Unterschied</w:t>
      </w:r>
      <w:r>
        <w:t xml:space="preserve"> </w:t>
      </w:r>
      <w:r>
        <w:rPr>
          <w:i/>
          <w:iCs/>
        </w:rPr>
        <w:t xml:space="preserve">real</w:t>
      </w:r>
      <w:r>
        <w:t xml:space="preserve"> </w:t>
      </w:r>
      <w:r>
        <w:t xml:space="preserve">ist oder bloß ein</w:t>
      </w:r>
      <w:r>
        <w:t xml:space="preserve"> </w:t>
      </w:r>
      <w:r>
        <w:rPr>
          <w:i/>
          <w:iCs/>
        </w:rPr>
        <w:t xml:space="preserve">Zufall</w:t>
      </w:r>
      <w:r>
        <w:t xml:space="preserve"> </w:t>
      </w:r>
      <w:r>
        <w:t xml:space="preserve">des betrachteten Zeitraums.</w:t>
      </w:r>
    </w:p>
    <w:p>
      <w:pPr>
        <w:pStyle w:val="BodyText"/>
      </w:pPr>
      <w:r>
        <w:t xml:space="preserve">Der naheliegende formale Test auf Gleichheit zweier Sharpe Ratios ist jener von Jobson und Korkie (1981) in der durch Memmel (2003) korrigierten Fassung. Wolf zeigt jedoch, dass dieser Test ungültig wird, sobald die Renditen schwerere Ränder als die Normalverteilung aufweisen oder zeitlich abhängig sind.</w:t>
      </w:r>
      <w:r>
        <w:rPr>
          <w:rStyle w:val="FootnoteReference"/>
        </w:rPr>
        <w:footnoteReference w:id="116"/>
      </w:r>
      <w:r>
        <w:t xml:space="preserve"> </w:t>
      </w:r>
      <w:r>
        <w:t xml:space="preserve">Beides ist bei Finanzrenditen die Regel: Schwere Ränder sind eine bekannte Eigenschaft, und selbst Aktien- und Fondsrenditen zeigen häufig eine Korrelation der quadrierten Renditen, also Volatilitäts-Clustering.</w:t>
      </w:r>
      <w:r>
        <w:rPr>
          <w:rStyle w:val="FootnoteReference"/>
        </w:rPr>
        <w:footnoteReference w:id="117"/>
      </w:r>
      <w:r>
        <w:t xml:space="preserve"> </w:t>
      </w:r>
      <w:r>
        <w:t xml:space="preserve">Der Grund für die Ungültigkeit liegt darin, dass die klassische Formel für die asymptotische Kovarianz der Momente entscheidend auf unabhängig und normalverteilten Daten beruht.</w:t>
      </w:r>
      <w:r>
        <w:rPr>
          <w:rStyle w:val="FootnoteReference"/>
        </w:rPr>
        <w:footnoteReference w:id="118"/>
      </w:r>
      <w:r>
        <w:t xml:space="preserve"> </w:t>
      </w:r>
      <w:r>
        <w:t xml:space="preserve">Ein belastbarer Vergleich erfordert daher ein robusteres Verfahren.</w:t>
      </w:r>
    </w:p>
    <w:bookmarkEnd w:id="119"/>
    <w:bookmarkStart w:id="129" w:name="der-robuste-sharpe-differenz-test"/>
    <w:p>
      <w:pPr>
        <w:pStyle w:val="Heading2"/>
      </w:pPr>
      <w:r>
        <w:t xml:space="preserve">5.2 Der robuste Sharpe-Differenz-Test</w:t>
      </w:r>
    </w:p>
    <w:p>
      <w:pPr>
        <w:pStyle w:val="FirstParagraph"/>
      </w:pPr>
      <w:r>
        <w:t xml:space="preserve">Wolf schlägt vor, die Differenz der beiden Sharpe Ratios,</w:t>
      </w:r>
      <w:r>
        <w:t xml:space="preserve"> </w:t>
      </w:r>
      <m:oMath>
        <m:r>
          <m:rPr>
            <m:sty m:val="p"/>
          </m:rPr>
          <m:t>Δ</m:t>
        </m:r>
        <m:r>
          <m:rPr>
            <m:sty m:val="p"/>
          </m:rPr>
          <m:t>=</m:t>
        </m:r>
        <m:r>
          <m:t>S</m:t>
        </m:r>
        <m:sSub>
          <m:e>
            <m:r>
              <m:t>h</m:t>
            </m:r>
          </m:e>
          <m:sub>
            <m:r>
              <m:t>i</m:t>
            </m:r>
          </m:sub>
        </m:sSub>
        <m:r>
          <m:rPr>
            <m:sty m:val="p"/>
          </m:rPr>
          <m:t>−</m:t>
        </m:r>
        <m:r>
          <m:t>S</m:t>
        </m:r>
        <m:sSub>
          <m:e>
            <m:r>
              <m:t>h</m:t>
            </m:r>
          </m:e>
          <m:sub>
            <m:r>
              <m:t>n</m:t>
            </m:r>
          </m:sub>
        </m:sSub>
      </m:oMath>
      <w:r>
        <w:t xml:space="preserve">, mit robusten Inferenzmethoden zu prüfen.</w:t>
      </w:r>
      <w:r>
        <w:rPr>
          <w:rStyle w:val="FootnoteReference"/>
        </w:rPr>
        <w:footnoteReference w:id="120"/>
      </w:r>
      <w:r>
        <w:t xml:space="preserve"> </w:t>
      </w:r>
      <w:r>
        <w:t xml:space="preserve">Da sich</w:t>
      </w:r>
      <w:r>
        <w:t xml:space="preserve"> </w:t>
      </w:r>
      <m:oMath>
        <m:r>
          <m:rPr>
            <m:sty m:val="p"/>
          </m:rPr>
          <m:t>Δ</m:t>
        </m:r>
      </m:oMath>
      <w:r>
        <w:t xml:space="preserve"> </w:t>
      </w:r>
      <w:r>
        <w:t xml:space="preserve">als glatte Funktion der Momentvektoren schreiben lässt, ergibt die Delta-Methode ihre asymptotische Verteilung und einen Standardfehler</w:t>
      </w:r>
      <w:r>
        <w:t xml:space="preserve"> </w:t>
      </w:r>
      <m:oMath>
        <m:r>
          <m:t>s</m:t>
        </m:r>
        <m:r>
          <m:rPr>
            <m:sty m:val="p"/>
          </m:rPr>
          <m:t>(</m:t>
        </m:r>
        <m:acc>
          <m:accPr>
            <m:chr m:val="̂"/>
          </m:accPr>
          <m:e>
            <m:r>
              <m:rPr>
                <m:sty m:val="p"/>
              </m:rPr>
              <m:t>Δ</m:t>
            </m:r>
          </m:e>
        </m:acc>
        <m:r>
          <m:rPr>
            <m:sty m:val="p"/>
          </m:rPr>
          <m:t>)</m:t>
        </m:r>
      </m:oMath>
      <w:r>
        <w:t xml:space="preserve">.</w:t>
      </w:r>
      <w:r>
        <w:rPr>
          <w:rStyle w:val="FootnoteReference"/>
        </w:rPr>
        <w:footnoteReference w:id="121"/>
      </w:r>
      <w:r>
        <w:t xml:space="preserve"> </w:t>
      </w:r>
      <w:r>
        <w:t xml:space="preserve">Weil die Renditen zeitlich abhängig sind, wird die hierfür benötigte langfristige Kovarianzmatrix mit einem heteroskedastie- und autokorrelationsrobusten (HAC-)Kernschätzer bestimmt.</w:t>
      </w:r>
      <w:r>
        <w:rPr>
          <w:rStyle w:val="FootnoteReference"/>
        </w:rPr>
        <w:footnoteReference w:id="122"/>
      </w:r>
    </w:p>
    <w:p>
      <w:pPr>
        <w:pStyle w:val="BodyText"/>
      </w:pPr>
      <w:r>
        <w:t xml:space="preserve">Da rein asymptotische HAC-Inferenz bei kleinen bis mittleren Stichproben dazu neigt, eine wahre Nullhypothese zu häufig abzulehnen,</w:t>
      </w:r>
      <w:r>
        <w:rPr>
          <w:rStyle w:val="FootnoteReference"/>
        </w:rPr>
        <w:footnoteReference w:id="123"/>
      </w:r>
      <w:r>
        <w:t xml:space="preserve"> </w:t>
      </w:r>
      <w:r>
        <w:t xml:space="preserve">empfiehlt Wolf ein verbessertes Verfahren: einen</w:t>
      </w:r>
      <w:r>
        <w:t xml:space="preserve"> </w:t>
      </w:r>
      <w:r>
        <w:rPr>
          <w:i/>
          <w:iCs/>
        </w:rPr>
        <w:t xml:space="preserve">studentisierten Time-Series-Bootstrap</w:t>
      </w:r>
      <w:r>
        <w:t xml:space="preserve">. Getestet wird, indem ein zweiseitiges Bootstrap-Konfidenzintervall für</w:t>
      </w:r>
      <w:r>
        <w:t xml:space="preserve"> </w:t>
      </w:r>
      <m:oMath>
        <m:r>
          <m:rPr>
            <m:sty m:val="p"/>
          </m:rPr>
          <m:t>Δ</m:t>
        </m:r>
      </m:oMath>
      <w:r>
        <w:t xml:space="preserve"> </w:t>
      </w:r>
      <w:r>
        <w:t xml:space="preserve">konstruiert wird; enthält es die Null nicht, gilt der Unterschied als signifikant.</w:t>
      </w:r>
      <w:r>
        <w:rPr>
          <w:rStyle w:val="FootnoteReference"/>
        </w:rPr>
        <w:footnoteReference w:id="124"/>
      </w:r>
      <w:r>
        <w:t xml:space="preserve"> </w:t>
      </w:r>
      <w:r>
        <w:t xml:space="preserve">Der Vorzug dieses indirekten Vorgehens besteht darin, dass man einfach aus den beobachteten Daten ziehen kann, statt aus künstlich an die Nullhypothese angepassten Daten.</w:t>
      </w:r>
      <w:r>
        <w:rPr>
          <w:rStyle w:val="FootnoteReference"/>
        </w:rPr>
        <w:footnoteReference w:id="125"/>
      </w:r>
      <w:r>
        <w:t xml:space="preserve"> </w:t>
      </w:r>
      <w:r>
        <w:t xml:space="preserve">Für die zeitabhängigen Finanzdaten verwendet Wolf den</w:t>
      </w:r>
      <w:r>
        <w:t xml:space="preserve"> </w:t>
      </w:r>
      <w:r>
        <w:rPr>
          <w:i/>
          <w:iCs/>
        </w:rPr>
        <w:t xml:space="preserve">Circular Block Bootstrap</w:t>
      </w:r>
      <w:r>
        <w:t xml:space="preserve">, der nicht einzelne Beobachtungen, sondern ganze Blöcke fester Länge mit Zurücklegen zieht und so die zeitliche Abhängigkeitsstruktur – etwa das Volatilitäts-Clustering – erhält.</w:t>
      </w:r>
      <w:r>
        <w:rPr>
          <w:rStyle w:val="FootnoteReference"/>
        </w:rPr>
        <w:footnoteReference w:id="126"/>
      </w:r>
      <w:r>
        <w:t xml:space="preserve"> </w:t>
      </w:r>
      <w:r>
        <w:t xml:space="preserve">Solche Block-Resampling-Verfahren wurden von Politis und Romano für schwach abhängige, stationäre Zeitreihen entwickelt, bei denen das gewöhnliche Bootstrap-Ziehen einzelner Beobachtungen die Abhängigkeitsstruktur zerstören würde.</w:t>
      </w:r>
      <w:r>
        <w:rPr>
          <w:rStyle w:val="FootnoteReference"/>
        </w:rPr>
        <w:footnoteReference w:id="127"/>
      </w:r>
      <w:r>
        <w:t xml:space="preserve"> </w:t>
      </w:r>
      <w:r>
        <w:t xml:space="preserve">Bei schweren Rändern oder Zeitreihenstruktur liefert dieses Verfahren vorsichtigere (konservativere) Schlüsse als die naive Normalverteilungsannahme.</w:t>
      </w:r>
      <w:r>
        <w:rPr>
          <w:rStyle w:val="FootnoteReference"/>
        </w:rPr>
        <w:footnoteReference w:id="128"/>
      </w:r>
      <w:r>
        <w:t xml:space="preserve"> </w:t>
      </w:r>
      <w:r>
        <w:t xml:space="preserve">Genau dieser Test bildet das zentrale Signifikanzwerkzeug der vorliegenden Arbeit.</w:t>
      </w:r>
    </w:p>
    <w:bookmarkEnd w:id="129"/>
    <w:bookmarkStart w:id="136" w:name="das-problem-des-multiplen-testens"/>
    <w:p>
      <w:pPr>
        <w:pStyle w:val="Heading2"/>
      </w:pPr>
      <w:r>
        <w:t xml:space="preserve">5.3 Das Problem des multiplen Testens</w:t>
      </w:r>
    </w:p>
    <w:p>
      <w:pPr>
        <w:pStyle w:val="FirstParagraph"/>
      </w:pPr>
      <w:r>
        <w:t xml:space="preserve">Der robuste Einzeltest aus Abschnitt 5.2 löst ein weiteres Problem noch nicht: In dieser Arbeit werden mehrere Strategien zugleich verglichen, sodass nicht ein einzelner, sondern mehrere paarweise Tests durchgeführt werden. Harvey, Liu und Zhu zeigen, dass dies die Gefahr von Fehlschlüssen erhöht – wer hinreichend viele Hypothesen prüft, findet irgendwann</w:t>
      </w:r>
      <w:r>
        <w:t xml:space="preserve"> </w:t>
      </w:r>
      <w:r>
        <w:rPr>
          <w:i/>
          <w:iCs/>
        </w:rPr>
        <w:t xml:space="preserve">zufällig</w:t>
      </w:r>
      <w:r>
        <w:t xml:space="preserve"> </w:t>
      </w:r>
      <w:r>
        <w:t xml:space="preserve">ein „signifikantes” Ergebnis, weshalb die üblichen Signifikanzschwellen beim multiplen Testen zu großzügig sind.</w:t>
      </w:r>
      <w:r>
        <w:rPr>
          <w:rStyle w:val="FootnoteReference"/>
        </w:rPr>
        <w:footnoteReference w:id="130"/>
      </w:r>
      <w:r>
        <w:t xml:space="preserve"> </w:t>
      </w:r>
      <w:r>
        <w:t xml:space="preserve">Für die Entdeckung eines neuen Faktors fordern sie deshalb eine deutlich höhere Hürde – einen t-Wert über 3,0 statt der konventionellen 2,0 – und folgern, dass die meisten in der Finanzökonomie behaupteten Befunde wahrscheinlich falsch sind.</w:t>
      </w:r>
      <w:r>
        <w:rPr>
          <w:rStyle w:val="FootnoteReference"/>
        </w:rPr>
        <w:footnoteReference w:id="131"/>
      </w:r>
    </w:p>
    <w:p>
      <w:pPr>
        <w:pStyle w:val="BodyText"/>
      </w:pPr>
      <w:r>
        <w:t xml:space="preserve">Um dem zu begegnen, kontrolliert man die</w:t>
      </w:r>
      <w:r>
        <w:t xml:space="preserve"> </w:t>
      </w:r>
      <w:r>
        <w:rPr>
          <w:i/>
          <w:iCs/>
        </w:rPr>
        <w:t xml:space="preserve">familienweise Fehlerrate</w:t>
      </w:r>
      <w:r>
        <w:t xml:space="preserve"> </w:t>
      </w:r>
      <w:r>
        <w:t xml:space="preserve">(FWER), also die Wahrscheinlichkeit für mindestens einen falschen Befund über alle Tests hinweg.</w:t>
      </w:r>
      <w:r>
        <w:rPr>
          <w:rStyle w:val="FootnoteReference"/>
        </w:rPr>
        <w:footnoteReference w:id="132"/>
      </w:r>
      <w:r>
        <w:t xml:space="preserve"> </w:t>
      </w:r>
      <w:r>
        <w:t xml:space="preserve">Harvey, Liu und Zhu stellen hierfür unter anderem die Bonferroni- und die Holm-Korrektur vor, die beide sicherstellen, dass die FWER ein vorgegebenes Niveau</w:t>
      </w:r>
      <w:r>
        <w:t xml:space="preserve"> </w:t>
      </w:r>
      <m:oMath>
        <m:r>
          <m:t>α</m:t>
        </m:r>
      </m:oMath>
      <w:r>
        <w:t xml:space="preserve"> </w:t>
      </w:r>
      <w:r>
        <w:t xml:space="preserve">nicht überschreitet.</w:t>
      </w:r>
      <w:r>
        <w:rPr>
          <w:rStyle w:val="FootnoteReference"/>
        </w:rPr>
        <w:footnoteReference w:id="133"/>
      </w:r>
      <w:r>
        <w:t xml:space="preserve"> </w:t>
      </w:r>
      <w:r>
        <w:t xml:space="preserve">Während Bonferroni ein</w:t>
      </w:r>
      <w:r>
        <w:t xml:space="preserve"> </w:t>
      </w:r>
      <w:r>
        <w:rPr>
          <w:i/>
          <w:iCs/>
        </w:rPr>
        <w:t xml:space="preserve">Single-Step-Verfahren</w:t>
      </w:r>
      <w:r>
        <w:t xml:space="preserve"> </w:t>
      </w:r>
      <w:r>
        <w:t xml:space="preserve">ist, das jeden p-Wert in gleicher Weise anpasst, handelt es sich bei der Holm-Korrektur um ein</w:t>
      </w:r>
      <w:r>
        <w:t xml:space="preserve"> </w:t>
      </w:r>
      <w:r>
        <w:rPr>
          <w:i/>
          <w:iCs/>
        </w:rPr>
        <w:t xml:space="preserve">sequenzielles</w:t>
      </w:r>
      <w:r>
        <w:t xml:space="preserve"> </w:t>
      </w:r>
      <w:r>
        <w:t xml:space="preserve">(adaptives) Verfahren, das die gesamte Verteilung der p-Werte berücksichtigt und dadurch trennschärfer ist.</w:t>
      </w:r>
      <w:r>
        <w:rPr>
          <w:rStyle w:val="FootnoteReference"/>
        </w:rPr>
        <w:footnoteReference w:id="134"/>
      </w:r>
      <w:r>
        <w:t xml:space="preserve"> </w:t>
      </w:r>
      <w:r>
        <w:t xml:space="preserve">Holm hat dieses sequenziell ablehnende Verfahren eingeführt; es hält das multiple Signifikanzniveau</w:t>
      </w:r>
      <w:r>
        <w:t xml:space="preserve"> </w:t>
      </w:r>
      <m:oMath>
        <m:r>
          <m:t>α</m:t>
        </m:r>
      </m:oMath>
      <w:r>
        <w:t xml:space="preserve"> </w:t>
      </w:r>
      <w:r>
        <w:t xml:space="preserve">ein und besitzt eine deutlich höhere Trennschärfe als klassische Verfahren wie Bonferroni.</w:t>
      </w:r>
      <w:r>
        <w:rPr>
          <w:rStyle w:val="FootnoteReference"/>
        </w:rPr>
        <w:footnoteReference w:id="135"/>
      </w:r>
      <w:r>
        <w:t xml:space="preserve"> </w:t>
      </w:r>
      <w:r>
        <w:t xml:space="preserve">Die vorliegende Arbeit wendet die Holm-Korrektur auf ihre fünf paarweisen Strategievergleiche an, sodass ein als signifikant ausgewiesener Unterschied auch der Korrektur für multiples Testen standhält.</w:t>
      </w:r>
    </w:p>
    <w:bookmarkEnd w:id="136"/>
    <w:bookmarkStart w:id="145" w:name="X4977f6fab2ab33ba270d7c6eec7285dacd7883a"/>
    <w:p>
      <w:pPr>
        <w:pStyle w:val="Heading2"/>
      </w:pPr>
      <w:r>
        <w:t xml:space="preserve">5.4 Backtest-Overfitting und die Deflated Sharpe Ratio</w:t>
      </w:r>
    </w:p>
    <w:p>
      <w:pPr>
        <w:pStyle w:val="FirstParagraph"/>
      </w:pPr>
      <w:r>
        <w:t xml:space="preserve">Die Holm-Korrektur berücksichtigt die wenigen explizit durchgeführten paarweisen Vergleiche. Eine subtilere Gefahr ist jedoch die</w:t>
      </w:r>
      <w:r>
        <w:t xml:space="preserve"> </w:t>
      </w:r>
      <w:r>
        <w:rPr>
          <w:i/>
          <w:iCs/>
        </w:rPr>
        <w:t xml:space="preserve">Selektionsverzerrung</w:t>
      </w:r>
      <w:r>
        <w:t xml:space="preserve"> </w:t>
      </w:r>
      <w:r>
        <w:t xml:space="preserve">über alle im Verlauf der Strategieentwicklung erprobten Varianten hinweg. Bailey und López de Prado betonen, dass das Verschweigen der Anzahl der Versuche zu überoptimistischen Erwartungen führt; das</w:t>
      </w:r>
      <w:r>
        <w:t xml:space="preserve"> </w:t>
      </w:r>
      <w:r>
        <w:rPr>
          <w:i/>
          <w:iCs/>
        </w:rPr>
        <w:t xml:space="preserve">Backtest-Overfitting</w:t>
      </w:r>
      <w:r>
        <w:t xml:space="preserve"> </w:t>
      </w:r>
      <w:r>
        <w:t xml:space="preserve">sei dabei eine besonders teure Form der Selektionsverzerrung.</w:t>
      </w:r>
      <w:r>
        <w:rPr>
          <w:rStyle w:val="FootnoteReference"/>
        </w:rPr>
        <w:footnoteReference w:id="137"/>
      </w:r>
      <w:r>
        <w:t xml:space="preserve"> </w:t>
      </w:r>
      <w:r>
        <w:t xml:space="preserve">In einer eigenen Arbeit quantifizieren Bailey, Borwein, López de Prado und Zhu diese Gefahr über die</w:t>
      </w:r>
      <w:r>
        <w:t xml:space="preserve"> </w:t>
      </w:r>
      <w:r>
        <w:rPr>
          <w:i/>
          <w:iCs/>
        </w:rPr>
        <w:t xml:space="preserve">Wahrscheinlichkeit des Backtest-Overfitting</w:t>
      </w:r>
      <w:r>
        <w:t xml:space="preserve"> </w:t>
      </w:r>
      <w:r>
        <w:t xml:space="preserve">(PBO): Eine überangepasste Strategie bildet vergangenes Rauschen statt künftiges Signal ab und glänzt allein in-sample, während sie out-of-sample versagt.</w:t>
      </w:r>
      <w:r>
        <w:rPr>
          <w:rStyle w:val="FootnoteReference"/>
        </w:rPr>
        <w:footnoteReference w:id="138"/>
      </w:r>
      <w:r>
        <w:t xml:space="preserve"> </w:t>
      </w:r>
      <w:r>
        <w:t xml:space="preserve">Der Mechanismus ist rein statistischer Natur: Werden viele unabhängige Strategien (Trials) erprobt, so wächst das erwartete Maximum ihrer Sharpe Ratios mit der Zahl der Versuche – und zwar selbst dann, wenn keine der Strategien echtes Können besitzt, die wahre Sharpe Ratio also gleich null ist.</w:t>
      </w:r>
      <w:r>
        <w:rPr>
          <w:rStyle w:val="FootnoteReference"/>
        </w:rPr>
        <w:footnoteReference w:id="139"/>
      </w:r>
      <w:r>
        <w:t xml:space="preserve"> </w:t>
      </w:r>
      <w:r>
        <w:t xml:space="preserve">Wer die beste aus vielen Strategien auswählt, unterliegt damit dem „Fluch des Gewinners” und wählt mit hoher Wahrscheinlichkeit eine Strategie mit aufgeblähter Sharpe Ratio, deren Out-of-Sample-Performance anschließend enttäuscht.</w:t>
      </w:r>
      <w:r>
        <w:rPr>
          <w:rStyle w:val="FootnoteReference"/>
        </w:rPr>
        <w:footnoteReference w:id="140"/>
      </w:r>
    </w:p>
    <w:p>
      <w:pPr>
        <w:pStyle w:val="BodyText"/>
      </w:pPr>
      <w:r>
        <w:t xml:space="preserve">Die</w:t>
      </w:r>
      <w:r>
        <w:t xml:space="preserve"> </w:t>
      </w:r>
      <w:r>
        <w:rPr>
          <w:i/>
          <w:iCs/>
        </w:rPr>
        <w:t xml:space="preserve">Deflated Sharpe Ratio</w:t>
      </w:r>
      <w:r>
        <w:t xml:space="preserve"> </w:t>
      </w:r>
      <w:r>
        <w:t xml:space="preserve">(DSR) korrigiert für zwei führende Quellen dieser Aufblähung zugleich: die Selektionsverzerrung durch multiples Testen und die Nicht-Normalität der Renditen.</w:t>
      </w:r>
      <w:r>
        <w:rPr>
          <w:rStyle w:val="FootnoteReference"/>
        </w:rPr>
        <w:footnoteReference w:id="141"/>
      </w:r>
      <w:r>
        <w:t xml:space="preserve"> </w:t>
      </w:r>
      <w:r>
        <w:t xml:space="preserve">Sie setzt die beobachtete Sharpe Ratio nicht gegen null, sondern gegen die erwartete</w:t>
      </w:r>
      <w:r>
        <w:t xml:space="preserve"> </w:t>
      </w:r>
      <w:r>
        <w:rPr>
          <w:i/>
          <w:iCs/>
        </w:rPr>
        <w:t xml:space="preserve">maximale</w:t>
      </w:r>
      <w:r>
        <w:t xml:space="preserve"> </w:t>
      </w:r>
      <w:r>
        <w:t xml:space="preserve">Sharpe Ratio unter</w:t>
      </w:r>
      <w:r>
        <w:t xml:space="preserve"> </w:t>
      </w:r>
      <m:oMath>
        <m:r>
          <m:t>N</m:t>
        </m:r>
      </m:oMath>
      <w:r>
        <w:t xml:space="preserve"> </w:t>
      </w:r>
      <w:r>
        <w:t xml:space="preserve">Versuchen ins Verhältnis – eine Schwelle, die mit der Zahl der Versuche und mit der Streuung der erprobten Sharpe Ratios wächst.</w:t>
      </w:r>
      <w:r>
        <w:rPr>
          <w:rStyle w:val="FootnoteReference"/>
        </w:rPr>
        <w:footnoteReference w:id="142"/>
      </w:r>
      <w:r>
        <w:t xml:space="preserve"> </w:t>
      </w:r>
      <w:r>
        <w:t xml:space="preserve">Zusätzlich bezieht die DSR die Länge der Renditereihe sowie deren Schiefe und Kurtosis ein, da kurze Stichproben und nicht-normalverteilte Renditen die Sharpe Ratio systematisch aufblähen.</w:t>
      </w:r>
      <w:r>
        <w:rPr>
          <w:rStyle w:val="FootnoteReference"/>
        </w:rPr>
        <w:footnoteReference w:id="143"/>
      </w:r>
      <w:r>
        <w:t xml:space="preserve"> </w:t>
      </w:r>
      <w:r>
        <w:t xml:space="preserve">Im Ergebnis liefert sie die Wahrscheinlichkeit, dass die wahre Sharpe Ratio nach Korrektur all dieser Effekte größer als null ist, und hilft so, belastbare Befunde von statistischen Zufallstreffern zu trennen.</w:t>
      </w:r>
      <w:r>
        <w:rPr>
          <w:rStyle w:val="FootnoteReference"/>
        </w:rPr>
        <w:footnoteReference w:id="144"/>
      </w:r>
      <w:r>
        <w:t xml:space="preserve"> </w:t>
      </w:r>
      <w:r>
        <w:t xml:space="preserve">Die vorliegende Arbeit berechnet die DSR für jede der vier Strategien, um deren Sharpe Ratios gegen Selektionsverzerrung und schwere Verteilungsränder abzusichern.</w:t>
      </w:r>
    </w:p>
    <w:bookmarkEnd w:id="145"/>
    <w:bookmarkStart w:id="151" w:name="Xc57e80040acf2e538da00c47343d5dbd9fb962e"/>
    <w:p>
      <w:pPr>
        <w:pStyle w:val="Heading2"/>
      </w:pPr>
      <w:r>
        <w:t xml:space="preserve">5.5 Informationslecks in der Kreuzvalidierung</w:t>
      </w:r>
    </w:p>
    <w:p>
      <w:pPr>
        <w:pStyle w:val="FirstParagraph"/>
      </w:pPr>
      <w:r>
        <w:t xml:space="preserve">Auch das Training des Random Forest birgt eine methodische Falle. Zur Wahl seiner Hyperparameter dient die Kreuzvalidierung. López de Prado warnt jedoch, dass die in der Finanzliteratur übliche k-Fold-Kreuzvalidierung dort versagt – zum einen, weil die Beobachtungen nicht als unabhängig und identisch verteilt (i.i.d.) angenommen werden können, zum anderen, weil die Testmenge im Entwicklungsprozess mehrfach verwendet wird und so zu multiplem Testen und Selektionsverzerrung führt.</w:t>
      </w:r>
      <w:r>
        <w:rPr>
          <w:rStyle w:val="FootnoteReference"/>
        </w:rPr>
        <w:footnoteReference w:id="146"/>
      </w:r>
      <w:r>
        <w:t xml:space="preserve"> </w:t>
      </w:r>
      <w:r>
        <w:t xml:space="preserve">Die erste Ursache ist ein</w:t>
      </w:r>
      <w:r>
        <w:t xml:space="preserve"> </w:t>
      </w:r>
      <w:r>
        <w:rPr>
          <w:i/>
          <w:iCs/>
        </w:rPr>
        <w:t xml:space="preserve">Informationsleck</w:t>
      </w:r>
      <w:r>
        <w:t xml:space="preserve"> </w:t>
      </w:r>
      <w:r>
        <w:t xml:space="preserve">(Leakage): Werden die Labels aus überlappenden Zeitfenstern gebildet und sind die Merkmale seriell korreliert, so gleichen sich zeitlich benachbarte Beobachtungen (</w:t>
      </w:r>
      <m:oMath>
        <m:sSub>
          <m:e>
            <m:r>
              <m:t>X</m:t>
            </m:r>
          </m:e>
          <m:sub>
            <m:r>
              <m:t>t</m:t>
            </m:r>
          </m:sub>
        </m:sSub>
        <m:r>
          <m:rPr>
            <m:sty m:val="p"/>
          </m:rPr>
          <m:t>≈</m:t>
        </m:r>
        <m:sSub>
          <m:e>
            <m:r>
              <m:t>X</m:t>
            </m:r>
          </m:e>
          <m:sub>
            <m:r>
              <m:t>t</m:t>
            </m:r>
            <m:r>
              <m:rPr>
                <m:sty m:val="p"/>
              </m:rPr>
              <m:t>+</m:t>
            </m:r>
            <m:r>
              <m:t>1</m:t>
            </m:r>
          </m:sub>
        </m:sSub>
      </m:oMath>
      <w:r>
        <w:t xml:space="preserve"> </w:t>
      </w:r>
      <w:r>
        <w:t xml:space="preserve">und</w:t>
      </w:r>
      <w:r>
        <w:t xml:space="preserve"> </w:t>
      </w:r>
      <m:oMath>
        <m:sSub>
          <m:e>
            <m:r>
              <m:t>Y</m:t>
            </m:r>
          </m:e>
          <m:sub>
            <m:r>
              <m:t>t</m:t>
            </m:r>
          </m:sub>
        </m:sSub>
        <m:r>
          <m:rPr>
            <m:sty m:val="p"/>
          </m:rPr>
          <m:t>≈</m:t>
        </m:r>
        <m:sSub>
          <m:e>
            <m:r>
              <m:t>Y</m:t>
            </m:r>
          </m:e>
          <m:sub>
            <m:r>
              <m:t>t</m:t>
            </m:r>
            <m:r>
              <m:rPr>
                <m:sty m:val="p"/>
              </m:rPr>
              <m:t>+</m:t>
            </m:r>
            <m:r>
              <m:t>1</m:t>
            </m:r>
          </m:sub>
        </m:sSub>
      </m:oMath>
      <w:r>
        <w:t xml:space="preserve">); landen sie in unterschiedlichen Mengen, „sieht” das Modell im Test mittelbar bereits die Antwort und erzielt selbst mit irrelevanten Merkmalen scheinbar gute Ergebnisse – ein Nährboden für Fehlentdeckungen.</w:t>
      </w:r>
      <w:r>
        <w:rPr>
          <w:rStyle w:val="FootnoteReference"/>
        </w:rPr>
        <w:footnoteReference w:id="147"/>
      </w:r>
    </w:p>
    <w:p>
      <w:pPr>
        <w:pStyle w:val="BodyText"/>
      </w:pPr>
      <w:r>
        <w:t xml:space="preserve">Als Gegenmittel schlägt López de Prado die</w:t>
      </w:r>
      <w:r>
        <w:t xml:space="preserve"> </w:t>
      </w:r>
      <w:r>
        <w:rPr>
          <w:i/>
          <w:iCs/>
        </w:rPr>
        <w:t xml:space="preserve">Purged K-Fold Cross-Validation</w:t>
      </w:r>
      <w:r>
        <w:t xml:space="preserve"> </w:t>
      </w:r>
      <w:r>
        <w:t xml:space="preserve">vor.</w:t>
      </w:r>
      <w:r>
        <w:rPr>
          <w:rStyle w:val="FootnoteReference"/>
        </w:rPr>
        <w:footnoteReference w:id="148"/>
      </w:r>
      <w:r>
        <w:t xml:space="preserve"> </w:t>
      </w:r>
      <w:r>
        <w:t xml:space="preserve">Beim</w:t>
      </w:r>
      <w:r>
        <w:t xml:space="preserve"> </w:t>
      </w:r>
      <w:r>
        <w:rPr>
          <w:i/>
          <w:iCs/>
        </w:rPr>
        <w:t xml:space="preserve">Purging</w:t>
      </w:r>
      <w:r>
        <w:t xml:space="preserve"> </w:t>
      </w:r>
      <w:r>
        <w:t xml:space="preserve">werden aus der Trainingsmenge alle Beobachtungen entfernt, deren Label sich zeitlich mit den Labels der Testmenge überschneidet.</w:t>
      </w:r>
      <w:r>
        <w:rPr>
          <w:rStyle w:val="FootnoteReference"/>
        </w:rPr>
        <w:footnoteReference w:id="149"/>
      </w:r>
      <w:r>
        <w:t xml:space="preserve"> </w:t>
      </w:r>
      <w:r>
        <w:t xml:space="preserve">Ergänzend wird ein</w:t>
      </w:r>
      <w:r>
        <w:t xml:space="preserve"> </w:t>
      </w:r>
      <w:r>
        <w:rPr>
          <w:i/>
          <w:iCs/>
        </w:rPr>
        <w:t xml:space="preserve">Embargo</w:t>
      </w:r>
      <w:r>
        <w:t xml:space="preserve"> </w:t>
      </w:r>
      <w:r>
        <w:t xml:space="preserve">verhängt: Da Finanzreihen seriell korreliert sind, werden zusätzlich diejenigen Trainingsbeobachtungen ausgeschlossen, die unmittelbar</w:t>
      </w:r>
      <w:r>
        <w:t xml:space="preserve"> </w:t>
      </w:r>
      <w:r>
        <w:rPr>
          <w:i/>
          <w:iCs/>
        </w:rPr>
        <w:t xml:space="preserve">nach</w:t>
      </w:r>
      <w:r>
        <w:t xml:space="preserve"> </w:t>
      </w:r>
      <w:r>
        <w:t xml:space="preserve">der Testmenge liegen; bereits ein kleiner Embargo-Anteil von etwa</w:t>
      </w:r>
      <w:r>
        <w:t xml:space="preserve"> </w:t>
      </w:r>
      <m:oMath>
        <m:r>
          <m:t>h</m:t>
        </m:r>
        <m:r>
          <m:rPr>
            <m:sty m:val="p"/>
          </m:rPr>
          <m:t>≈</m:t>
        </m:r>
        <m:r>
          <m:t>0</m:t>
        </m:r>
        <m:r>
          <m:rPr>
            <m:sty m:val="p"/>
          </m:rPr>
          <m:t>,</m:t>
        </m:r>
        <m:r>
          <m:t>01</m:t>
        </m:r>
        <m:r>
          <m:t> </m:t>
        </m:r>
        <m:r>
          <m:t>T</m:t>
        </m:r>
      </m:oMath>
      <w:r>
        <w:t xml:space="preserve"> </w:t>
      </w:r>
      <w:r>
        <w:t xml:space="preserve">genügt oft, um das Leck vollständig zu schließen.</w:t>
      </w:r>
      <w:r>
        <w:rPr>
          <w:rStyle w:val="FootnoteReference"/>
        </w:rPr>
        <w:footnoteReference w:id="150"/>
      </w:r>
      <w:r>
        <w:t xml:space="preserve"> </w:t>
      </w:r>
      <w:r>
        <w:t xml:space="preserve">Die vorliegende Arbeit setzt dieses Verfahren als zuschaltbare Option im Hyperparameter-Tuning des Random Forest um und begegnet damit dem Informationsleck der überlappenden Monatslabels.</w:t>
      </w:r>
    </w:p>
    <w:bookmarkEnd w:id="151"/>
    <w:bookmarkEnd w:id="152"/>
    <w:bookmarkStart w:id="155" w:name="implementierung"/>
    <w:p>
      <w:pPr>
        <w:pStyle w:val="Heading1"/>
      </w:pPr>
      <w:r>
        <w:t xml:space="preserve">6 Implementierung</w:t>
      </w:r>
    </w:p>
    <w:bookmarkStart w:id="153" w:name="architektur-und-reproduzierbarkeit"/>
    <w:p>
      <w:pPr>
        <w:pStyle w:val="Heading2"/>
      </w:pPr>
      <w:r>
        <w:t xml:space="preserve">6.1 Architektur und Reproduzierbarkeit</w:t>
      </w:r>
    </w:p>
    <w:p>
      <w:pPr>
        <w:pStyle w:val="FirstParagraph"/>
      </w:pPr>
      <w:r>
        <w:t xml:space="preserve">Die Untersuchung ist vollständig in Python umgesetzt. Der Code ist als modulares Paket organisiert, dessen Module den Bausteinen dieser Arbeit entsprechen: Datenbeschaffung, technische Indikatoren, die drei Optimierer (Markowitz, Risk Parity, Random Forest), die Backtest-Engine, die Kennzahlenberechnung, das Signifikanzmodul sowie die Visualisierung. Verwendet werden etablierte wissenschaftliche Bibliotheken (unter anderem NumPy, pandas, scikit-learn und SciPy). Zur Sicherung der Reproduzierbarkeit werden alle Zufallsprozesse mit festen Startwerten (Seeds) initialisiert, sämtliche Parameter in einer zentralen Konfiguration gehalten, die Ergebnisse als CSV- und JSON-Dateien protokolliert und der gesamte Entwicklungsstand unter Versionskontrolle (Git) geführt. Eine automatisierte Testsuite prüft die Kernfunktionen – etwa die Kennzahlen, die Einhaltung der Optimierer-Nebenbedingungen und den Look-Ahead-Schutz.</w:t>
      </w:r>
    </w:p>
    <w:bookmarkEnd w:id="153"/>
    <w:bookmarkStart w:id="154" w:name="kernkomponenten"/>
    <w:p>
      <w:pPr>
        <w:pStyle w:val="Heading2"/>
      </w:pPr>
      <w:r>
        <w:t xml:space="preserve">6.2 Kernkomponenten</w:t>
      </w:r>
    </w:p>
    <w:p>
      <w:pPr>
        <w:pStyle w:val="FirstParagraph"/>
      </w:pPr>
      <w:r>
        <w:t xml:space="preserve">Die Markowitz-Optimierung kombiniert die Ledoit-Wolf-Kovarianzschätzung (Abschnitt 2.7) mit einer numerischen Maximierung der Sharpe Ratio unter den Nebenbedingungen</w:t>
      </w:r>
      <w:r>
        <w:t xml:space="preserve"> </w:t>
      </w:r>
      <m:oMath>
        <m:nary>
          <m:naryPr>
            <m:chr m:val="∑"/>
            <m:limLoc m:val="undOvr"/>
            <m:subHide m:val="off"/>
            <m:supHide m:val="on"/>
          </m:naryPr>
          <m:sub>
            <m:r>
              <m:t>i</m:t>
            </m:r>
          </m:sub>
          <m:sup>
            <m:r>
              <m:t>​</m:t>
            </m:r>
          </m:sup>
          <m:e>
            <m:sSub>
              <m:e>
                <m:r>
                  <m:t>w</m:t>
                </m:r>
              </m:e>
              <m:sub>
                <m:r>
                  <m:t>i</m:t>
                </m:r>
              </m:sub>
            </m:sSub>
          </m:e>
        </m:nary>
        <m:r>
          <m:rPr>
            <m:sty m:val="p"/>
          </m:rPr>
          <m:t>=</m:t>
        </m:r>
        <m:r>
          <m:t>1</m:t>
        </m:r>
      </m:oMath>
      <w:r>
        <w:t xml:space="preserve"> </w:t>
      </w:r>
      <w:r>
        <w:t xml:space="preserve">und</w:t>
      </w:r>
      <w:r>
        <w:t xml:space="preserve"> </w:t>
      </w:r>
      <m:oMath>
        <m:r>
          <m:t>0</m:t>
        </m:r>
        <m:r>
          <m:rPr>
            <m:sty m:val="p"/>
          </m:rPr>
          <m:t>≤</m:t>
        </m:r>
        <m:sSub>
          <m:e>
            <m:r>
              <m:t>w</m:t>
            </m:r>
          </m:e>
          <m:sub>
            <m:r>
              <m:t>i</m:t>
            </m:r>
          </m:sub>
        </m:sSub>
        <m:r>
          <m:rPr>
            <m:sty m:val="p"/>
          </m:rPr>
          <m:t>≤</m:t>
        </m:r>
        <m:r>
          <m:t>0</m:t>
        </m:r>
        <m:r>
          <m:rPr>
            <m:sty m:val="p"/>
          </m:rPr>
          <m:t>,</m:t>
        </m:r>
        <m:r>
          <m:t>20</m:t>
        </m:r>
      </m:oMath>
      <w:r>
        <w:t xml:space="preserve"> </w:t>
      </w:r>
      <w:r>
        <w:t xml:space="preserve">(Abschnitte 2.4 und 2.8); gelöst wird mit dem SLSQP-Verfahren der Bibliothek SciPy. Der Random Forest wird zu jedem Rebalancing-Termin über eine randomisierte Hyperparametersuche mit Zeitreihen-Kreuzvalidierung trainiert (Abschnitt 5.5) und prognostiziert die Rendite des Folgemonats, die anschließend als erwartete Rendite in dieselbe Sharpe-Maximierung eingeht. Die Backtest-Engine steuert das rollierende Walk-Forward-Schema (Abschnitt 4.3), verbucht die Transaktionskosten (Abschnitt 4.4) und protokolliert Gewichte, Renditen und Umschlag jeder Periode. Das Signifikanzmodul schließlich implementiert den robusten Sharpe-Differenz-Test, die Holm-Korrektur und die Deflated Sharpe Ratio (Kapitel 5).</w:t>
      </w:r>
    </w:p>
    <w:bookmarkEnd w:id="154"/>
    <w:bookmarkEnd w:id="155"/>
    <w:bookmarkStart w:id="159" w:name="ergebnisse"/>
    <w:p>
      <w:pPr>
        <w:pStyle w:val="Heading1"/>
      </w:pPr>
      <w:r>
        <w:t xml:space="preserve">7 Ergebnisse</w:t>
      </w:r>
    </w:p>
    <w:bookmarkStart w:id="156" w:name="performance-der-vier-strategien"/>
    <w:p>
      <w:pPr>
        <w:pStyle w:val="Heading2"/>
      </w:pPr>
      <w:r>
        <w:t xml:space="preserve">7.1 Performance der vier Strategien</w:t>
      </w:r>
    </w:p>
    <w:p>
      <w:pPr>
        <w:pStyle w:val="FirstParagraph"/>
      </w:pPr>
      <w:r>
        <w:t xml:space="preserve">Über den Backtest-Zeitraum 2015–2024 ergeben sich nach Abzug der Transaktionskosten die folgenden Kennzahlen: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Strategie</w:t>
            </w:r>
          </w:p>
        </w:tc>
        <w:tc>
          <w:tcPr/>
          <w:p>
            <w:pPr>
              <w:pStyle w:val="Compact"/>
            </w:pPr>
            <w:r>
              <w:t xml:space="preserve">CAGR</w:t>
            </w:r>
          </w:p>
        </w:tc>
        <w:tc>
          <w:tcPr/>
          <w:p>
            <w:pPr>
              <w:pStyle w:val="Compact"/>
            </w:pPr>
            <w:r>
              <w:t xml:space="preserve">Sharpe Ratio</w:t>
            </w:r>
          </w:p>
        </w:tc>
        <w:tc>
          <w:tcPr/>
          <w:p>
            <w:pPr>
              <w:pStyle w:val="Compact"/>
            </w:pPr>
            <w:r>
              <w:t xml:space="preserve">Sortino Ratio</w:t>
            </w:r>
          </w:p>
        </w:tc>
        <w:tc>
          <w:tcPr/>
          <w:p>
            <w:pPr>
              <w:pStyle w:val="Compact"/>
            </w:pPr>
            <w:r>
              <w:t xml:space="preserve">Max. Drawdown</w:t>
            </w:r>
          </w:p>
        </w:tc>
      </w:tr>
      <w:tr>
        <w:tc>
          <w:tcPr/>
          <w:p>
            <w:pPr>
              <w:pStyle w:val="Compact"/>
            </w:pPr>
            <w:r>
              <w:t xml:space="preserve">Random Forest</w:t>
            </w:r>
          </w:p>
        </w:tc>
        <w:tc>
          <w:tcPr/>
          <w:p>
            <w:pPr>
              <w:pStyle w:val="Compact"/>
            </w:pPr>
            <w:r>
              <w:t xml:space="preserve">23,5 %</w:t>
            </w:r>
          </w:p>
        </w:tc>
        <w:tc>
          <w:tcPr/>
          <w:p>
            <w:pPr>
              <w:pStyle w:val="Compact"/>
            </w:pPr>
            <w:r>
              <w:t xml:space="preserve">1,01</w:t>
            </w:r>
          </w:p>
        </w:tc>
        <w:tc>
          <w:tcPr/>
          <w:p>
            <w:pPr>
              <w:pStyle w:val="Compact"/>
            </w:pPr>
            <w:r>
              <w:t xml:space="preserve">1,33</w:t>
            </w:r>
          </w:p>
        </w:tc>
        <w:tc>
          <w:tcPr/>
          <w:p>
            <w:pPr>
              <w:pStyle w:val="Compact"/>
            </w:pPr>
            <w:r>
              <w:t xml:space="preserve">−35,8 %</w:t>
            </w:r>
          </w:p>
        </w:tc>
      </w:tr>
      <w:tr>
        <w:tc>
          <w:tcPr/>
          <w:p>
            <w:pPr>
              <w:pStyle w:val="Compact"/>
            </w:pPr>
            <w:r>
              <w:t xml:space="preserve">Markowitz MVO</w:t>
            </w:r>
          </w:p>
        </w:tc>
        <w:tc>
          <w:tcPr/>
          <w:p>
            <w:pPr>
              <w:pStyle w:val="Compact"/>
            </w:pPr>
            <w:r>
              <w:t xml:space="preserve">23,2 %</w:t>
            </w:r>
          </w:p>
        </w:tc>
        <w:tc>
          <w:tcPr/>
          <w:p>
            <w:pPr>
              <w:pStyle w:val="Compact"/>
            </w:pPr>
            <w:r>
              <w:t xml:space="preserve">0,92</w:t>
            </w:r>
          </w:p>
        </w:tc>
        <w:tc>
          <w:tcPr/>
          <w:p>
            <w:pPr>
              <w:pStyle w:val="Compact"/>
            </w:pPr>
            <w:r>
              <w:t xml:space="preserve">1,17</w:t>
            </w:r>
          </w:p>
        </w:tc>
        <w:tc>
          <w:tcPr/>
          <w:p>
            <w:pPr>
              <w:pStyle w:val="Compact"/>
            </w:pPr>
            <w:r>
              <w:t xml:space="preserve">−34,3 %</w:t>
            </w:r>
          </w:p>
        </w:tc>
      </w:tr>
      <w:tr>
        <w:tc>
          <w:tcPr/>
          <w:p>
            <w:pPr>
              <w:pStyle w:val="Compact"/>
            </w:pPr>
            <w:r>
              <w:t xml:space="preserve">Equal Weight</w:t>
            </w:r>
          </w:p>
        </w:tc>
        <w:tc>
          <w:tcPr/>
          <w:p>
            <w:pPr>
              <w:pStyle w:val="Compact"/>
            </w:pPr>
            <w:r>
              <w:t xml:space="preserve">20,0 %</w:t>
            </w:r>
          </w:p>
        </w:tc>
        <w:tc>
          <w:tcPr/>
          <w:p>
            <w:pPr>
              <w:pStyle w:val="Compact"/>
            </w:pPr>
            <w:r>
              <w:t xml:space="preserve">0,91</w:t>
            </w:r>
          </w:p>
        </w:tc>
        <w:tc>
          <w:tcPr/>
          <w:p>
            <w:pPr>
              <w:pStyle w:val="Compact"/>
            </w:pPr>
            <w:r>
              <w:t xml:space="preserve">1,12</w:t>
            </w:r>
          </w:p>
        </w:tc>
        <w:tc>
          <w:tcPr/>
          <w:p>
            <w:pPr>
              <w:pStyle w:val="Compact"/>
            </w:pPr>
            <w:r>
              <w:t xml:space="preserve">−33,3 %</w:t>
            </w:r>
          </w:p>
        </w:tc>
      </w:tr>
      <w:tr>
        <w:tc>
          <w:tcPr/>
          <w:p>
            <w:pPr>
              <w:pStyle w:val="Compact"/>
            </w:pPr>
            <w:r>
              <w:t xml:space="preserve">Risk Parity</w:t>
            </w:r>
          </w:p>
        </w:tc>
        <w:tc>
          <w:tcPr/>
          <w:p>
            <w:pPr>
              <w:pStyle w:val="Compact"/>
            </w:pPr>
            <w:r>
              <w:t xml:space="preserve">16,9 %</w:t>
            </w:r>
          </w:p>
        </w:tc>
        <w:tc>
          <w:tcPr/>
          <w:p>
            <w:pPr>
              <w:pStyle w:val="Compact"/>
            </w:pPr>
            <w:r>
              <w:t xml:space="preserve">0,79</w:t>
            </w:r>
          </w:p>
        </w:tc>
        <w:tc>
          <w:tcPr/>
          <w:p>
            <w:pPr>
              <w:pStyle w:val="Compact"/>
            </w:pPr>
            <w:r>
              <w:t xml:space="preserve">0,96</w:t>
            </w:r>
          </w:p>
        </w:tc>
        <w:tc>
          <w:tcPr/>
          <w:p>
            <w:pPr>
              <w:pStyle w:val="Compact"/>
            </w:pPr>
            <w:r>
              <w:t xml:space="preserve">−32,4 %</w:t>
            </w:r>
          </w:p>
        </w:tc>
      </w:tr>
    </w:tbl>
    <w:p>
      <w:pPr>
        <w:pStyle w:val="BodyText"/>
      </w:pPr>
      <w:r>
        <w:t xml:space="preserve">Gemessen an den Punktschätzern rangiert der Random Forest mit einer Sharpe Ratio von 1,01 knapp vorn, gefolgt von Markowitz (0,92) und Equal Weight (0,91), die praktisch gleichauf liegen; Risk Parity bildet mit 0,79 das Schlusslicht. Bemerkenswert ist bereits hier, dass die aufwändigen Optimierungsverfahren die naive 1/N-Strategie nur geringfügig (Random Forest) bzw. kaum (Markowitz) übertreffen – ein erstes Indiz im Sinne des Befundes von DeMiguel, Garlappi und Uppal (Abschnitt 2.9).</w:t>
      </w:r>
    </w:p>
    <w:bookmarkEnd w:id="156"/>
    <w:bookmarkStart w:id="157" w:name="X00b641efc050fa26c9cbcca4f219c205baa1dc2"/>
    <w:p>
      <w:pPr>
        <w:pStyle w:val="Heading2"/>
      </w:pPr>
      <w:r>
        <w:t xml:space="preserve">7.2 Statistische Signifikanz der Unterschiede</w:t>
      </w:r>
    </w:p>
    <w:p>
      <w:pPr>
        <w:pStyle w:val="FirstParagraph"/>
      </w:pPr>
      <w:r>
        <w:t xml:space="preserve">Punktschätzer allein sind jedoch nicht aussagekräftig (Kapitel 5). Der robuste Sharpe-Differenz-Test (Abschnitt 5.2) liefert für die fünf paarweisen Vergleiche die folgenden p-Werte: Random Forest gegen Markowitz</w:t>
      </w:r>
      <w:r>
        <w:t xml:space="preserve"> </w:t>
      </w:r>
      <m:oMath>
        <m:r>
          <m:t>p</m:t>
        </m:r>
        <m:r>
          <m:rPr>
            <m:sty m:val="p"/>
          </m:rPr>
          <m:t>=</m:t>
        </m:r>
        <m:r>
          <m:t>0</m:t>
        </m:r>
        <m:r>
          <m:rPr>
            <m:sty m:val="p"/>
          </m:rPr>
          <m:t>,</m:t>
        </m:r>
        <m:r>
          <m:t>69</m:t>
        </m:r>
      </m:oMath>
      <w:r>
        <w:t xml:space="preserve">, Random Forest gegen Equal Weight</w:t>
      </w:r>
      <w:r>
        <w:t xml:space="preserve"> </w:t>
      </w:r>
      <m:oMath>
        <m:r>
          <m:t>p</m:t>
        </m:r>
        <m:r>
          <m:rPr>
            <m:sty m:val="p"/>
          </m:rPr>
          <m:t>=</m:t>
        </m:r>
        <m:r>
          <m:t>0</m:t>
        </m:r>
        <m:r>
          <m:rPr>
            <m:sty m:val="p"/>
          </m:rPr>
          <m:t>,</m:t>
        </m:r>
        <m:r>
          <m:t>53</m:t>
        </m:r>
      </m:oMath>
      <w:r>
        <w:t xml:space="preserve">, Markowitz gegen Equal Weight</w:t>
      </w:r>
      <w:r>
        <w:t xml:space="preserve"> </w:t>
      </w:r>
      <m:oMath>
        <m:r>
          <m:t>p</m:t>
        </m:r>
        <m:r>
          <m:rPr>
            <m:sty m:val="p"/>
          </m:rPr>
          <m:t>=</m:t>
        </m:r>
        <m:r>
          <m:t>0</m:t>
        </m:r>
        <m:r>
          <m:rPr>
            <m:sty m:val="p"/>
          </m:rPr>
          <m:t>,</m:t>
        </m:r>
        <m:r>
          <m:t>95</m:t>
        </m:r>
      </m:oMath>
      <w:r>
        <w:t xml:space="preserve">, Risk Parity gegen Equal Weight</w:t>
      </w:r>
      <w:r>
        <w:t xml:space="preserve"> </w:t>
      </w:r>
      <m:oMath>
        <m:r>
          <m:t>p</m:t>
        </m:r>
        <m:r>
          <m:rPr>
            <m:sty m:val="p"/>
          </m:rPr>
          <m:t>=</m:t>
        </m:r>
        <m:r>
          <m:t>0</m:t>
        </m:r>
        <m:r>
          <m:rPr>
            <m:sty m:val="p"/>
          </m:rPr>
          <m:t>,</m:t>
        </m:r>
        <m:r>
          <m:t>004</m:t>
        </m:r>
      </m:oMath>
      <w:r>
        <w:t xml:space="preserve"> </w:t>
      </w:r>
      <w:r>
        <w:t xml:space="preserve">sowie Markowitz gegen Risk Parity</w:t>
      </w:r>
      <w:r>
        <w:t xml:space="preserve"> </w:t>
      </w:r>
      <m:oMath>
        <m:r>
          <m:t>p</m:t>
        </m:r>
        <m:r>
          <m:rPr>
            <m:sty m:val="p"/>
          </m:rPr>
          <m:t>=</m:t>
        </m:r>
        <m:r>
          <m:t>0</m:t>
        </m:r>
        <m:r>
          <m:rPr>
            <m:sty m:val="p"/>
          </m:rPr>
          <m:t>,</m:t>
        </m:r>
        <m:r>
          <m:t>48</m:t>
        </m:r>
      </m:oMath>
      <w:r>
        <w:t xml:space="preserve">. Nach der Holm-Korrektur für multiples Testen (Abschnitt 5.3) bleibt nur ein einziger Vergleich signifikant: Risk Parity ist signifikant</w:t>
      </w:r>
      <w:r>
        <w:t xml:space="preserve"> </w:t>
      </w:r>
      <w:r>
        <w:rPr>
          <w:i/>
          <w:iCs/>
        </w:rPr>
        <w:t xml:space="preserve">schlechter</w:t>
      </w:r>
      <w:r>
        <w:t xml:space="preserve"> </w:t>
      </w:r>
      <w:r>
        <w:t xml:space="preserve">als Equal Weight (</w:t>
      </w:r>
      <m:oMath>
        <m:sSub>
          <m:e>
            <m:r>
              <m:t>p</m:t>
            </m:r>
          </m:e>
          <m:sub>
            <m:r>
              <m:rPr>
                <m:nor/>
                <m:sty m:val="p"/>
              </m:rPr>
              <m:t>Holm</m:t>
            </m:r>
          </m:sub>
        </m:sSub>
        <m:r>
          <m:rPr>
            <m:sty m:val="p"/>
          </m:rPr>
          <m:t>=</m:t>
        </m:r>
        <m:r>
          <m:t>0</m:t>
        </m:r>
        <m:r>
          <m:rPr>
            <m:sty m:val="p"/>
          </m:rPr>
          <m:t>,</m:t>
        </m:r>
        <m:r>
          <m:t>018</m:t>
        </m:r>
      </m:oMath>
      <w:r>
        <w:t xml:space="preserve">). Insbesondere ist der scheinbare Vorsprung des Random Forest gegenüber Markowitz und Equal Weight statistisch</w:t>
      </w:r>
      <w:r>
        <w:t xml:space="preserve"> </w:t>
      </w:r>
      <w:r>
        <w:rPr>
          <w:i/>
          <w:iCs/>
        </w:rPr>
        <w:t xml:space="preserve">nicht</w:t>
      </w:r>
      <w:r>
        <w:t xml:space="preserve"> </w:t>
      </w:r>
      <w:r>
        <w:t xml:space="preserve">signifikant, und der Unterschied zwischen Markowitz und Equal Weight ist mit</w:t>
      </w:r>
      <w:r>
        <w:t xml:space="preserve"> </w:t>
      </w:r>
      <m:oMath>
        <m:r>
          <m:t>p</m:t>
        </m:r>
        <m:r>
          <m:rPr>
            <m:sty m:val="p"/>
          </m:rPr>
          <m:t>=</m:t>
        </m:r>
        <m:r>
          <m:t>0</m:t>
        </m:r>
        <m:r>
          <m:rPr>
            <m:sty m:val="p"/>
          </m:rPr>
          <m:t>,</m:t>
        </m:r>
        <m:r>
          <m:t>95</m:t>
        </m:r>
      </m:oMath>
      <w:r>
        <w:t xml:space="preserve"> </w:t>
      </w:r>
      <w:r>
        <w:t xml:space="preserve">vernachlässigbar. Damit schlägt</w:t>
      </w:r>
      <w:r>
        <w:t xml:space="preserve"> </w:t>
      </w:r>
      <w:r>
        <w:rPr>
          <w:i/>
          <w:iCs/>
        </w:rPr>
        <w:t xml:space="preserve">keine</w:t>
      </w:r>
      <w:r>
        <w:t xml:space="preserve"> </w:t>
      </w:r>
      <w:r>
        <w:t xml:space="preserve">der aktiven Strategien die naive 1/N-Benchmark in statistisch belastbarer Weise.</w:t>
      </w:r>
    </w:p>
    <w:bookmarkEnd w:id="157"/>
    <w:bookmarkStart w:id="158" w:name="deflated-sharpe-ratio"/>
    <w:p>
      <w:pPr>
        <w:pStyle w:val="Heading2"/>
      </w:pPr>
      <w:r>
        <w:t xml:space="preserve">7.3 Deflated Sharpe Ratio</w:t>
      </w:r>
    </w:p>
    <w:p>
      <w:pPr>
        <w:pStyle w:val="FirstParagraph"/>
      </w:pPr>
      <w:r>
        <w:t xml:space="preserve">Die Deflated Sharpe Ratio (Abschnitt 5.4) liegt für alle vier Strategien über 0,95 (Random Forest 0,997; Markowitz 0,995; Equal Weight 0,994; Risk Parity 0,986). Jede Einzelstrategie besitzt somit – auch nach Korrektur für Selektionsverzerrung und Nicht-Normalität – mit hoher Wahrscheinlichkeit eine echte positive Sharpe Ratio. Dieser Befund bestätigt, dass alle vier Ansätze über den Untersuchungszeitraum profitabel waren; über ihre</w:t>
      </w:r>
      <w:r>
        <w:t xml:space="preserve"> </w:t>
      </w:r>
      <w:r>
        <w:rPr>
          <w:i/>
          <w:iCs/>
        </w:rPr>
        <w:t xml:space="preserve">Rangfolge</w:t>
      </w:r>
      <w:r>
        <w:t xml:space="preserve"> </w:t>
      </w:r>
      <w:r>
        <w:t xml:space="preserve">untereinander trifft er hingegen keine Aussage.</w:t>
      </w:r>
    </w:p>
    <w:bookmarkEnd w:id="158"/>
    <w:bookmarkEnd w:id="159"/>
    <w:bookmarkStart w:id="165" w:name="diskussion-und-kritische-würdigung"/>
    <w:p>
      <w:pPr>
        <w:pStyle w:val="Heading1"/>
      </w:pPr>
      <w:r>
        <w:t xml:space="preserve">8 Diskussion und kritische Würdigung</w:t>
      </w:r>
    </w:p>
    <w:bookmarkStart w:id="160" w:name="einordnung-des-kernbefunds"/>
    <w:p>
      <w:pPr>
        <w:pStyle w:val="Heading2"/>
      </w:pPr>
      <w:r>
        <w:t xml:space="preserve">8.1 Einordnung des Kernbefunds</w:t>
      </w:r>
    </w:p>
    <w:p>
      <w:pPr>
        <w:pStyle w:val="FirstParagraph"/>
      </w:pPr>
      <w:r>
        <w:t xml:space="preserve">Der zentrale Befund – keine aktive Strategie schlägt Equal Weight in statistisch belastbarer Weise – fügt sich nahtlos in die Literatur ein. DeMiguel, Garlappi und Uppal zeigten, dass die naive 1/N-Regel out-of-sample häufig nicht zu schlagen ist, weil der Schätzfehler den Vorteil der Optimierung auffrisst (Abschnitt 2.9). Die vorliegende Untersuchung bestätigt dies an einem eigenen Datensatz: Markowitz und Equal Weight sind praktisch ununterscheidbar (</w:t>
      </w:r>
      <m:oMath>
        <m:r>
          <m:t>p</m:t>
        </m:r>
        <m:r>
          <m:rPr>
            <m:sty m:val="p"/>
          </m:rPr>
          <m:t>=</m:t>
        </m:r>
        <m:r>
          <m:t>0</m:t>
        </m:r>
        <m:r>
          <m:rPr>
            <m:sty m:val="p"/>
          </m:rPr>
          <m:t>,</m:t>
        </m:r>
        <m:r>
          <m:t>95</m:t>
        </m:r>
      </m:oMath>
      <w:r>
        <w:t xml:space="preserve">), und auch der Random Forest – der gerade die fehleranfälligste Eingangsgröße zu verbessern sucht – erzielt keinen signifikanten Vorsprung. Letzteres deckt sich mit der geringen Prognosegüte, die Gu, Kelly und Xiu für ML-Renditeprognosen berichten (Abschnitt 3.4): Wenn das Out-of-Sample-</w:t>
      </w:r>
      <m:oMath>
        <m:sSup>
          <m:e>
            <m:r>
              <m:t>R</m:t>
            </m:r>
          </m:e>
          <m:sup>
            <m:r>
              <m:t>2</m:t>
            </m:r>
          </m:sup>
        </m:sSup>
      </m:oMath>
      <w:r>
        <w:t xml:space="preserve"> </w:t>
      </w:r>
      <w:r>
        <w:t xml:space="preserve">selbst der besten Verfahren nur etwa 0,4 % beträgt, ist ein robust messbarer Performancevorsprung kaum zu erwarten.</w:t>
      </w:r>
    </w:p>
    <w:bookmarkEnd w:id="160"/>
    <w:bookmarkStart w:id="162" w:name="survivorship-bias"/>
    <w:p>
      <w:pPr>
        <w:pStyle w:val="Heading2"/>
      </w:pPr>
      <w:r>
        <w:t xml:space="preserve">8.2 Survivorship Bias</w:t>
      </w:r>
    </w:p>
    <w:p>
      <w:pPr>
        <w:pStyle w:val="FirstParagraph"/>
      </w:pPr>
      <w:r>
        <w:t xml:space="preserve">Die wichtigste Einschränkung der Untersuchung ist der Survivorship Bias. Das Anlageuniversum besteht aus fünfzehn heute noch existierenden Aktien; Titel, die im Untersuchungszeitraum ausschieden, fusionierten oder scheiterten, fehlen vollständig. Brown, Goetzmann, Ibbotson und Ross zeigen, dass eine durch Überleben „abgeschnittene” Stichprobe scheinbare Muster erzeugen kann – in ihrem Fall die scheinbare Vorhersagbarkeit von Renditen.</w:t>
      </w:r>
      <w:r>
        <w:rPr>
          <w:rStyle w:val="FootnoteReference"/>
        </w:rPr>
        <w:footnoteReference w:id="161"/>
      </w:r>
      <w:r>
        <w:t xml:space="preserve"> </w:t>
      </w:r>
      <w:r>
        <w:t xml:space="preserve">Übertragen auf die vorliegende Arbeit bedeutet dies, dass die absoluten Renditen aller vier Strategien systematisch nach oben verzerrt sind. Da jedoch sämtliche Strategien dasselbe verzerrte Universum nutzen, ist der</w:t>
      </w:r>
      <w:r>
        <w:t xml:space="preserve"> </w:t>
      </w:r>
      <w:r>
        <w:rPr>
          <w:i/>
          <w:iCs/>
        </w:rPr>
        <w:t xml:space="preserve">relative</w:t>
      </w:r>
      <w:r>
        <w:t xml:space="preserve"> </w:t>
      </w:r>
      <w:r>
        <w:t xml:space="preserve">Vergleich – und damit der Kernbefund, dass keine Strategie Equal Weight signifikant schlägt – deutlich weniger betroffen als die absoluten Renditeniveaus. Methodisch ließe sich der Bias durch ein</w:t>
      </w:r>
      <w:r>
        <w:t xml:space="preserve"> </w:t>
      </w:r>
      <w:r>
        <w:rPr>
          <w:i/>
          <w:iCs/>
        </w:rPr>
        <w:t xml:space="preserve">point-in-time</w:t>
      </w:r>
      <w:r>
        <w:t xml:space="preserve"> </w:t>
      </w:r>
      <w:r>
        <w:t xml:space="preserve">zusammengesetztes Universum vermeiden, das zu jedem Zeitpunkt die tatsächlich gehandelten – einschließlich später ausgeschiedener – Titel enthält; entsprechende Daten standen für diese Arbeit jedoch nicht zur Verfügung. Die Ergebnisse sind daher als relativer Strategievergleich aussagekräftiger denn als Prognose absoluter Renditen.</w:t>
      </w:r>
    </w:p>
    <w:bookmarkEnd w:id="162"/>
    <w:bookmarkStart w:id="164" w:name="weitere-limitationen"/>
    <w:p>
      <w:pPr>
        <w:pStyle w:val="Heading2"/>
      </w:pPr>
      <w:r>
        <w:t xml:space="preserve">8.3 Weitere Limitationen</w:t>
      </w:r>
    </w:p>
    <w:p>
      <w:pPr>
        <w:pStyle w:val="FirstParagraph"/>
      </w:pPr>
      <w:r>
        <w:t xml:space="preserve">Weitere Einschränkungen sind zu nennen. Erstens wird ein konstanter risikofreier Zins von 4 % unterstellt, obwohl die US-Zinsen über den Zeitraum erheblich schwankten; dies verzerrt die Sharpe Ratios periodenübergreifend. Zweitens sind die Transaktionskosten als pauschaler Satz modelliert. Almgren und Chriss zeigen, dass reale Ausführungskosten aus permanentem und temporärem Markteinfluss bestehen und damit von Handelsgröße und Liquidität abhängen;</w:t>
      </w:r>
      <w:r>
        <w:rPr>
          <w:rStyle w:val="FootnoteReference"/>
        </w:rPr>
        <w:footnoteReference w:id="163"/>
      </w:r>
      <w:r>
        <w:t xml:space="preserve"> </w:t>
      </w:r>
      <w:r>
        <w:t xml:space="preserve">ein pauschaler Satz unterschätzt somit die Kosten großer Umschichtungen. Drittens beruht die Untersuchung auf einem einzigen historischen Pfad, der von einem überwiegend steigenden Markt geprägt ist; die Ergebnisse sind daher regimeabhängig. Diese Limitationen schmälern die externe Validität, ändern jedoch nichts am methodisch abgesicherten Kernbefund.</w:t>
      </w:r>
    </w:p>
    <w:bookmarkEnd w:id="164"/>
    <w:bookmarkEnd w:id="165"/>
    <w:bookmarkStart w:id="168" w:name="fazit-und-ausblick"/>
    <w:p>
      <w:pPr>
        <w:pStyle w:val="Heading1"/>
      </w:pPr>
      <w:r>
        <w:t xml:space="preserve">9 Fazit und Ausblick</w:t>
      </w:r>
    </w:p>
    <w:bookmarkStart w:id="166" w:name="beantwortung-der-forschungsfrage"/>
    <w:p>
      <w:pPr>
        <w:pStyle w:val="Heading2"/>
      </w:pPr>
      <w:r>
        <w:t xml:space="preserve">9.1 Beantwortung der Forschungsfrage</w:t>
      </w:r>
    </w:p>
    <w:p>
      <w:pPr>
        <w:pStyle w:val="FirstParagraph"/>
      </w:pPr>
      <w:r>
        <w:t xml:space="preserve">Die Arbeit ging der Frage nach, ob eine Random-Forest-gestützte Portfoliooptimierung die klassische Markowitz-Optimierung und die naive 1/N-Diversifikation hinsichtlich der risikoadjustierten Rendite übertrifft – und ob ein etwaiger Vorsprung statistisch belastbar ist.</w:t>
      </w:r>
    </w:p>
    <w:p>
      <w:pPr>
        <w:pStyle w:val="BodyText"/>
      </w:pPr>
      <w:r>
        <w:t xml:space="preserve">Die Antwort fällt entlang der fünf Leitfragen klar aus. Die theoretische Analyse (LF 1) zeigte, dass die Mean-Variance-Optimierung zwar die risikoadjustierte Rendite maximiert, dabei aber entscheidend von der Schätzung der erwarteten Renditen abhängt – jener Eingangsgröße, deren Fehler am schwersten wiegen. Der Random Forest (LF 2) kann diese Schätzung prinzipiell verbessern, jedoch nur mit sehr geringer Prognosegüte. Methodisch (LF 3) wurde der Vergleich verzerrungsfrei über ein Walk-Forward-Backtesting mit Look-Ahead-Schutz und Transaktionskosten geführt. Die statistische Prüfung (LF 4) schließlich ergab das zentrale Ergebnis (LF 5): Der Random Forest erzielt zwar die höchste Sharpe Ratio (1,01), doch nach dem robusten Sharpe-Differenz-Test und der Holm-Korrektur schlägt</w:t>
      </w:r>
      <w:r>
        <w:t xml:space="preserve"> </w:t>
      </w:r>
      <w:r>
        <w:rPr>
          <w:i/>
          <w:iCs/>
        </w:rPr>
        <w:t xml:space="preserve">keine</w:t>
      </w:r>
      <w:r>
        <w:t xml:space="preserve"> </w:t>
      </w:r>
      <w:r>
        <w:t xml:space="preserve">aktive Strategie – weder der Random Forest noch die Markowitz-Optimierung – die naive 1/N-Benchmark in statistisch belastbarer Weise; signifikant ist allein, dass Risk Parity</w:t>
      </w:r>
      <w:r>
        <w:t xml:space="preserve"> </w:t>
      </w:r>
      <w:r>
        <w:rPr>
          <w:i/>
          <w:iCs/>
        </w:rPr>
        <w:t xml:space="preserve">schlechter</w:t>
      </w:r>
      <w:r>
        <w:t xml:space="preserve"> </w:t>
      </w:r>
      <w:r>
        <w:t xml:space="preserve">abschneidet als Equal Weight.</w:t>
      </w:r>
    </w:p>
    <w:p>
      <w:pPr>
        <w:pStyle w:val="BodyText"/>
      </w:pPr>
      <w:r>
        <w:t xml:space="preserve">Die Forschungsfrage ist somit zu</w:t>
      </w:r>
      <w:r>
        <w:t xml:space="preserve"> </w:t>
      </w:r>
      <w:r>
        <w:rPr>
          <w:i/>
          <w:iCs/>
        </w:rPr>
        <w:t xml:space="preserve">verneinen</w:t>
      </w:r>
      <w:r>
        <w:t xml:space="preserve">: Die untersuchten Optimierungsverfahren bieten gegenüber der einfachen Gleichgewichtung keinen statistisch gesicherten Mehrwert. Dieses Ergebnis ist kein Misserfolg, sondern eine eigenständige empirische Bestätigung des Befundes von DeMiguel, Garlappi und Uppal und unterstreicht, wie wichtig die Trennung von echtem Können und Zufall in der quantitativen Finanzforschung ist.</w:t>
      </w:r>
    </w:p>
    <w:bookmarkEnd w:id="166"/>
    <w:bookmarkStart w:id="167" w:name="ausblick"/>
    <w:p>
      <w:pPr>
        <w:pStyle w:val="Heading2"/>
      </w:pPr>
      <w:r>
        <w:t xml:space="preserve">9.2 Ausblick</w:t>
      </w:r>
    </w:p>
    <w:p>
      <w:pPr>
        <w:pStyle w:val="FirstParagraph"/>
      </w:pPr>
      <w:r>
        <w:t xml:space="preserve">Mehrere Erweiterungen bieten sich an. Der Survivorship Bias ließe sich durch ein</w:t>
      </w:r>
      <w:r>
        <w:t xml:space="preserve"> </w:t>
      </w:r>
      <w:r>
        <w:rPr>
          <w:i/>
          <w:iCs/>
        </w:rPr>
        <w:t xml:space="preserve">point-in-time</w:t>
      </w:r>
      <w:r>
        <w:t xml:space="preserve"> </w:t>
      </w:r>
      <w:r>
        <w:t xml:space="preserve">zusammengesetztes Universum verringern, das ausgeschiedene Titel einschließt. Auf der Modellseite könnten eine zeitvariable bzw. nichtlineare Kovarianzschätzung, das Black-Litterman-Modell zur Stabilisierung der erwarteten Renditen oder ein Ensemble mehrerer ML-Verfahren erprobt werden. Schließlich würde eine Auswertung über mehrere Marktphasen und zusätzliche Datensätze die Robustheit der Befunde weiter absichern.</w:t>
      </w:r>
    </w:p>
    <w:bookmarkEnd w:id="167"/>
    <w:bookmarkEnd w:id="168"/>
    <w:bookmarkStart w:id="169" w:name="literaturverzeichnis"/>
    <w:p>
      <w:pPr>
        <w:pStyle w:val="Heading1"/>
      </w:pPr>
      <w:r>
        <w:t xml:space="preserve">Literaturverzeichnis</w:t>
      </w:r>
    </w:p>
    <w:p>
      <w:pPr>
        <w:pStyle w:val="FirstParagraph"/>
      </w:pPr>
      <w:r>
        <w:t xml:space="preserve">Es wurde ausschließlich wissenschaftliche Primärliteratur (Originalaufsätze, Arbeitspapiere und eine Monografie) verwendet; Sekundärliteratur kam nicht zum Einsatz. Mehrere Quellen lagen als Arbeitspapier- bzw. Online-Fassung vor; die Seitenangaben in den Fußnoten beziehen sich auf die jeweils verwendete Fassung.</w:t>
      </w:r>
    </w:p>
    <w:p>
      <w:pPr>
        <w:pStyle w:val="BodyText"/>
      </w:pPr>
      <w:r>
        <w:t xml:space="preserve">Almgren, Robert/Chriss, Neil: Optimal Execution of Portfolio Transactions, in: Journal of Risk, Jg. 3, Nr. 2, 2000, S. 5–39.</w:t>
      </w:r>
    </w:p>
    <w:p>
      <w:pPr>
        <w:pStyle w:val="BodyText"/>
      </w:pPr>
      <w:r>
        <w:t xml:space="preserve">Bailey, David H./Borwein, Jonathan M./López de Prado, Marcos/Zhu, Qiji Jim: The Probability of Backtest Overfitting, Arbeitspapier, 2015, https://ssrn.com/abstract=2326253, letzter Aufruf am 21.06.2026 (publiziert in: Journal of Computational Finance, Jg. 20, Nr. 4, 2016, S. 39–69).</w:t>
      </w:r>
    </w:p>
    <w:p>
      <w:pPr>
        <w:pStyle w:val="BodyText"/>
      </w:pPr>
      <w:r>
        <w:t xml:space="preserve">Bailey, David H./López de Prado, Marcos: The Deflated Sharpe Ratio: Correcting for Selection Bias, Backtest Overfitting and Non-Normality, in: The Journal of Portfolio Management, Jg. 40, Nr. 5, 2014, S. 94–107.</w:t>
      </w:r>
    </w:p>
    <w:p>
      <w:pPr>
        <w:pStyle w:val="BodyText"/>
      </w:pPr>
      <w:r>
        <w:t xml:space="preserve">Best, Michael J./Grauer, Robert R.: On the Sensitivity of Mean-Variance-Efficient Portfolios to Changes in Asset Means: Some Analytical and Computational Results, in: The Review of Financial Studies, Jg. 4, Nr. 2, 1991, S. 315–342.</w:t>
      </w:r>
    </w:p>
    <w:p>
      <w:pPr>
        <w:pStyle w:val="BodyText"/>
      </w:pPr>
      <w:r>
        <w:t xml:space="preserve">Breiman, Leo: Random Forests, in: Machine Learning, Jg. 45, Nr. 1, 2001, S. 5–32.</w:t>
      </w:r>
    </w:p>
    <w:p>
      <w:pPr>
        <w:pStyle w:val="BodyText"/>
      </w:pPr>
      <w:r>
        <w:t xml:space="preserve">Brown, Stephen J./Goetzmann, William N./Ibbotson, Roger G./Ross, Stephen A.: Survivorship Bias in Performance Studies, in: The Review of Financial Studies, Jg. 5, Nr. 4, 1992, S. 553–580.</w:t>
      </w:r>
    </w:p>
    <w:p>
      <w:pPr>
        <w:pStyle w:val="BodyText"/>
      </w:pPr>
      <w:r>
        <w:t xml:space="preserve">Chopra, Vijay K./Ziemba, William T.: The Effect of Errors in Means, Variances, and Covariances on Optimal Portfolio Choice, in: The Journal of Portfolio Management, Jg. 19, Nr. 2, 1993, S. 6–11.</w:t>
      </w:r>
    </w:p>
    <w:p>
      <w:pPr>
        <w:pStyle w:val="BodyText"/>
      </w:pPr>
      <w:r>
        <w:t xml:space="preserve">DeMiguel, Victor/Garlappi, Lorenzo/Uppal, Raman: How Inefficient is the 1/N Asset-Allocation Strategy?, Arbeitspapier, 1. Dezember 2005 (publiziert als: Optimal Versus Naive Diversification: How Inefficient Is the 1/N Portfolio Strategy?, in: The Review of Financial Studies, Jg. 22, Nr. 5, 2009, S. 1915–1953).</w:t>
      </w:r>
    </w:p>
    <w:p>
      <w:pPr>
        <w:pStyle w:val="BodyText"/>
      </w:pPr>
      <w:r>
        <w:t xml:space="preserve">Gu, Shihao/Kelly, Bryan/Xiu, Dacheng: Empirical Asset Pricing via Machine Learning, NBER Working Paper Nr. 25398, National Bureau of Economic Research, 2018, https://www.nber.org/papers/w25398, letzter Aufruf am 21.06.2026 (publiziert in: The Review of Financial Studies, Jg. 33, Nr. 5, 2020, S. 2223–2273).</w:t>
      </w:r>
    </w:p>
    <w:p>
      <w:pPr>
        <w:pStyle w:val="BodyText"/>
      </w:pPr>
      <w:r>
        <w:t xml:space="preserve">Harvey, Campbell R./Liu, Yan/Zhu, Heqing: … and the Cross-Section of Expected Returns, NBER Working Paper Nr. 20592, National Bureau of Economic Research, 2014, https://www.nber.org/papers/w20592, letzter Aufruf am 21.06.2026 (publiziert in: The Review of Financial Studies, Jg. 29, Nr. 1, 2016, S. 5–68).</w:t>
      </w:r>
    </w:p>
    <w:p>
      <w:pPr>
        <w:pStyle w:val="BodyText"/>
      </w:pPr>
      <w:r>
        <w:t xml:space="preserve">Holm, Sture: A Simple Sequentially Rejective Multiple Test Procedure, in: Scandinavian Journal of Statistics, Jg. 6, Nr. 2, 1979, S. 65–70.</w:t>
      </w:r>
    </w:p>
    <w:p>
      <w:pPr>
        <w:pStyle w:val="BodyText"/>
      </w:pPr>
      <w:r>
        <w:t xml:space="preserve">Jagannathan, Ravi/Ma, Tongshu: Risk Reduction in Large Portfolios: Why Imposing the Wrong Constraints Helps, NBER Working Paper Nr. 8922, National Bureau of Economic Research, 2002, https://www.nber.org/papers/w8922, letzter Aufruf am 21.06.2026 (publiziert in: The Journal of Finance, Jg. 58, Nr. 4, 2003, S. 1651–1684).</w:t>
      </w:r>
    </w:p>
    <w:p>
      <w:pPr>
        <w:pStyle w:val="BodyText"/>
      </w:pPr>
      <w:r>
        <w:t xml:space="preserve">Jegadeesh, Narasimhan/Titman, Sheridan: Returns to Buying Winners and Selling Losers: Implications for Stock Market Efficiency, in: The Journal of Finance, Jg. 48, Nr. 1, 1993, S. 65–91.</w:t>
      </w:r>
    </w:p>
    <w:p>
      <w:pPr>
        <w:pStyle w:val="BodyText"/>
      </w:pPr>
      <w:r>
        <w:t xml:space="preserve">Ledoit, Olivier/Wolf, Michael: A Well-Conditioned Estimator for Large-Dimensional Covariance Matrices, in: Journal of Multivariate Analysis, Jg. 88, Nr. 2, 2004, S. 365–411.</w:t>
      </w:r>
    </w:p>
    <w:p>
      <w:pPr>
        <w:pStyle w:val="BodyText"/>
      </w:pPr>
      <w:r>
        <w:t xml:space="preserve">Lo, Andrew W.: The Statistics of Sharpe Ratios, in: Financial Analysts Journal, Jg. 58, Nr. 4, 2002, S. 36–52.</w:t>
      </w:r>
    </w:p>
    <w:p>
      <w:pPr>
        <w:pStyle w:val="BodyText"/>
      </w:pPr>
      <w:r>
        <w:t xml:space="preserve">López de Prado, Marcos: Advances in Financial Machine Learning, Hoboken, New Jersey, John Wiley &amp; Sons, 2018.</w:t>
      </w:r>
    </w:p>
    <w:p>
      <w:pPr>
        <w:pStyle w:val="BodyText"/>
      </w:pPr>
      <w:r>
        <w:t xml:space="preserve">Maillard, Sébastien/Roncalli, Thierry/Teïletche, Jérôme: On the Properties of Equally-Weighted Risk Contributions Portfolios, Arbeitspapier, 2009 (publiziert in: The Journal of Portfolio Management, Jg. 36, Nr. 4, 2010, S. 60–70).</w:t>
      </w:r>
    </w:p>
    <w:p>
      <w:pPr>
        <w:pStyle w:val="BodyText"/>
      </w:pPr>
      <w:r>
        <w:t xml:space="preserve">Markowitz, Harry: Portfolio Selection, in: The Journal of Finance, Jg. 7, Nr. 1, 1952, S. 77–91.</w:t>
      </w:r>
    </w:p>
    <w:p>
      <w:pPr>
        <w:pStyle w:val="BodyText"/>
      </w:pPr>
      <w:r>
        <w:t xml:space="preserve">Merton, Robert C.: On Estimating the Expected Return on the Market: An Exploratory Investigation, NBER Working Paper Nr. 444, National Bureau of Economic Research, 1980, https://www.nber.org/papers/w0444, letzter Aufruf am 21.06.2026 (publiziert in: Journal of Financial Economics, Jg. 8, Nr. 4, 1980, S. 323–361).</w:t>
      </w:r>
    </w:p>
    <w:p>
      <w:pPr>
        <w:pStyle w:val="BodyText"/>
      </w:pPr>
      <w:r>
        <w:t xml:space="preserve">Michaud, Richard O.: The Markowitz Optimization Enigma: Is „Optimized” Optimal?, in: Financial Analysts Journal, Jg. 45, Nr. 1, 1989, S. 31–42.</w:t>
      </w:r>
    </w:p>
    <w:p>
      <w:pPr>
        <w:pStyle w:val="BodyText"/>
      </w:pPr>
      <w:r>
        <w:t xml:space="preserve">Politis, Dimitris N./Romano, Joseph P.: The Stationary Bootstrap, in: Journal of the American Statistical Association, Jg. 89, Nr. 428, 1994, S. 1303–1313.</w:t>
      </w:r>
    </w:p>
    <w:p>
      <w:pPr>
        <w:pStyle w:val="BodyText"/>
      </w:pPr>
      <w:r>
        <w:t xml:space="preserve">Qian, Edward: Risk Parity Portfolios: Efficient Portfolios Through True Diversification, Research Paper, PanAgora Asset Management, September 2005.</w:t>
      </w:r>
    </w:p>
    <w:p>
      <w:pPr>
        <w:pStyle w:val="BodyText"/>
      </w:pPr>
      <w:r>
        <w:t xml:space="preserve">Sharpe, William F.: The Sharpe Ratio, in: The Journal of Portfolio Management, Jg. 21, Nr. 1, 1994, S. 49–58 (zitiert nach dem Online-Nachdruck: https://web.stanford.edu/~wfsharpe/art/sr/sr.htm, letzter Aufruf am 21.06.2026).</w:t>
      </w:r>
    </w:p>
    <w:p>
      <w:pPr>
        <w:pStyle w:val="BodyText"/>
      </w:pPr>
      <w:r>
        <w:t xml:space="preserve">Wolf, Michael: Robust Performance Hypothesis Testing with the Sharpe Ratio, Working Paper Nr. 320, Institute for Empirical Research in Economics, University of Zurich, 2007, https://ssrn.com/abstract=985038, letzter Aufruf am 21.06.2026 (publiziert als: Ledoit, Olivier/Wolf, Michael, in: Journal of Empirical Finance, Jg. 15, Nr. 5, 2008, S. 850–859).</w:t>
      </w:r>
    </w:p>
    <w:bookmarkEnd w:id="169"/>
    <w:p>
      <w:r>
        <w:br w:type="page"/>
      </w:r>
    </w:p>
    <w:p>
      <w:pPr>
        <w:pStyle w:val="Heading1"/>
      </w:pPr>
      <w:r>
        <w:t>Schlusserklärung</w:t>
      </w:r>
    </w:p>
    <w:p>
      <w:r>
        <w:t>[Hier fügt der Verfasser die unterschriebene Schlusserklärung gemäß den Formalien ein (inkl. Angabe der verwendeten KI-Tools und ihres Verwendungszwecks).]</w:t>
      </w:r>
    </w:p>
    <w:p>
      <w:r>
        <w:br w:type="page"/>
      </w:r>
    </w:p>
    <w:p>
      <w:pPr>
        <w:pStyle w:val="Heading1"/>
      </w:pPr>
      <w:r>
        <w:t>Anhang</w:t>
      </w:r>
    </w:p>
    <w:p>
      <w:r>
        <w:t>Der vollständige Quellcode der Implementierung, sämtliche erzeugten Abbildungen (kumulierte Renditen, Gewichtsverläufe, Effizienzlinie, rollierender Sharpe, Feature-Importance/SHAP, Stress-Test, Turnover-Analyse) sowie die Protokolldateien (CSV/JSON) befinden sich im begleitenden Repository. Die genauen Wortlaute der verwendeten KI-Prompts sind hier aufzuführen.</w:t>
      </w:r>
    </w:p>
    <w:sectPr>
      <w:footerReference w:type="default" r:id="rId9"/>
      <w:footnotePr>
        <w:numRestart w:val="eachSect"/>
      </w:footnotePr>
      <w:pgMar w:bottom="1417"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Markowitz, S. 77</w:t>
      </w:r>
    </w:p>
  </w:footnote>
  <w:footnote w:id="10">
    <w:p>
      <w:pPr>
        <w:pStyle w:val="FootnoteText"/>
      </w:pPr>
      <w:r>
        <w:rPr>
          <w:rStyle w:val="FootnoteReference"/>
        </w:rPr>
        <w:footnoteRef/>
      </w:r>
      <w:r>
        <w:t xml:space="preserve"> </w:t>
      </w:r>
      <w:r>
        <w:t xml:space="preserve">DeMiguel et al., S. 3</w:t>
      </w:r>
    </w:p>
  </w:footnote>
  <w:footnote w:id="11">
    <w:p>
      <w:pPr>
        <w:pStyle w:val="FootnoteText"/>
      </w:pPr>
      <w:r>
        <w:rPr>
          <w:rStyle w:val="FootnoteReference"/>
        </w:rPr>
        <w:footnoteRef/>
      </w:r>
      <w:r>
        <w:t xml:space="preserve"> </w:t>
      </w:r>
      <w:r>
        <w:t xml:space="preserve">Gu/Kelly/Xiu, PDF-S. 2</w:t>
      </w:r>
    </w:p>
  </w:footnote>
  <w:footnote w:id="16">
    <w:p>
      <w:pPr>
        <w:pStyle w:val="FootnoteText"/>
      </w:pPr>
      <w:r>
        <w:rPr>
          <w:rStyle w:val="FootnoteReference"/>
        </w:rPr>
        <w:footnoteRef/>
      </w:r>
      <w:r>
        <w:t xml:space="preserve"> </w:t>
      </w:r>
      <w:r>
        <w:t xml:space="preserve">Markowitz, S. 77</w:t>
      </w:r>
    </w:p>
  </w:footnote>
  <w:footnote w:id="17">
    <w:p>
      <w:pPr>
        <w:pStyle w:val="FootnoteText"/>
      </w:pPr>
      <w:r>
        <w:rPr>
          <w:rStyle w:val="FootnoteReference"/>
        </w:rPr>
        <w:footnoteRef/>
      </w:r>
      <w:r>
        <w:t xml:space="preserve"> </w:t>
      </w:r>
      <w:r>
        <w:t xml:space="preserve">Markowitz, S. 77</w:t>
      </w:r>
    </w:p>
  </w:footnote>
  <w:footnote w:id="18">
    <w:p>
      <w:pPr>
        <w:pStyle w:val="FootnoteText"/>
      </w:pPr>
      <w:r>
        <w:rPr>
          <w:rStyle w:val="FootnoteReference"/>
        </w:rPr>
        <w:footnoteRef/>
      </w:r>
      <w:r>
        <w:t xml:space="preserve"> </w:t>
      </w:r>
      <w:r>
        <w:t xml:space="preserve">Markowitz, S. 80</w:t>
      </w:r>
    </w:p>
  </w:footnote>
  <w:footnote w:id="19">
    <w:p>
      <w:pPr>
        <w:pStyle w:val="FootnoteText"/>
      </w:pPr>
      <w:r>
        <w:rPr>
          <w:rStyle w:val="FootnoteReference"/>
        </w:rPr>
        <w:footnoteRef/>
      </w:r>
      <w:r>
        <w:t xml:space="preserve"> </w:t>
      </w:r>
      <w:r>
        <w:t xml:space="preserve">Markowitz, S. 89</w:t>
      </w:r>
    </w:p>
  </w:footnote>
  <w:footnote w:id="21">
    <w:p>
      <w:pPr>
        <w:pStyle w:val="FootnoteText"/>
      </w:pPr>
      <w:r>
        <w:rPr>
          <w:rStyle w:val="FootnoteReference"/>
        </w:rPr>
        <w:footnoteRef/>
      </w:r>
      <w:r>
        <w:t xml:space="preserve"> </w:t>
      </w:r>
      <w:r>
        <w:t xml:space="preserve">Markowitz, S. 77</w:t>
      </w:r>
    </w:p>
  </w:footnote>
  <w:footnote w:id="22">
    <w:p>
      <w:pPr>
        <w:pStyle w:val="FootnoteText"/>
      </w:pPr>
      <w:r>
        <w:rPr>
          <w:rStyle w:val="FootnoteReference"/>
        </w:rPr>
        <w:footnoteRef/>
      </w:r>
      <w:r>
        <w:t xml:space="preserve"> </w:t>
      </w:r>
      <w:r>
        <w:t xml:space="preserve">Markowitz, S. 79</w:t>
      </w:r>
    </w:p>
  </w:footnote>
  <w:footnote w:id="23">
    <w:p>
      <w:pPr>
        <w:pStyle w:val="FootnoteText"/>
      </w:pPr>
      <w:r>
        <w:rPr>
          <w:rStyle w:val="FootnoteReference"/>
        </w:rPr>
        <w:footnoteRef/>
      </w:r>
      <w:r>
        <w:t xml:space="preserve"> </w:t>
      </w:r>
      <w:r>
        <w:t xml:space="preserve">Markowitz, S. 81</w:t>
      </w:r>
    </w:p>
  </w:footnote>
  <w:footnote w:id="24">
    <w:p>
      <w:pPr>
        <w:pStyle w:val="FootnoteText"/>
      </w:pPr>
      <w:r>
        <w:rPr>
          <w:rStyle w:val="FootnoteReference"/>
        </w:rPr>
        <w:footnoteRef/>
      </w:r>
      <w:r>
        <w:t xml:space="preserve"> </w:t>
      </w:r>
      <w:r>
        <w:t xml:space="preserve">Markowitz, S. 89</w:t>
      </w:r>
    </w:p>
  </w:footnote>
  <w:footnote w:id="25">
    <w:p>
      <w:pPr>
        <w:pStyle w:val="FootnoteText"/>
      </w:pPr>
      <w:r>
        <w:rPr>
          <w:rStyle w:val="FootnoteReference"/>
        </w:rPr>
        <w:footnoteRef/>
      </w:r>
      <w:r>
        <w:t xml:space="preserve"> </w:t>
      </w:r>
      <w:r>
        <w:t xml:space="preserve">Markowitz, S. 89</w:t>
      </w:r>
    </w:p>
  </w:footnote>
  <w:footnote w:id="27">
    <w:p>
      <w:pPr>
        <w:pStyle w:val="FootnoteText"/>
      </w:pPr>
      <w:r>
        <w:rPr>
          <w:rStyle w:val="FootnoteReference"/>
        </w:rPr>
        <w:footnoteRef/>
      </w:r>
      <w:r>
        <w:t xml:space="preserve"> </w:t>
      </w:r>
      <w:r>
        <w:t xml:space="preserve">Markowitz, S. 81</w:t>
      </w:r>
    </w:p>
  </w:footnote>
  <w:footnote w:id="28">
    <w:p>
      <w:pPr>
        <w:pStyle w:val="FootnoteText"/>
      </w:pPr>
      <w:r>
        <w:rPr>
          <w:rStyle w:val="FootnoteReference"/>
        </w:rPr>
        <w:footnoteRef/>
      </w:r>
      <w:r>
        <w:t xml:space="preserve"> </w:t>
      </w:r>
      <w:r>
        <w:t xml:space="preserve">Markowitz, S. 81</w:t>
      </w:r>
    </w:p>
  </w:footnote>
  <w:footnote w:id="29">
    <w:p>
      <w:pPr>
        <w:pStyle w:val="FootnoteText"/>
      </w:pPr>
      <w:r>
        <w:rPr>
          <w:rStyle w:val="FootnoteReference"/>
        </w:rPr>
        <w:footnoteRef/>
      </w:r>
      <w:r>
        <w:t xml:space="preserve"> </w:t>
      </w:r>
      <w:r>
        <w:t xml:space="preserve">Markowitz, S. 79</w:t>
      </w:r>
    </w:p>
  </w:footnote>
  <w:footnote w:id="30">
    <w:p>
      <w:pPr>
        <w:pStyle w:val="FootnoteText"/>
      </w:pPr>
      <w:r>
        <w:rPr>
          <w:rStyle w:val="FootnoteReference"/>
        </w:rPr>
        <w:footnoteRef/>
      </w:r>
      <w:r>
        <w:t xml:space="preserve"> </w:t>
      </w:r>
      <w:r>
        <w:t xml:space="preserve">Markowitz, S. 82</w:t>
      </w:r>
    </w:p>
  </w:footnote>
  <w:footnote w:id="31">
    <w:p>
      <w:pPr>
        <w:pStyle w:val="FootnoteText"/>
      </w:pPr>
      <w:r>
        <w:rPr>
          <w:rStyle w:val="FootnoteReference"/>
        </w:rPr>
        <w:footnoteRef/>
      </w:r>
      <w:r>
        <w:t xml:space="preserve"> </w:t>
      </w:r>
      <w:r>
        <w:t xml:space="preserve">Markowitz, S. 79</w:t>
      </w:r>
    </w:p>
  </w:footnote>
  <w:footnote w:id="32">
    <w:p>
      <w:pPr>
        <w:pStyle w:val="FootnoteText"/>
      </w:pPr>
      <w:r>
        <w:rPr>
          <w:rStyle w:val="FootnoteReference"/>
        </w:rPr>
        <w:footnoteRef/>
      </w:r>
      <w:r>
        <w:t xml:space="preserve"> </w:t>
      </w:r>
      <w:r>
        <w:t xml:space="preserve">Markowitz, S. 82</w:t>
      </w:r>
    </w:p>
  </w:footnote>
  <w:footnote w:id="34">
    <w:p>
      <w:pPr>
        <w:pStyle w:val="FootnoteText"/>
      </w:pPr>
      <w:r>
        <w:rPr>
          <w:rStyle w:val="FootnoteReference"/>
        </w:rPr>
        <w:footnoteRef/>
      </w:r>
      <w:r>
        <w:t xml:space="preserve"> </w:t>
      </w:r>
      <w:r>
        <w:t xml:space="preserve">Markowitz, S. 82</w:t>
      </w:r>
    </w:p>
  </w:footnote>
  <w:footnote w:id="35">
    <w:p>
      <w:pPr>
        <w:pStyle w:val="FootnoteText"/>
      </w:pPr>
      <w:r>
        <w:rPr>
          <w:rStyle w:val="FootnoteReference"/>
        </w:rPr>
        <w:footnoteRef/>
      </w:r>
      <w:r>
        <w:t xml:space="preserve"> </w:t>
      </w:r>
      <w:r>
        <w:t xml:space="preserve">Markowitz, S. 82</w:t>
      </w:r>
    </w:p>
  </w:footnote>
  <w:footnote w:id="36">
    <w:p>
      <w:pPr>
        <w:pStyle w:val="FootnoteText"/>
      </w:pPr>
      <w:r>
        <w:rPr>
          <w:rStyle w:val="FootnoteReference"/>
        </w:rPr>
        <w:footnoteRef/>
      </w:r>
      <w:r>
        <w:t xml:space="preserve"> </w:t>
      </w:r>
      <w:r>
        <w:t xml:space="preserve">Sharpe, S. 8 f.</w:t>
      </w:r>
    </w:p>
  </w:footnote>
  <w:footnote w:id="38">
    <w:p>
      <w:pPr>
        <w:pStyle w:val="FootnoteText"/>
      </w:pPr>
      <w:r>
        <w:rPr>
          <w:rStyle w:val="FootnoteReference"/>
        </w:rPr>
        <w:footnoteRef/>
      </w:r>
      <w:r>
        <w:t xml:space="preserve"> </w:t>
      </w:r>
      <w:r>
        <w:t xml:space="preserve">Sharpe, S. 1</w:t>
      </w:r>
    </w:p>
  </w:footnote>
  <w:footnote w:id="39">
    <w:p>
      <w:pPr>
        <w:pStyle w:val="FootnoteText"/>
      </w:pPr>
      <w:r>
        <w:rPr>
          <w:rStyle w:val="FootnoteReference"/>
        </w:rPr>
        <w:footnoteRef/>
      </w:r>
      <w:r>
        <w:t xml:space="preserve"> </w:t>
      </w:r>
      <w:r>
        <w:t xml:space="preserve">Sharpe, S. 1</w:t>
      </w:r>
    </w:p>
  </w:footnote>
  <w:footnote w:id="40">
    <w:p>
      <w:pPr>
        <w:pStyle w:val="FootnoteText"/>
      </w:pPr>
      <w:r>
        <w:rPr>
          <w:rStyle w:val="FootnoteReference"/>
        </w:rPr>
        <w:footnoteRef/>
      </w:r>
      <w:r>
        <w:t xml:space="preserve"> </w:t>
      </w:r>
      <w:r>
        <w:t xml:space="preserve">Sharpe, S. 1 f.</w:t>
      </w:r>
    </w:p>
  </w:footnote>
  <w:footnote w:id="41">
    <w:p>
      <w:pPr>
        <w:pStyle w:val="FootnoteText"/>
      </w:pPr>
      <w:r>
        <w:rPr>
          <w:rStyle w:val="FootnoteReference"/>
        </w:rPr>
        <w:footnoteRef/>
      </w:r>
      <w:r>
        <w:t xml:space="preserve"> </w:t>
      </w:r>
      <w:r>
        <w:t xml:space="preserve">Sharpe, S. 5</w:t>
      </w:r>
    </w:p>
  </w:footnote>
  <w:footnote w:id="42">
    <w:p>
      <w:pPr>
        <w:pStyle w:val="FootnoteText"/>
      </w:pPr>
      <w:r>
        <w:rPr>
          <w:rStyle w:val="FootnoteReference"/>
        </w:rPr>
        <w:footnoteRef/>
      </w:r>
      <w:r>
        <w:t xml:space="preserve"> </w:t>
      </w:r>
      <w:r>
        <w:t xml:space="preserve">Sharpe, S. 2</w:t>
      </w:r>
    </w:p>
  </w:footnote>
  <w:footnote w:id="43">
    <w:p>
      <w:pPr>
        <w:pStyle w:val="FootnoteText"/>
      </w:pPr>
      <w:r>
        <w:rPr>
          <w:rStyle w:val="FootnoteReference"/>
        </w:rPr>
        <w:footnoteRef/>
      </w:r>
      <w:r>
        <w:t xml:space="preserve"> </w:t>
      </w:r>
      <w:r>
        <w:t xml:space="preserve">Sharpe, S. 3</w:t>
      </w:r>
    </w:p>
  </w:footnote>
  <w:footnote w:id="44">
    <w:p>
      <w:pPr>
        <w:pStyle w:val="FootnoteText"/>
      </w:pPr>
      <w:r>
        <w:rPr>
          <w:rStyle w:val="FootnoteReference"/>
        </w:rPr>
        <w:footnoteRef/>
      </w:r>
      <w:r>
        <w:t xml:space="preserve"> </w:t>
      </w:r>
      <w:r>
        <w:t xml:space="preserve">Sharpe, S. 3</w:t>
      </w:r>
    </w:p>
  </w:footnote>
  <w:footnote w:id="45">
    <w:p>
      <w:pPr>
        <w:pStyle w:val="FootnoteText"/>
      </w:pPr>
      <w:r>
        <w:rPr>
          <w:rStyle w:val="FootnoteReference"/>
        </w:rPr>
        <w:footnoteRef/>
      </w:r>
      <w:r>
        <w:t xml:space="preserve"> </w:t>
      </w:r>
      <w:r>
        <w:t xml:space="preserve">Sharpe, S. 3 f.</w:t>
      </w:r>
    </w:p>
  </w:footnote>
  <w:footnote w:id="46">
    <w:p>
      <w:pPr>
        <w:pStyle w:val="FootnoteText"/>
      </w:pPr>
      <w:r>
        <w:rPr>
          <w:rStyle w:val="FootnoteReference"/>
        </w:rPr>
        <w:footnoteRef/>
      </w:r>
      <w:r>
        <w:t xml:space="preserve"> </w:t>
      </w:r>
      <w:r>
        <w:t xml:space="preserve">Sharpe, S. 4</w:t>
      </w:r>
    </w:p>
  </w:footnote>
  <w:footnote w:id="47">
    <w:p>
      <w:pPr>
        <w:pStyle w:val="FootnoteText"/>
      </w:pPr>
      <w:r>
        <w:rPr>
          <w:rStyle w:val="FootnoteReference"/>
        </w:rPr>
        <w:footnoteRef/>
      </w:r>
      <w:r>
        <w:t xml:space="preserve"> </w:t>
      </w:r>
      <w:r>
        <w:t xml:space="preserve">Lo, S. 36</w:t>
      </w:r>
    </w:p>
  </w:footnote>
  <w:footnote w:id="48">
    <w:p>
      <w:pPr>
        <w:pStyle w:val="FootnoteText"/>
      </w:pPr>
      <w:r>
        <w:rPr>
          <w:rStyle w:val="FootnoteReference"/>
        </w:rPr>
        <w:footnoteRef/>
      </w:r>
      <w:r>
        <w:t xml:space="preserve"> </w:t>
      </w:r>
      <w:r>
        <w:t xml:space="preserve">Lo, S. 38</w:t>
      </w:r>
    </w:p>
  </w:footnote>
  <w:footnote w:id="49">
    <w:p>
      <w:pPr>
        <w:pStyle w:val="FootnoteText"/>
      </w:pPr>
      <w:r>
        <w:rPr>
          <w:rStyle w:val="FootnoteReference"/>
        </w:rPr>
        <w:footnoteRef/>
      </w:r>
      <w:r>
        <w:t xml:space="preserve"> </w:t>
      </w:r>
      <w:r>
        <w:t xml:space="preserve">Lo, S. 36 u. 40</w:t>
      </w:r>
    </w:p>
  </w:footnote>
  <w:footnote w:id="50">
    <w:p>
      <w:pPr>
        <w:pStyle w:val="FootnoteText"/>
      </w:pPr>
      <w:r>
        <w:rPr>
          <w:rStyle w:val="FootnoteReference"/>
        </w:rPr>
        <w:footnoteRef/>
      </w:r>
      <w:r>
        <w:t xml:space="preserve"> </w:t>
      </w:r>
      <w:r>
        <w:t xml:space="preserve">Lo, S. 40 f.</w:t>
      </w:r>
    </w:p>
  </w:footnote>
  <w:footnote w:id="51">
    <w:p>
      <w:pPr>
        <w:pStyle w:val="FootnoteText"/>
      </w:pPr>
      <w:r>
        <w:rPr>
          <w:rStyle w:val="FootnoteReference"/>
        </w:rPr>
        <w:footnoteRef/>
      </w:r>
      <w:r>
        <w:t xml:space="preserve"> </w:t>
      </w:r>
      <w:r>
        <w:t xml:space="preserve">Sharpe, S. 4 u. 13</w:t>
      </w:r>
    </w:p>
  </w:footnote>
  <w:footnote w:id="53">
    <w:p>
      <w:pPr>
        <w:pStyle w:val="FootnoteText"/>
      </w:pPr>
      <w:r>
        <w:rPr>
          <w:rStyle w:val="FootnoteReference"/>
        </w:rPr>
        <w:footnoteRef/>
      </w:r>
      <w:r>
        <w:t xml:space="preserve"> </w:t>
      </w:r>
      <w:r>
        <w:t xml:space="preserve">Markowitz, S. 91</w:t>
      </w:r>
    </w:p>
  </w:footnote>
  <w:footnote w:id="54">
    <w:p>
      <w:pPr>
        <w:pStyle w:val="FootnoteText"/>
      </w:pPr>
      <w:r>
        <w:rPr>
          <w:rStyle w:val="FootnoteReference"/>
        </w:rPr>
        <w:footnoteRef/>
      </w:r>
      <w:r>
        <w:t xml:space="preserve"> </w:t>
      </w:r>
      <w:r>
        <w:t xml:space="preserve">Michaud, S. 31</w:t>
      </w:r>
    </w:p>
  </w:footnote>
  <w:footnote w:id="55">
    <w:p>
      <w:pPr>
        <w:pStyle w:val="FootnoteText"/>
      </w:pPr>
      <w:r>
        <w:rPr>
          <w:rStyle w:val="FootnoteReference"/>
        </w:rPr>
        <w:footnoteRef/>
      </w:r>
      <w:r>
        <w:t xml:space="preserve"> </w:t>
      </w:r>
      <w:r>
        <w:t xml:space="preserve">Michaud, S. 31</w:t>
      </w:r>
    </w:p>
  </w:footnote>
  <w:footnote w:id="56">
    <w:p>
      <w:pPr>
        <w:pStyle w:val="FootnoteText"/>
      </w:pPr>
      <w:r>
        <w:rPr>
          <w:rStyle w:val="FootnoteReference"/>
        </w:rPr>
        <w:footnoteRef/>
      </w:r>
      <w:r>
        <w:t xml:space="preserve"> </w:t>
      </w:r>
      <w:r>
        <w:t xml:space="preserve">Chopra/Ziemba, S. 7</w:t>
      </w:r>
    </w:p>
  </w:footnote>
  <w:footnote w:id="57">
    <w:p>
      <w:pPr>
        <w:pStyle w:val="FootnoteText"/>
      </w:pPr>
      <w:r>
        <w:rPr>
          <w:rStyle w:val="FootnoteReference"/>
        </w:rPr>
        <w:footnoteRef/>
      </w:r>
      <w:r>
        <w:t xml:space="preserve"> </w:t>
      </w:r>
      <w:r>
        <w:t xml:space="preserve">Chopra/Ziemba, S. 7</w:t>
      </w:r>
    </w:p>
  </w:footnote>
  <w:footnote w:id="58">
    <w:p>
      <w:pPr>
        <w:pStyle w:val="FootnoteText"/>
      </w:pPr>
      <w:r>
        <w:rPr>
          <w:rStyle w:val="FootnoteReference"/>
        </w:rPr>
        <w:footnoteRef/>
      </w:r>
      <w:r>
        <w:t xml:space="preserve"> </w:t>
      </w:r>
      <w:r>
        <w:t xml:space="preserve">Chopra/Ziemba, S. 10 (Exhibit 5)</w:t>
      </w:r>
    </w:p>
  </w:footnote>
  <w:footnote w:id="59">
    <w:p>
      <w:pPr>
        <w:pStyle w:val="FootnoteText"/>
      </w:pPr>
      <w:r>
        <w:rPr>
          <w:rStyle w:val="FootnoteReference"/>
        </w:rPr>
        <w:footnoteRef/>
      </w:r>
      <w:r>
        <w:t xml:space="preserve"> </w:t>
      </w:r>
      <w:r>
        <w:t xml:space="preserve">Chopra/Ziemba, S. 9</w:t>
      </w:r>
    </w:p>
  </w:footnote>
  <w:footnote w:id="60">
    <w:p>
      <w:pPr>
        <w:pStyle w:val="FootnoteText"/>
      </w:pPr>
      <w:r>
        <w:rPr>
          <w:rStyle w:val="FootnoteReference"/>
        </w:rPr>
        <w:footnoteRef/>
      </w:r>
      <w:r>
        <w:t xml:space="preserve"> </w:t>
      </w:r>
      <w:r>
        <w:t xml:space="preserve">Best/Grauer, S. 315</w:t>
      </w:r>
    </w:p>
  </w:footnote>
  <w:footnote w:id="61">
    <w:p>
      <w:pPr>
        <w:pStyle w:val="FootnoteText"/>
      </w:pPr>
      <w:r>
        <w:rPr>
          <w:rStyle w:val="FootnoteReference"/>
        </w:rPr>
        <w:footnoteRef/>
      </w:r>
      <w:r>
        <w:t xml:space="preserve"> </w:t>
      </w:r>
      <w:r>
        <w:t xml:space="preserve">Merton, PDF-S. 14</w:t>
      </w:r>
    </w:p>
  </w:footnote>
  <w:footnote w:id="63">
    <w:p>
      <w:pPr>
        <w:pStyle w:val="FootnoteText"/>
      </w:pPr>
      <w:r>
        <w:rPr>
          <w:rStyle w:val="FootnoteReference"/>
        </w:rPr>
        <w:footnoteRef/>
      </w:r>
      <w:r>
        <w:t xml:space="preserve"> </w:t>
      </w:r>
      <w:r>
        <w:t xml:space="preserve">Ledoit/Wolf 2004, S. 365</w:t>
      </w:r>
    </w:p>
  </w:footnote>
  <w:footnote w:id="64">
    <w:p>
      <w:pPr>
        <w:pStyle w:val="FootnoteText"/>
      </w:pPr>
      <w:r>
        <w:rPr>
          <w:rStyle w:val="FootnoteReference"/>
        </w:rPr>
        <w:footnoteRef/>
      </w:r>
      <w:r>
        <w:t xml:space="preserve"> </w:t>
      </w:r>
      <w:r>
        <w:t xml:space="preserve">Ledoit/Wolf 2004, S. 365</w:t>
      </w:r>
    </w:p>
  </w:footnote>
  <w:footnote w:id="65">
    <w:p>
      <w:pPr>
        <w:pStyle w:val="FootnoteText"/>
      </w:pPr>
      <w:r>
        <w:rPr>
          <w:rStyle w:val="FootnoteReference"/>
        </w:rPr>
        <w:footnoteRef/>
      </w:r>
      <w:r>
        <w:t xml:space="preserve"> </w:t>
      </w:r>
      <w:r>
        <w:t xml:space="preserve">Ledoit/Wolf 2004, S. 365</w:t>
      </w:r>
    </w:p>
  </w:footnote>
  <w:footnote w:id="66">
    <w:p>
      <w:pPr>
        <w:pStyle w:val="FootnoteText"/>
      </w:pPr>
      <w:r>
        <w:rPr>
          <w:rStyle w:val="FootnoteReference"/>
        </w:rPr>
        <w:footnoteRef/>
      </w:r>
      <w:r>
        <w:t xml:space="preserve"> </w:t>
      </w:r>
      <w:r>
        <w:t xml:space="preserve">Ledoit/Wolf 2004, S. 365</w:t>
      </w:r>
    </w:p>
  </w:footnote>
  <w:footnote w:id="68">
    <w:p>
      <w:pPr>
        <w:pStyle w:val="FootnoteText"/>
      </w:pPr>
      <w:r>
        <w:rPr>
          <w:rStyle w:val="FootnoteReference"/>
        </w:rPr>
        <w:footnoteRef/>
      </w:r>
      <w:r>
        <w:t xml:space="preserve"> </w:t>
      </w:r>
      <w:r>
        <w:t xml:space="preserve">Jagannathan/Ma 2003, Abstract</w:t>
      </w:r>
    </w:p>
  </w:footnote>
  <w:footnote w:id="69">
    <w:p>
      <w:pPr>
        <w:pStyle w:val="FootnoteText"/>
      </w:pPr>
      <w:r>
        <w:rPr>
          <w:rStyle w:val="FootnoteReference"/>
        </w:rPr>
        <w:footnoteRef/>
      </w:r>
      <w:r>
        <w:t xml:space="preserve"> </w:t>
      </w:r>
      <w:r>
        <w:t xml:space="preserve">Jagannathan/Ma 2003, Abstract</w:t>
      </w:r>
    </w:p>
  </w:footnote>
  <w:footnote w:id="70">
    <w:p>
      <w:pPr>
        <w:pStyle w:val="FootnoteText"/>
      </w:pPr>
      <w:r>
        <w:rPr>
          <w:rStyle w:val="FootnoteReference"/>
        </w:rPr>
        <w:footnoteRef/>
      </w:r>
      <w:r>
        <w:t xml:space="preserve"> </w:t>
      </w:r>
      <w:r>
        <w:t xml:space="preserve">Jagannathan/Ma 2003, Abstract</w:t>
      </w:r>
    </w:p>
  </w:footnote>
  <w:footnote w:id="72">
    <w:p>
      <w:pPr>
        <w:pStyle w:val="FootnoteText"/>
      </w:pPr>
      <w:r>
        <w:rPr>
          <w:rStyle w:val="FootnoteReference"/>
        </w:rPr>
        <w:footnoteRef/>
      </w:r>
      <w:r>
        <w:t xml:space="preserve"> </w:t>
      </w:r>
      <w:r>
        <w:t xml:space="preserve">DeMiguel et al., S. 1</w:t>
      </w:r>
    </w:p>
  </w:footnote>
  <w:footnote w:id="73">
    <w:p>
      <w:pPr>
        <w:pStyle w:val="FootnoteText"/>
      </w:pPr>
      <w:r>
        <w:rPr>
          <w:rStyle w:val="FootnoteReference"/>
        </w:rPr>
        <w:footnoteRef/>
      </w:r>
      <w:r>
        <w:t xml:space="preserve"> </w:t>
      </w:r>
      <w:r>
        <w:t xml:space="preserve">DeMiguel et al., S. 1</w:t>
      </w:r>
    </w:p>
  </w:footnote>
  <w:footnote w:id="74">
    <w:p>
      <w:pPr>
        <w:pStyle w:val="FootnoteText"/>
      </w:pPr>
      <w:r>
        <w:rPr>
          <w:rStyle w:val="FootnoteReference"/>
        </w:rPr>
        <w:footnoteRef/>
      </w:r>
      <w:r>
        <w:t xml:space="preserve"> </w:t>
      </w:r>
      <w:r>
        <w:t xml:space="preserve">DeMiguel et al., S. 3</w:t>
      </w:r>
    </w:p>
  </w:footnote>
  <w:footnote w:id="75">
    <w:p>
      <w:pPr>
        <w:pStyle w:val="FootnoteText"/>
      </w:pPr>
      <w:r>
        <w:rPr>
          <w:rStyle w:val="FootnoteReference"/>
        </w:rPr>
        <w:footnoteRef/>
      </w:r>
      <w:r>
        <w:t xml:space="preserve"> </w:t>
      </w:r>
      <w:r>
        <w:t xml:space="preserve">DeMiguel et al., S. 3</w:t>
      </w:r>
    </w:p>
  </w:footnote>
  <w:footnote w:id="76">
    <w:p>
      <w:pPr>
        <w:pStyle w:val="FootnoteText"/>
      </w:pPr>
      <w:r>
        <w:rPr>
          <w:rStyle w:val="FootnoteReference"/>
        </w:rPr>
        <w:footnoteRef/>
      </w:r>
      <w:r>
        <w:t xml:space="preserve"> </w:t>
      </w:r>
      <w:r>
        <w:t xml:space="preserve">DeMiguel et al., S. 3</w:t>
      </w:r>
    </w:p>
  </w:footnote>
  <w:footnote w:id="78">
    <w:p>
      <w:pPr>
        <w:pStyle w:val="FootnoteText"/>
      </w:pPr>
      <w:r>
        <w:rPr>
          <w:rStyle w:val="FootnoteReference"/>
        </w:rPr>
        <w:footnoteRef/>
      </w:r>
      <w:r>
        <w:t xml:space="preserve"> </w:t>
      </w:r>
      <w:r>
        <w:t xml:space="preserve">Qian, S. 1</w:t>
      </w:r>
    </w:p>
  </w:footnote>
  <w:footnote w:id="79">
    <w:p>
      <w:pPr>
        <w:pStyle w:val="FootnoteText"/>
      </w:pPr>
      <w:r>
        <w:rPr>
          <w:rStyle w:val="FootnoteReference"/>
        </w:rPr>
        <w:footnoteRef/>
      </w:r>
      <w:r>
        <w:t xml:space="preserve"> </w:t>
      </w:r>
      <w:r>
        <w:t xml:space="preserve">Maillard et al., S. 4</w:t>
      </w:r>
    </w:p>
  </w:footnote>
  <w:footnote w:id="80">
    <w:p>
      <w:pPr>
        <w:pStyle w:val="FootnoteText"/>
      </w:pPr>
      <w:r>
        <w:rPr>
          <w:rStyle w:val="FootnoteReference"/>
        </w:rPr>
        <w:footnoteRef/>
      </w:r>
      <w:r>
        <w:t xml:space="preserve"> </w:t>
      </w:r>
      <w:r>
        <w:t xml:space="preserve">Maillard et al., S. 4</w:t>
      </w:r>
    </w:p>
  </w:footnote>
  <w:footnote w:id="81">
    <w:p>
      <w:pPr>
        <w:pStyle w:val="FootnoteText"/>
      </w:pPr>
      <w:r>
        <w:rPr>
          <w:rStyle w:val="FootnoteReference"/>
        </w:rPr>
        <w:footnoteRef/>
      </w:r>
      <w:r>
        <w:t xml:space="preserve"> </w:t>
      </w:r>
      <w:r>
        <w:t xml:space="preserve">Maillard et al., S. 4</w:t>
      </w:r>
    </w:p>
  </w:footnote>
  <w:footnote w:id="82">
    <w:p>
      <w:pPr>
        <w:pStyle w:val="FootnoteText"/>
      </w:pPr>
      <w:r>
        <w:rPr>
          <w:rStyle w:val="FootnoteReference"/>
        </w:rPr>
        <w:footnoteRef/>
      </w:r>
      <w:r>
        <w:t xml:space="preserve"> </w:t>
      </w:r>
      <w:r>
        <w:t xml:space="preserve">Maillard et al., S. 4</w:t>
      </w:r>
    </w:p>
  </w:footnote>
  <w:footnote w:id="85">
    <w:p>
      <w:pPr>
        <w:pStyle w:val="FootnoteText"/>
      </w:pPr>
      <w:r>
        <w:rPr>
          <w:rStyle w:val="FootnoteReference"/>
        </w:rPr>
        <w:footnoteRef/>
      </w:r>
      <w:r>
        <w:t xml:space="preserve"> </w:t>
      </w:r>
      <w:r>
        <w:t xml:space="preserve">Breiman, S. 26</w:t>
      </w:r>
    </w:p>
  </w:footnote>
  <w:footnote w:id="87">
    <w:p>
      <w:pPr>
        <w:pStyle w:val="FootnoteText"/>
      </w:pPr>
      <w:r>
        <w:rPr>
          <w:rStyle w:val="FootnoteReference"/>
        </w:rPr>
        <w:footnoteRef/>
      </w:r>
      <w:r>
        <w:t xml:space="preserve"> </w:t>
      </w:r>
      <w:r>
        <w:t xml:space="preserve">Breiman, S. 26</w:t>
      </w:r>
    </w:p>
  </w:footnote>
  <w:footnote w:id="88">
    <w:p>
      <w:pPr>
        <w:pStyle w:val="FootnoteText"/>
      </w:pPr>
      <w:r>
        <w:rPr>
          <w:rStyle w:val="FootnoteReference"/>
        </w:rPr>
        <w:footnoteRef/>
      </w:r>
      <w:r>
        <w:t xml:space="preserve"> </w:t>
      </w:r>
      <w:r>
        <w:t xml:space="preserve">Breiman, S. 6</w:t>
      </w:r>
    </w:p>
  </w:footnote>
  <w:footnote w:id="90">
    <w:p>
      <w:pPr>
        <w:pStyle w:val="FootnoteText"/>
      </w:pPr>
      <w:r>
        <w:rPr>
          <w:rStyle w:val="FootnoteReference"/>
        </w:rPr>
        <w:footnoteRef/>
      </w:r>
      <w:r>
        <w:t xml:space="preserve"> </w:t>
      </w:r>
      <w:r>
        <w:t xml:space="preserve">Breiman, S. 6 u. 26</w:t>
      </w:r>
    </w:p>
  </w:footnote>
  <w:footnote w:id="91">
    <w:p>
      <w:pPr>
        <w:pStyle w:val="FootnoteText"/>
      </w:pPr>
      <w:r>
        <w:rPr>
          <w:rStyle w:val="FootnoteReference"/>
        </w:rPr>
        <w:footnoteRef/>
      </w:r>
      <w:r>
        <w:t xml:space="preserve"> </w:t>
      </w:r>
      <w:r>
        <w:t xml:space="preserve">Breiman, S. 5 f.</w:t>
      </w:r>
    </w:p>
  </w:footnote>
  <w:footnote w:id="92">
    <w:p>
      <w:pPr>
        <w:pStyle w:val="FootnoteText"/>
      </w:pPr>
      <w:r>
        <w:rPr>
          <w:rStyle w:val="FootnoteReference"/>
        </w:rPr>
        <w:footnoteRef/>
      </w:r>
      <w:r>
        <w:t xml:space="preserve"> </w:t>
      </w:r>
      <w:r>
        <w:t xml:space="preserve">Breiman, S. 5 f.</w:t>
      </w:r>
    </w:p>
  </w:footnote>
  <w:footnote w:id="93">
    <w:p>
      <w:pPr>
        <w:pStyle w:val="FootnoteText"/>
      </w:pPr>
      <w:r>
        <w:rPr>
          <w:rStyle w:val="FootnoteReference"/>
        </w:rPr>
        <w:footnoteRef/>
      </w:r>
      <w:r>
        <w:t xml:space="preserve"> </w:t>
      </w:r>
      <w:r>
        <w:t xml:space="preserve">Breiman, S. 6 u. 26</w:t>
      </w:r>
    </w:p>
  </w:footnote>
  <w:footnote w:id="94">
    <w:p>
      <w:pPr>
        <w:pStyle w:val="FootnoteText"/>
      </w:pPr>
      <w:r>
        <w:rPr>
          <w:rStyle w:val="FootnoteReference"/>
        </w:rPr>
        <w:footnoteRef/>
      </w:r>
      <w:r>
        <w:t xml:space="preserve"> </w:t>
      </w:r>
      <w:r>
        <w:t xml:space="preserve">Breiman, S. 26</w:t>
      </w:r>
    </w:p>
  </w:footnote>
  <w:footnote w:id="95">
    <w:p>
      <w:pPr>
        <w:pStyle w:val="FootnoteText"/>
      </w:pPr>
      <w:r>
        <w:rPr>
          <w:rStyle w:val="FootnoteReference"/>
        </w:rPr>
        <w:footnoteRef/>
      </w:r>
      <w:r>
        <w:t xml:space="preserve"> </w:t>
      </w:r>
      <w:r>
        <w:t xml:space="preserve">Breiman, S. 27</w:t>
      </w:r>
    </w:p>
  </w:footnote>
  <w:footnote w:id="97">
    <w:p>
      <w:pPr>
        <w:pStyle w:val="FootnoteText"/>
      </w:pPr>
      <w:r>
        <w:rPr>
          <w:rStyle w:val="FootnoteReference"/>
        </w:rPr>
        <w:footnoteRef/>
      </w:r>
      <w:r>
        <w:t xml:space="preserve"> </w:t>
      </w:r>
      <w:r>
        <w:t xml:space="preserve">Gu/Kelly/Xiu, PDF-S. 2</w:t>
      </w:r>
    </w:p>
  </w:footnote>
  <w:footnote w:id="98">
    <w:p>
      <w:pPr>
        <w:pStyle w:val="FootnoteText"/>
      </w:pPr>
      <w:r>
        <w:rPr>
          <w:rStyle w:val="FootnoteReference"/>
        </w:rPr>
        <w:footnoteRef/>
      </w:r>
      <w:r>
        <w:t xml:space="preserve"> </w:t>
      </w:r>
      <w:r>
        <w:t xml:space="preserve">Gu/Kelly/Xiu, PDF-S. 2</w:t>
      </w:r>
    </w:p>
  </w:footnote>
  <w:footnote w:id="99">
    <w:p>
      <w:pPr>
        <w:pStyle w:val="FootnoteText"/>
      </w:pPr>
      <w:r>
        <w:rPr>
          <w:rStyle w:val="FootnoteReference"/>
        </w:rPr>
        <w:footnoteRef/>
      </w:r>
      <w:r>
        <w:t xml:space="preserve"> </w:t>
      </w:r>
      <w:r>
        <w:t xml:space="preserve">Gu/Kelly/Xiu, PDF-S. 6</w:t>
      </w:r>
    </w:p>
  </w:footnote>
  <w:footnote w:id="100">
    <w:p>
      <w:pPr>
        <w:pStyle w:val="FootnoteText"/>
      </w:pPr>
      <w:r>
        <w:rPr>
          <w:rStyle w:val="FootnoteReference"/>
        </w:rPr>
        <w:footnoteRef/>
      </w:r>
      <w:r>
        <w:t xml:space="preserve"> </w:t>
      </w:r>
      <w:r>
        <w:t xml:space="preserve">Gu/Kelly/Xiu, PDF-S. 6 u. 12</w:t>
      </w:r>
    </w:p>
  </w:footnote>
  <w:footnote w:id="101">
    <w:p>
      <w:pPr>
        <w:pStyle w:val="FootnoteText"/>
      </w:pPr>
      <w:r>
        <w:rPr>
          <w:rStyle w:val="FootnoteReference"/>
        </w:rPr>
        <w:footnoteRef/>
      </w:r>
      <w:r>
        <w:t xml:space="preserve"> </w:t>
      </w:r>
      <w:r>
        <w:t xml:space="preserve">Gu/Kelly/Xiu, PDF-S. 3</w:t>
      </w:r>
    </w:p>
  </w:footnote>
  <w:footnote w:id="102">
    <w:p>
      <w:pPr>
        <w:pStyle w:val="FootnoteText"/>
      </w:pPr>
      <w:r>
        <w:rPr>
          <w:rStyle w:val="FootnoteReference"/>
        </w:rPr>
        <w:footnoteRef/>
      </w:r>
      <w:r>
        <w:t xml:space="preserve"> </w:t>
      </w:r>
      <w:r>
        <w:t xml:space="preserve">Gu/Kelly/Xiu, PDF-S. 3 u. 12</w:t>
      </w:r>
    </w:p>
  </w:footnote>
  <w:footnote w:id="106">
    <w:p>
      <w:pPr>
        <w:pStyle w:val="FootnoteText"/>
      </w:pPr>
      <w:r>
        <w:rPr>
          <w:rStyle w:val="FootnoteReference"/>
        </w:rPr>
        <w:footnoteRef/>
      </w:r>
      <w:r>
        <w:t xml:space="preserve"> </w:t>
      </w:r>
      <w:r>
        <w:t xml:space="preserve">Gu/Kelly/Xiu, PDF-S. 2</w:t>
      </w:r>
    </w:p>
  </w:footnote>
  <w:footnote w:id="107">
    <w:p>
      <w:pPr>
        <w:pStyle w:val="FootnoteText"/>
      </w:pPr>
      <w:r>
        <w:rPr>
          <w:rStyle w:val="FootnoteReference"/>
        </w:rPr>
        <w:footnoteRef/>
      </w:r>
      <w:r>
        <w:t xml:space="preserve"> </w:t>
      </w:r>
      <w:r>
        <w:t xml:space="preserve">Jegadeesh/Titman, S. 65</w:t>
      </w:r>
    </w:p>
  </w:footnote>
  <w:footnote w:id="114">
    <w:p>
      <w:pPr>
        <w:pStyle w:val="FootnoteText"/>
      </w:pPr>
      <w:r>
        <w:rPr>
          <w:rStyle w:val="FootnoteReference"/>
        </w:rPr>
        <w:footnoteRef/>
      </w:r>
      <w:r>
        <w:t xml:space="preserve"> </w:t>
      </w:r>
      <w:r>
        <w:t xml:space="preserve">Sharpe, S. 13</w:t>
      </w:r>
    </w:p>
  </w:footnote>
  <w:footnote w:id="115">
    <w:p>
      <w:pPr>
        <w:pStyle w:val="FootnoteText"/>
      </w:pPr>
      <w:r>
        <w:rPr>
          <w:rStyle w:val="FootnoteReference"/>
        </w:rPr>
        <w:footnoteRef/>
      </w:r>
      <w:r>
        <w:t xml:space="preserve"> </w:t>
      </w:r>
      <w:r>
        <w:t xml:space="preserve">Lo, S. 36</w:t>
      </w:r>
    </w:p>
  </w:footnote>
  <w:footnote w:id="116">
    <w:p>
      <w:pPr>
        <w:pStyle w:val="FootnoteText"/>
      </w:pPr>
      <w:r>
        <w:rPr>
          <w:rStyle w:val="FootnoteReference"/>
        </w:rPr>
        <w:footnoteRef/>
      </w:r>
      <w:r>
        <w:t xml:space="preserve"> </w:t>
      </w:r>
      <w:r>
        <w:t xml:space="preserve">Wolf 2007, PDF-S. 1</w:t>
      </w:r>
    </w:p>
  </w:footnote>
  <w:footnote w:id="117">
    <w:p>
      <w:pPr>
        <w:pStyle w:val="FootnoteText"/>
      </w:pPr>
      <w:r>
        <w:rPr>
          <w:rStyle w:val="FootnoteReference"/>
        </w:rPr>
        <w:footnoteRef/>
      </w:r>
      <w:r>
        <w:t xml:space="preserve"> </w:t>
      </w:r>
      <w:r>
        <w:t xml:space="preserve">Wolf 2007, PDF-S. 2</w:t>
      </w:r>
    </w:p>
  </w:footnote>
  <w:footnote w:id="118">
    <w:p>
      <w:pPr>
        <w:pStyle w:val="FootnoteText"/>
      </w:pPr>
      <w:r>
        <w:rPr>
          <w:rStyle w:val="FootnoteReference"/>
        </w:rPr>
        <w:footnoteRef/>
      </w:r>
      <w:r>
        <w:t xml:space="preserve"> </w:t>
      </w:r>
      <w:r>
        <w:t xml:space="preserve">Wolf 2007, PDF-S. 3</w:t>
      </w:r>
    </w:p>
  </w:footnote>
  <w:footnote w:id="120">
    <w:p>
      <w:pPr>
        <w:pStyle w:val="FootnoteText"/>
      </w:pPr>
      <w:r>
        <w:rPr>
          <w:rStyle w:val="FootnoteReference"/>
        </w:rPr>
        <w:footnoteRef/>
      </w:r>
      <w:r>
        <w:t xml:space="preserve"> </w:t>
      </w:r>
      <w:r>
        <w:t xml:space="preserve">Wolf 2007, PDF-S. 1</w:t>
      </w:r>
    </w:p>
  </w:footnote>
  <w:footnote w:id="121">
    <w:p>
      <w:pPr>
        <w:pStyle w:val="FootnoteText"/>
      </w:pPr>
      <w:r>
        <w:rPr>
          <w:rStyle w:val="FootnoteReference"/>
        </w:rPr>
        <w:footnoteRef/>
      </w:r>
      <w:r>
        <w:t xml:space="preserve"> </w:t>
      </w:r>
      <w:r>
        <w:t xml:space="preserve">Wolf 2007, PDF-S. 3 f.</w:t>
      </w:r>
    </w:p>
  </w:footnote>
  <w:footnote w:id="122">
    <w:p>
      <w:pPr>
        <w:pStyle w:val="FootnoteText"/>
      </w:pPr>
      <w:r>
        <w:rPr>
          <w:rStyle w:val="FootnoteReference"/>
        </w:rPr>
        <w:footnoteRef/>
      </w:r>
      <w:r>
        <w:t xml:space="preserve"> </w:t>
      </w:r>
      <w:r>
        <w:t xml:space="preserve">Wolf 2007, PDF-S. 4</w:t>
      </w:r>
    </w:p>
  </w:footnote>
  <w:footnote w:id="123">
    <w:p>
      <w:pPr>
        <w:pStyle w:val="FootnoteText"/>
      </w:pPr>
      <w:r>
        <w:rPr>
          <w:rStyle w:val="FootnoteReference"/>
        </w:rPr>
        <w:footnoteRef/>
      </w:r>
      <w:r>
        <w:t xml:space="preserve"> </w:t>
      </w:r>
      <w:r>
        <w:t xml:space="preserve">Wolf 2007, PDF-S. 5</w:t>
      </w:r>
    </w:p>
  </w:footnote>
  <w:footnote w:id="124">
    <w:p>
      <w:pPr>
        <w:pStyle w:val="FootnoteText"/>
      </w:pPr>
      <w:r>
        <w:rPr>
          <w:rStyle w:val="FootnoteReference"/>
        </w:rPr>
        <w:footnoteRef/>
      </w:r>
      <w:r>
        <w:t xml:space="preserve"> </w:t>
      </w:r>
      <w:r>
        <w:t xml:space="preserve">Wolf 2007, PDF-S. 6</w:t>
      </w:r>
    </w:p>
  </w:footnote>
  <w:footnote w:id="125">
    <w:p>
      <w:pPr>
        <w:pStyle w:val="FootnoteText"/>
      </w:pPr>
      <w:r>
        <w:rPr>
          <w:rStyle w:val="FootnoteReference"/>
        </w:rPr>
        <w:footnoteRef/>
      </w:r>
      <w:r>
        <w:t xml:space="preserve"> </w:t>
      </w:r>
      <w:r>
        <w:t xml:space="preserve">Wolf 2007, PDF-S. 6</w:t>
      </w:r>
    </w:p>
  </w:footnote>
  <w:footnote w:id="126">
    <w:p>
      <w:pPr>
        <w:pStyle w:val="FootnoteText"/>
      </w:pPr>
      <w:r>
        <w:rPr>
          <w:rStyle w:val="FootnoteReference"/>
        </w:rPr>
        <w:footnoteRef/>
      </w:r>
      <w:r>
        <w:t xml:space="preserve"> </w:t>
      </w:r>
      <w:r>
        <w:t xml:space="preserve">Wolf 2007, PDF-S. 6 f.</w:t>
      </w:r>
    </w:p>
  </w:footnote>
  <w:footnote w:id="127">
    <w:p>
      <w:pPr>
        <w:pStyle w:val="FootnoteText"/>
      </w:pPr>
      <w:r>
        <w:rPr>
          <w:rStyle w:val="FootnoteReference"/>
        </w:rPr>
        <w:footnoteRef/>
      </w:r>
      <w:r>
        <w:t xml:space="preserve"> </w:t>
      </w:r>
      <w:r>
        <w:t xml:space="preserve">Politis/Romano, S. 1303</w:t>
      </w:r>
    </w:p>
  </w:footnote>
  <w:footnote w:id="128">
    <w:p>
      <w:pPr>
        <w:pStyle w:val="FootnoteText"/>
      </w:pPr>
      <w:r>
        <w:rPr>
          <w:rStyle w:val="FootnoteReference"/>
        </w:rPr>
        <w:footnoteRef/>
      </w:r>
      <w:r>
        <w:t xml:space="preserve"> </w:t>
      </w:r>
      <w:r>
        <w:t xml:space="preserve">Wolf 2007, PDF-S. 6</w:t>
      </w:r>
    </w:p>
  </w:footnote>
  <w:footnote w:id="130">
    <w:p>
      <w:pPr>
        <w:pStyle w:val="FootnoteText"/>
      </w:pPr>
      <w:r>
        <w:rPr>
          <w:rStyle w:val="FootnoteReference"/>
        </w:rPr>
        <w:footnoteRef/>
      </w:r>
      <w:r>
        <w:t xml:space="preserve"> </w:t>
      </w:r>
      <w:r>
        <w:t xml:space="preserve">Harvey/Liu/Zhu, S. 5</w:t>
      </w:r>
    </w:p>
  </w:footnote>
  <w:footnote w:id="131">
    <w:p>
      <w:pPr>
        <w:pStyle w:val="FootnoteText"/>
      </w:pPr>
      <w:r>
        <w:rPr>
          <w:rStyle w:val="FootnoteReference"/>
        </w:rPr>
        <w:footnoteRef/>
      </w:r>
      <w:r>
        <w:t xml:space="preserve"> </w:t>
      </w:r>
      <w:r>
        <w:t xml:space="preserve">Harvey/Liu/Zhu, S. 1</w:t>
      </w:r>
    </w:p>
  </w:footnote>
  <w:footnote w:id="132">
    <w:p>
      <w:pPr>
        <w:pStyle w:val="FootnoteText"/>
      </w:pPr>
      <w:r>
        <w:rPr>
          <w:rStyle w:val="FootnoteReference"/>
        </w:rPr>
        <w:footnoteRef/>
      </w:r>
      <w:r>
        <w:t xml:space="preserve"> </w:t>
      </w:r>
      <w:r>
        <w:t xml:space="preserve">Harvey/Liu/Zhu, S. 9</w:t>
      </w:r>
    </w:p>
  </w:footnote>
  <w:footnote w:id="133">
    <w:p>
      <w:pPr>
        <w:pStyle w:val="FootnoteText"/>
      </w:pPr>
      <w:r>
        <w:rPr>
          <w:rStyle w:val="FootnoteReference"/>
        </w:rPr>
        <w:footnoteRef/>
      </w:r>
      <w:r>
        <w:t xml:space="preserve"> </w:t>
      </w:r>
      <w:r>
        <w:t xml:space="preserve">Harvey/Liu/Zhu, S. 9</w:t>
      </w:r>
    </w:p>
  </w:footnote>
  <w:footnote w:id="134">
    <w:p>
      <w:pPr>
        <w:pStyle w:val="FootnoteText"/>
      </w:pPr>
      <w:r>
        <w:rPr>
          <w:rStyle w:val="FootnoteReference"/>
        </w:rPr>
        <w:footnoteRef/>
      </w:r>
      <w:r>
        <w:t xml:space="preserve"> </w:t>
      </w:r>
      <w:r>
        <w:t xml:space="preserve">Harvey/Liu/Zhu, S. 11</w:t>
      </w:r>
    </w:p>
  </w:footnote>
  <w:footnote w:id="135">
    <w:p>
      <w:pPr>
        <w:pStyle w:val="FootnoteText"/>
      </w:pPr>
      <w:r>
        <w:rPr>
          <w:rStyle w:val="FootnoteReference"/>
        </w:rPr>
        <w:footnoteRef/>
      </w:r>
      <w:r>
        <w:t xml:space="preserve"> </w:t>
      </w:r>
      <w:r>
        <w:t xml:space="preserve">Holm, S. 65</w:t>
      </w:r>
    </w:p>
  </w:footnote>
  <w:footnote w:id="137">
    <w:p>
      <w:pPr>
        <w:pStyle w:val="FootnoteText"/>
      </w:pPr>
      <w:r>
        <w:rPr>
          <w:rStyle w:val="FootnoteReference"/>
        </w:rPr>
        <w:footnoteRef/>
      </w:r>
      <w:r>
        <w:t xml:space="preserve"> </w:t>
      </w:r>
      <w:r>
        <w:t xml:space="preserve">Bailey/López de Prado, S. 2 u. 6</w:t>
      </w:r>
    </w:p>
  </w:footnote>
  <w:footnote w:id="138">
    <w:p>
      <w:pPr>
        <w:pStyle w:val="FootnoteText"/>
      </w:pPr>
      <w:r>
        <w:rPr>
          <w:rStyle w:val="FootnoteReference"/>
        </w:rPr>
        <w:footnoteRef/>
      </w:r>
      <w:r>
        <w:t xml:space="preserve"> </w:t>
      </w:r>
      <w:r>
        <w:t xml:space="preserve">Bailey et al., S. 1 u. 4</w:t>
      </w:r>
    </w:p>
  </w:footnote>
  <w:footnote w:id="139">
    <w:p>
      <w:pPr>
        <w:pStyle w:val="FootnoteText"/>
      </w:pPr>
      <w:r>
        <w:rPr>
          <w:rStyle w:val="FootnoteReference"/>
        </w:rPr>
        <w:footnoteRef/>
      </w:r>
      <w:r>
        <w:t xml:space="preserve"> </w:t>
      </w:r>
      <w:r>
        <w:t xml:space="preserve">Bailey/López de Prado, S. 7</w:t>
      </w:r>
    </w:p>
  </w:footnote>
  <w:footnote w:id="140">
    <w:p>
      <w:pPr>
        <w:pStyle w:val="FootnoteText"/>
      </w:pPr>
      <w:r>
        <w:rPr>
          <w:rStyle w:val="FootnoteReference"/>
        </w:rPr>
        <w:footnoteRef/>
      </w:r>
      <w:r>
        <w:t xml:space="preserve"> </w:t>
      </w:r>
      <w:r>
        <w:t xml:space="preserve">Bailey/López de Prado, S. 8</w:t>
      </w:r>
    </w:p>
  </w:footnote>
  <w:footnote w:id="141">
    <w:p>
      <w:pPr>
        <w:pStyle w:val="FootnoteText"/>
      </w:pPr>
      <w:r>
        <w:rPr>
          <w:rStyle w:val="FootnoteReference"/>
        </w:rPr>
        <w:footnoteRef/>
      </w:r>
      <w:r>
        <w:t xml:space="preserve"> </w:t>
      </w:r>
      <w:r>
        <w:t xml:space="preserve">Bailey/López de Prado, S. 2</w:t>
      </w:r>
    </w:p>
  </w:footnote>
  <w:footnote w:id="142">
    <w:p>
      <w:pPr>
        <w:pStyle w:val="FootnoteText"/>
      </w:pPr>
      <w:r>
        <w:rPr>
          <w:rStyle w:val="FootnoteReference"/>
        </w:rPr>
        <w:footnoteRef/>
      </w:r>
      <w:r>
        <w:t xml:space="preserve"> </w:t>
      </w:r>
      <w:r>
        <w:t xml:space="preserve">Bailey/López de Prado, S. 7 f.</w:t>
      </w:r>
    </w:p>
  </w:footnote>
  <w:footnote w:id="143">
    <w:p>
      <w:pPr>
        <w:pStyle w:val="FootnoteText"/>
      </w:pPr>
      <w:r>
        <w:rPr>
          <w:rStyle w:val="FootnoteReference"/>
        </w:rPr>
        <w:footnoteRef/>
      </w:r>
      <w:r>
        <w:t xml:space="preserve"> </w:t>
      </w:r>
      <w:r>
        <w:t xml:space="preserve">Bailey/López de Prado, S. 8</w:t>
      </w:r>
    </w:p>
  </w:footnote>
  <w:footnote w:id="144">
    <w:p>
      <w:pPr>
        <w:pStyle w:val="FootnoteText"/>
      </w:pPr>
      <w:r>
        <w:rPr>
          <w:rStyle w:val="FootnoteReference"/>
        </w:rPr>
        <w:footnoteRef/>
      </w:r>
      <w:r>
        <w:t xml:space="preserve"> </w:t>
      </w:r>
      <w:r>
        <w:t xml:space="preserve">Bailey/López de Prado, S. 2</w:t>
      </w:r>
    </w:p>
  </w:footnote>
  <w:footnote w:id="146">
    <w:p>
      <w:pPr>
        <w:pStyle w:val="FootnoteText"/>
      </w:pPr>
      <w:r>
        <w:rPr>
          <w:rStyle w:val="FootnoteReference"/>
        </w:rPr>
        <w:footnoteRef/>
      </w:r>
      <w:r>
        <w:t xml:space="preserve"> </w:t>
      </w:r>
      <w:r>
        <w:t xml:space="preserve">López de Prado, S. 104</w:t>
      </w:r>
    </w:p>
  </w:footnote>
  <w:footnote w:id="147">
    <w:p>
      <w:pPr>
        <w:pStyle w:val="FootnoteText"/>
      </w:pPr>
      <w:r>
        <w:rPr>
          <w:rStyle w:val="FootnoteReference"/>
        </w:rPr>
        <w:footnoteRef/>
      </w:r>
      <w:r>
        <w:t xml:space="preserve"> </w:t>
      </w:r>
      <w:r>
        <w:t xml:space="preserve">López de Prado, S. 105</w:t>
      </w:r>
    </w:p>
  </w:footnote>
  <w:footnote w:id="148">
    <w:p>
      <w:pPr>
        <w:pStyle w:val="FootnoteText"/>
      </w:pPr>
      <w:r>
        <w:rPr>
          <w:rStyle w:val="FootnoteReference"/>
        </w:rPr>
        <w:footnoteRef/>
      </w:r>
      <w:r>
        <w:t xml:space="preserve"> </w:t>
      </w:r>
      <w:r>
        <w:t xml:space="preserve">López de Prado, S. 105</w:t>
      </w:r>
    </w:p>
  </w:footnote>
  <w:footnote w:id="149">
    <w:p>
      <w:pPr>
        <w:pStyle w:val="FootnoteText"/>
      </w:pPr>
      <w:r>
        <w:rPr>
          <w:rStyle w:val="FootnoteReference"/>
        </w:rPr>
        <w:footnoteRef/>
      </w:r>
      <w:r>
        <w:t xml:space="preserve"> </w:t>
      </w:r>
      <w:r>
        <w:t xml:space="preserve">López de Prado, S. 105</w:t>
      </w:r>
    </w:p>
  </w:footnote>
  <w:footnote w:id="150">
    <w:p>
      <w:pPr>
        <w:pStyle w:val="FootnoteText"/>
      </w:pPr>
      <w:r>
        <w:rPr>
          <w:rStyle w:val="FootnoteReference"/>
        </w:rPr>
        <w:footnoteRef/>
      </w:r>
      <w:r>
        <w:t xml:space="preserve"> </w:t>
      </w:r>
      <w:r>
        <w:t xml:space="preserve">López de Prado, S. 107</w:t>
      </w:r>
    </w:p>
  </w:footnote>
  <w:footnote w:id="161">
    <w:p>
      <w:pPr>
        <w:pStyle w:val="FootnoteText"/>
      </w:pPr>
      <w:r>
        <w:rPr>
          <w:rStyle w:val="FootnoteReference"/>
        </w:rPr>
        <w:footnoteRef/>
      </w:r>
      <w:r>
        <w:t xml:space="preserve"> </w:t>
      </w:r>
      <w:r>
        <w:t xml:space="preserve">Brown et al., S. 553</w:t>
      </w:r>
    </w:p>
  </w:footnote>
  <w:footnote w:id="163">
    <w:p>
      <w:pPr>
        <w:pStyle w:val="FootnoteText"/>
      </w:pPr>
      <w:r>
        <w:rPr>
          <w:rStyle w:val="FootnoteReference"/>
        </w:rPr>
        <w:footnoteRef/>
      </w:r>
      <w:r>
        <w:t xml:space="preserve"> </w:t>
      </w:r>
      <w:r>
        <w:t xml:space="preserve">Almgren/Chriss, S. 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pPr>
    <w:rPr>
      <w:rFonts w:ascii="Times New Roman" w:cs="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heme="majorEastAsia" w:hAnsi="Times New Roman" w:hAnsiTheme="majorHAnsi"/>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360" w:lineRule="auto"/>
      <w:outlineLvl w:val="0"/>
    </w:pPr>
    <w:rPr>
      <w:rFonts w:ascii="Times New Roman" w:asciiTheme="majorHAnsi" w:cs="Times New Roman" w:cstheme="majorBidi" w:eastAsiaTheme="majorEastAsia" w:hAnsi="Times New Roman" w:hAnsiTheme="majorHAnsi"/>
      <w:b/>
      <w:color w:themeColor="accent1" w:themeShade="BF" w:val="0F4761"/>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outlineLvl w:val="1"/>
    </w:pPr>
    <w:rPr>
      <w:rFonts w:ascii="Times New Roman" w:asciiTheme="majorHAnsi" w:cs="Times New Roman" w:cstheme="majorBidi" w:eastAsiaTheme="majorEastAsia" w:hAnsi="Times New Roman" w:hAnsiTheme="majorHAnsi"/>
      <w:b/>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360" w:lineRule="auto"/>
      <w:outlineLvl w:val="2"/>
    </w:pPr>
    <w:rPr>
      <w:rFonts w:ascii="Times New Roman" w:cs="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line="240" w:lineRule="auto"/>
    </w:pPr>
    <w:rPr>
      <w:rFonts w:ascii="Times New Roman" w:cs="Times New Roman" w:hAnsi="Times New Roman"/>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2026-06-26T20:49:11Z</dcterms:created>
  <dcterms:modified xsi:type="dcterms:W3CDTF">2026-06-26T20:49:11Z</dcterms:modified>
</cp:coreProperties>
</file>

<file path=docProps/custom.xml><?xml version="1.0" encoding="utf-8"?>
<Properties xmlns="http://schemas.openxmlformats.org/officeDocument/2006/custom-properties" xmlns:vt="http://schemas.openxmlformats.org/officeDocument/2006/docPropsVTypes"/>
</file>