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imes New Roman" w:eastAsiaTheme="minorEastAsia" w:hAnsi="Times New Roman" w:cs="Times New Roman"/>
          <w:color w:val="auto"/>
          <w:sz w:val="24"/>
          <w:szCs w:val="24"/>
        </w:rPr>
        <w:id w:val="-1402445254"/>
        <w:docPartObj>
          <w:docPartGallery w:val="Table of Contents"/>
          <w:docPartUnique/>
        </w:docPartObj>
      </w:sdtPr>
      <w:sdtContent>
        <w:p w14:paraId="54549D6C" w14:textId="77777777" w:rsidR="00FA1406" w:rsidRDefault="00000000">
          <w:pPr>
            <w:pStyle w:val="Inhaltsverzeichnisberschrift"/>
          </w:pPr>
          <w:r>
            <w:t>Table of Contents</w:t>
          </w:r>
        </w:p>
        <w:p w14:paraId="4D282747" w14:textId="77777777" w:rsidR="009118F6" w:rsidRDefault="00000000">
          <w:pPr>
            <w:pStyle w:val="Verzeichnis1"/>
            <w:tabs>
              <w:tab w:val="right" w:leader="dot" w:pos="8829"/>
            </w:tabs>
            <w:rPr>
              <w:noProof/>
            </w:rPr>
          </w:pPr>
          <w:r>
            <w:fldChar w:fldCharType="begin"/>
          </w:r>
          <w:r>
            <w:instrText>TOC \o "1-3" \h \z \u</w:instrText>
          </w:r>
          <w:r>
            <w:fldChar w:fldCharType="separate"/>
          </w:r>
          <w:hyperlink w:anchor="_Toc234524374" w:history="1">
            <w:r w:rsidR="009118F6" w:rsidRPr="000E4D9E">
              <w:rPr>
                <w:rStyle w:val="Hyperlink"/>
                <w:noProof/>
              </w:rPr>
              <w:t>Inhaltsverzeichnis</w:t>
            </w:r>
            <w:r w:rsidR="009118F6">
              <w:rPr>
                <w:noProof/>
                <w:webHidden/>
              </w:rPr>
              <w:tab/>
            </w:r>
            <w:r w:rsidR="009118F6">
              <w:rPr>
                <w:noProof/>
                <w:webHidden/>
              </w:rPr>
              <w:fldChar w:fldCharType="begin"/>
            </w:r>
            <w:r w:rsidR="009118F6">
              <w:rPr>
                <w:noProof/>
                <w:webHidden/>
              </w:rPr>
              <w:instrText xml:space="preserve"> PAGEREF _Toc234524374 \h </w:instrText>
            </w:r>
            <w:r w:rsidR="009118F6">
              <w:rPr>
                <w:noProof/>
                <w:webHidden/>
              </w:rPr>
            </w:r>
            <w:r w:rsidR="009118F6">
              <w:rPr>
                <w:noProof/>
                <w:webHidden/>
              </w:rPr>
              <w:fldChar w:fldCharType="separate"/>
            </w:r>
            <w:r w:rsidR="009118F6">
              <w:rPr>
                <w:noProof/>
                <w:webHidden/>
              </w:rPr>
              <w:t>1</w:t>
            </w:r>
            <w:r w:rsidR="009118F6">
              <w:rPr>
                <w:noProof/>
                <w:webHidden/>
              </w:rPr>
              <w:fldChar w:fldCharType="end"/>
            </w:r>
          </w:hyperlink>
        </w:p>
        <w:p w14:paraId="1877AFFA" w14:textId="77777777" w:rsidR="009118F6" w:rsidRDefault="009118F6">
          <w:pPr>
            <w:pStyle w:val="Verzeichnis1"/>
            <w:tabs>
              <w:tab w:val="right" w:leader="dot" w:pos="8829"/>
            </w:tabs>
            <w:rPr>
              <w:noProof/>
            </w:rPr>
          </w:pPr>
          <w:hyperlink w:anchor="_Toc234524375" w:history="1">
            <w:r w:rsidRPr="000E4D9E">
              <w:rPr>
                <w:rStyle w:val="Hyperlink"/>
                <w:noProof/>
              </w:rPr>
              <w:t>1 Einleitung</w:t>
            </w:r>
            <w:r>
              <w:rPr>
                <w:noProof/>
                <w:webHidden/>
              </w:rPr>
              <w:tab/>
            </w:r>
            <w:r>
              <w:rPr>
                <w:noProof/>
                <w:webHidden/>
              </w:rPr>
              <w:fldChar w:fldCharType="begin"/>
            </w:r>
            <w:r>
              <w:rPr>
                <w:noProof/>
                <w:webHidden/>
              </w:rPr>
              <w:instrText xml:space="preserve"> PAGEREF _Toc234524375 \h </w:instrText>
            </w:r>
            <w:r>
              <w:rPr>
                <w:noProof/>
                <w:webHidden/>
              </w:rPr>
            </w:r>
            <w:r>
              <w:rPr>
                <w:noProof/>
                <w:webHidden/>
              </w:rPr>
              <w:fldChar w:fldCharType="separate"/>
            </w:r>
            <w:r>
              <w:rPr>
                <w:noProof/>
                <w:webHidden/>
              </w:rPr>
              <w:t>1</w:t>
            </w:r>
            <w:r>
              <w:rPr>
                <w:noProof/>
                <w:webHidden/>
              </w:rPr>
              <w:fldChar w:fldCharType="end"/>
            </w:r>
          </w:hyperlink>
        </w:p>
        <w:p w14:paraId="42A6D3DA" w14:textId="77777777" w:rsidR="009118F6" w:rsidRDefault="009118F6">
          <w:pPr>
            <w:pStyle w:val="Verzeichnis2"/>
            <w:tabs>
              <w:tab w:val="right" w:leader="dot" w:pos="8829"/>
            </w:tabs>
            <w:rPr>
              <w:noProof/>
            </w:rPr>
          </w:pPr>
          <w:hyperlink w:anchor="_Toc234524376" w:history="1">
            <w:r w:rsidRPr="000E4D9E">
              <w:rPr>
                <w:rStyle w:val="Hyperlink"/>
                <w:noProof/>
              </w:rPr>
              <w:t>1.1 Motivation</w:t>
            </w:r>
            <w:r>
              <w:rPr>
                <w:noProof/>
                <w:webHidden/>
              </w:rPr>
              <w:tab/>
            </w:r>
            <w:r>
              <w:rPr>
                <w:noProof/>
                <w:webHidden/>
              </w:rPr>
              <w:fldChar w:fldCharType="begin"/>
            </w:r>
            <w:r>
              <w:rPr>
                <w:noProof/>
                <w:webHidden/>
              </w:rPr>
              <w:instrText xml:space="preserve"> PAGEREF _Toc234524376 \h </w:instrText>
            </w:r>
            <w:r>
              <w:rPr>
                <w:noProof/>
                <w:webHidden/>
              </w:rPr>
            </w:r>
            <w:r>
              <w:rPr>
                <w:noProof/>
                <w:webHidden/>
              </w:rPr>
              <w:fldChar w:fldCharType="separate"/>
            </w:r>
            <w:r>
              <w:rPr>
                <w:noProof/>
                <w:webHidden/>
              </w:rPr>
              <w:t>1</w:t>
            </w:r>
            <w:r>
              <w:rPr>
                <w:noProof/>
                <w:webHidden/>
              </w:rPr>
              <w:fldChar w:fldCharType="end"/>
            </w:r>
          </w:hyperlink>
        </w:p>
        <w:p w14:paraId="151A175B" w14:textId="77777777" w:rsidR="009118F6" w:rsidRDefault="009118F6">
          <w:pPr>
            <w:pStyle w:val="Verzeichnis2"/>
            <w:tabs>
              <w:tab w:val="right" w:leader="dot" w:pos="8829"/>
            </w:tabs>
            <w:rPr>
              <w:noProof/>
            </w:rPr>
          </w:pPr>
          <w:hyperlink w:anchor="_Toc234524377" w:history="1">
            <w:r w:rsidRPr="000E4D9E">
              <w:rPr>
                <w:rStyle w:val="Hyperlink"/>
                <w:noProof/>
              </w:rPr>
              <w:t>1.2 Forschungsfrage und Leitfragen</w:t>
            </w:r>
            <w:r>
              <w:rPr>
                <w:noProof/>
                <w:webHidden/>
              </w:rPr>
              <w:tab/>
            </w:r>
            <w:r>
              <w:rPr>
                <w:noProof/>
                <w:webHidden/>
              </w:rPr>
              <w:fldChar w:fldCharType="begin"/>
            </w:r>
            <w:r>
              <w:rPr>
                <w:noProof/>
                <w:webHidden/>
              </w:rPr>
              <w:instrText xml:space="preserve"> PAGEREF _Toc234524377 \h </w:instrText>
            </w:r>
            <w:r>
              <w:rPr>
                <w:noProof/>
                <w:webHidden/>
              </w:rPr>
            </w:r>
            <w:r>
              <w:rPr>
                <w:noProof/>
                <w:webHidden/>
              </w:rPr>
              <w:fldChar w:fldCharType="separate"/>
            </w:r>
            <w:r>
              <w:rPr>
                <w:noProof/>
                <w:webHidden/>
              </w:rPr>
              <w:t>1</w:t>
            </w:r>
            <w:r>
              <w:rPr>
                <w:noProof/>
                <w:webHidden/>
              </w:rPr>
              <w:fldChar w:fldCharType="end"/>
            </w:r>
          </w:hyperlink>
        </w:p>
        <w:p w14:paraId="24FECAA3" w14:textId="77777777" w:rsidR="009118F6" w:rsidRDefault="009118F6">
          <w:pPr>
            <w:pStyle w:val="Verzeichnis2"/>
            <w:tabs>
              <w:tab w:val="right" w:leader="dot" w:pos="8829"/>
            </w:tabs>
            <w:rPr>
              <w:noProof/>
            </w:rPr>
          </w:pPr>
          <w:hyperlink w:anchor="_Toc234524378" w:history="1">
            <w:r w:rsidRPr="000E4D9E">
              <w:rPr>
                <w:rStyle w:val="Hyperlink"/>
                <w:noProof/>
              </w:rPr>
              <w:t>1.3 Aufbau der Arbeit</w:t>
            </w:r>
            <w:r>
              <w:rPr>
                <w:noProof/>
                <w:webHidden/>
              </w:rPr>
              <w:tab/>
            </w:r>
            <w:r>
              <w:rPr>
                <w:noProof/>
                <w:webHidden/>
              </w:rPr>
              <w:fldChar w:fldCharType="begin"/>
            </w:r>
            <w:r>
              <w:rPr>
                <w:noProof/>
                <w:webHidden/>
              </w:rPr>
              <w:instrText xml:space="preserve"> PAGEREF _Toc234524378 \h </w:instrText>
            </w:r>
            <w:r>
              <w:rPr>
                <w:noProof/>
                <w:webHidden/>
              </w:rPr>
            </w:r>
            <w:r>
              <w:rPr>
                <w:noProof/>
                <w:webHidden/>
              </w:rPr>
              <w:fldChar w:fldCharType="separate"/>
            </w:r>
            <w:r>
              <w:rPr>
                <w:noProof/>
                <w:webHidden/>
              </w:rPr>
              <w:t>1</w:t>
            </w:r>
            <w:r>
              <w:rPr>
                <w:noProof/>
                <w:webHidden/>
              </w:rPr>
              <w:fldChar w:fldCharType="end"/>
            </w:r>
          </w:hyperlink>
        </w:p>
        <w:p w14:paraId="5DB09B1E" w14:textId="77777777" w:rsidR="009118F6" w:rsidRDefault="009118F6">
          <w:pPr>
            <w:pStyle w:val="Verzeichnis1"/>
            <w:tabs>
              <w:tab w:val="right" w:leader="dot" w:pos="8829"/>
            </w:tabs>
            <w:rPr>
              <w:noProof/>
            </w:rPr>
          </w:pPr>
          <w:hyperlink w:anchor="_Toc234524379" w:history="1">
            <w:r w:rsidRPr="000E4D9E">
              <w:rPr>
                <w:rStyle w:val="Hyperlink"/>
                <w:noProof/>
              </w:rPr>
              <w:t>2 Theoretische Grundlagen der Portfoliooptimierung</w:t>
            </w:r>
            <w:r>
              <w:rPr>
                <w:noProof/>
                <w:webHidden/>
              </w:rPr>
              <w:tab/>
            </w:r>
            <w:r>
              <w:rPr>
                <w:noProof/>
                <w:webHidden/>
              </w:rPr>
              <w:fldChar w:fldCharType="begin"/>
            </w:r>
            <w:r>
              <w:rPr>
                <w:noProof/>
                <w:webHidden/>
              </w:rPr>
              <w:instrText xml:space="preserve"> PAGEREF _Toc234524379 \h </w:instrText>
            </w:r>
            <w:r>
              <w:rPr>
                <w:noProof/>
                <w:webHidden/>
              </w:rPr>
            </w:r>
            <w:r>
              <w:rPr>
                <w:noProof/>
                <w:webHidden/>
              </w:rPr>
              <w:fldChar w:fldCharType="separate"/>
            </w:r>
            <w:r>
              <w:rPr>
                <w:noProof/>
                <w:webHidden/>
              </w:rPr>
              <w:t>1</w:t>
            </w:r>
            <w:r>
              <w:rPr>
                <w:noProof/>
                <w:webHidden/>
              </w:rPr>
              <w:fldChar w:fldCharType="end"/>
            </w:r>
          </w:hyperlink>
        </w:p>
        <w:p w14:paraId="5B3BA7D0" w14:textId="77777777" w:rsidR="009118F6" w:rsidRDefault="009118F6">
          <w:pPr>
            <w:pStyle w:val="Verzeichnis2"/>
            <w:tabs>
              <w:tab w:val="right" w:leader="dot" w:pos="8829"/>
            </w:tabs>
            <w:rPr>
              <w:noProof/>
            </w:rPr>
          </w:pPr>
          <w:hyperlink w:anchor="_Toc234524380" w:history="1">
            <w:r w:rsidRPr="000E4D9E">
              <w:rPr>
                <w:rStyle w:val="Hyperlink"/>
                <w:noProof/>
              </w:rPr>
              <w:t>2.1 Rendite und Risiko einer Anlage</w:t>
            </w:r>
            <w:r>
              <w:rPr>
                <w:noProof/>
                <w:webHidden/>
              </w:rPr>
              <w:tab/>
            </w:r>
            <w:r>
              <w:rPr>
                <w:noProof/>
                <w:webHidden/>
              </w:rPr>
              <w:fldChar w:fldCharType="begin"/>
            </w:r>
            <w:r>
              <w:rPr>
                <w:noProof/>
                <w:webHidden/>
              </w:rPr>
              <w:instrText xml:space="preserve"> PAGEREF _Toc234524380 \h </w:instrText>
            </w:r>
            <w:r>
              <w:rPr>
                <w:noProof/>
                <w:webHidden/>
              </w:rPr>
            </w:r>
            <w:r>
              <w:rPr>
                <w:noProof/>
                <w:webHidden/>
              </w:rPr>
              <w:fldChar w:fldCharType="separate"/>
            </w:r>
            <w:r>
              <w:rPr>
                <w:noProof/>
                <w:webHidden/>
              </w:rPr>
              <w:t>1</w:t>
            </w:r>
            <w:r>
              <w:rPr>
                <w:noProof/>
                <w:webHidden/>
              </w:rPr>
              <w:fldChar w:fldCharType="end"/>
            </w:r>
          </w:hyperlink>
        </w:p>
        <w:p w14:paraId="1AA1AF35" w14:textId="77777777" w:rsidR="009118F6" w:rsidRDefault="009118F6">
          <w:pPr>
            <w:pStyle w:val="Verzeichnis2"/>
            <w:tabs>
              <w:tab w:val="right" w:leader="dot" w:pos="8829"/>
            </w:tabs>
            <w:rPr>
              <w:noProof/>
            </w:rPr>
          </w:pPr>
          <w:hyperlink w:anchor="_Toc234524381" w:history="1">
            <w:r w:rsidRPr="000E4D9E">
              <w:rPr>
                <w:rStyle w:val="Hyperlink"/>
                <w:noProof/>
              </w:rPr>
              <w:t>2.2 Diversifikation und Kovarianz</w:t>
            </w:r>
            <w:r>
              <w:rPr>
                <w:noProof/>
                <w:webHidden/>
              </w:rPr>
              <w:tab/>
            </w:r>
            <w:r>
              <w:rPr>
                <w:noProof/>
                <w:webHidden/>
              </w:rPr>
              <w:fldChar w:fldCharType="begin"/>
            </w:r>
            <w:r>
              <w:rPr>
                <w:noProof/>
                <w:webHidden/>
              </w:rPr>
              <w:instrText xml:space="preserve"> PAGEREF _Toc234524381 \h </w:instrText>
            </w:r>
            <w:r>
              <w:rPr>
                <w:noProof/>
                <w:webHidden/>
              </w:rPr>
            </w:r>
            <w:r>
              <w:rPr>
                <w:noProof/>
                <w:webHidden/>
              </w:rPr>
              <w:fldChar w:fldCharType="separate"/>
            </w:r>
            <w:r>
              <w:rPr>
                <w:noProof/>
                <w:webHidden/>
              </w:rPr>
              <w:t>1</w:t>
            </w:r>
            <w:r>
              <w:rPr>
                <w:noProof/>
                <w:webHidden/>
              </w:rPr>
              <w:fldChar w:fldCharType="end"/>
            </w:r>
          </w:hyperlink>
        </w:p>
        <w:p w14:paraId="47CB3329" w14:textId="77777777" w:rsidR="009118F6" w:rsidRDefault="009118F6">
          <w:pPr>
            <w:pStyle w:val="Verzeichnis2"/>
            <w:tabs>
              <w:tab w:val="right" w:leader="dot" w:pos="8829"/>
            </w:tabs>
            <w:rPr>
              <w:noProof/>
            </w:rPr>
          </w:pPr>
          <w:hyperlink w:anchor="_Toc234524382" w:history="1">
            <w:r w:rsidRPr="000E4D9E">
              <w:rPr>
                <w:rStyle w:val="Hyperlink"/>
                <w:noProof/>
              </w:rPr>
              <w:t>2.3 Portfoliorendite, Portfoliovarianz und die Effizienzlinie</w:t>
            </w:r>
            <w:r>
              <w:rPr>
                <w:noProof/>
                <w:webHidden/>
              </w:rPr>
              <w:tab/>
            </w:r>
            <w:r>
              <w:rPr>
                <w:noProof/>
                <w:webHidden/>
              </w:rPr>
              <w:fldChar w:fldCharType="begin"/>
            </w:r>
            <w:r>
              <w:rPr>
                <w:noProof/>
                <w:webHidden/>
              </w:rPr>
              <w:instrText xml:space="preserve"> PAGEREF _Toc234524382 \h </w:instrText>
            </w:r>
            <w:r>
              <w:rPr>
                <w:noProof/>
                <w:webHidden/>
              </w:rPr>
            </w:r>
            <w:r>
              <w:rPr>
                <w:noProof/>
                <w:webHidden/>
              </w:rPr>
              <w:fldChar w:fldCharType="separate"/>
            </w:r>
            <w:r>
              <w:rPr>
                <w:noProof/>
                <w:webHidden/>
              </w:rPr>
              <w:t>1</w:t>
            </w:r>
            <w:r>
              <w:rPr>
                <w:noProof/>
                <w:webHidden/>
              </w:rPr>
              <w:fldChar w:fldCharType="end"/>
            </w:r>
          </w:hyperlink>
        </w:p>
        <w:p w14:paraId="59767A7E" w14:textId="77777777" w:rsidR="009118F6" w:rsidRDefault="009118F6">
          <w:pPr>
            <w:pStyle w:val="Verzeichnis2"/>
            <w:tabs>
              <w:tab w:val="right" w:leader="dot" w:pos="8829"/>
            </w:tabs>
            <w:rPr>
              <w:noProof/>
            </w:rPr>
          </w:pPr>
          <w:hyperlink w:anchor="_Toc234524383" w:history="1">
            <w:r w:rsidRPr="000E4D9E">
              <w:rPr>
                <w:rStyle w:val="Hyperlink"/>
                <w:noProof/>
              </w:rPr>
              <w:t>2.4 Von der Effizienzlinie zur optimalen Mischung</w:t>
            </w:r>
            <w:r>
              <w:rPr>
                <w:noProof/>
                <w:webHidden/>
              </w:rPr>
              <w:tab/>
            </w:r>
            <w:r>
              <w:rPr>
                <w:noProof/>
                <w:webHidden/>
              </w:rPr>
              <w:fldChar w:fldCharType="begin"/>
            </w:r>
            <w:r>
              <w:rPr>
                <w:noProof/>
                <w:webHidden/>
              </w:rPr>
              <w:instrText xml:space="preserve"> PAGEREF _Toc234524383 \h </w:instrText>
            </w:r>
            <w:r>
              <w:rPr>
                <w:noProof/>
                <w:webHidden/>
              </w:rPr>
            </w:r>
            <w:r>
              <w:rPr>
                <w:noProof/>
                <w:webHidden/>
              </w:rPr>
              <w:fldChar w:fldCharType="separate"/>
            </w:r>
            <w:r>
              <w:rPr>
                <w:noProof/>
                <w:webHidden/>
              </w:rPr>
              <w:t>1</w:t>
            </w:r>
            <w:r>
              <w:rPr>
                <w:noProof/>
                <w:webHidden/>
              </w:rPr>
              <w:fldChar w:fldCharType="end"/>
            </w:r>
          </w:hyperlink>
        </w:p>
        <w:p w14:paraId="3146225E" w14:textId="77777777" w:rsidR="009118F6" w:rsidRDefault="009118F6">
          <w:pPr>
            <w:pStyle w:val="Verzeichnis2"/>
            <w:tabs>
              <w:tab w:val="right" w:leader="dot" w:pos="8829"/>
            </w:tabs>
            <w:rPr>
              <w:noProof/>
            </w:rPr>
          </w:pPr>
          <w:hyperlink w:anchor="_Toc234524384" w:history="1">
            <w:r w:rsidRPr="000E4D9E">
              <w:rPr>
                <w:rStyle w:val="Hyperlink"/>
                <w:noProof/>
              </w:rPr>
              <w:t>2.5 Die Sharpe Ratio als risikoadjustiertes Performancemaß</w:t>
            </w:r>
            <w:r>
              <w:rPr>
                <w:noProof/>
                <w:webHidden/>
              </w:rPr>
              <w:tab/>
            </w:r>
            <w:r>
              <w:rPr>
                <w:noProof/>
                <w:webHidden/>
              </w:rPr>
              <w:fldChar w:fldCharType="begin"/>
            </w:r>
            <w:r>
              <w:rPr>
                <w:noProof/>
                <w:webHidden/>
              </w:rPr>
              <w:instrText xml:space="preserve"> PAGEREF _Toc234524384 \h </w:instrText>
            </w:r>
            <w:r>
              <w:rPr>
                <w:noProof/>
                <w:webHidden/>
              </w:rPr>
            </w:r>
            <w:r>
              <w:rPr>
                <w:noProof/>
                <w:webHidden/>
              </w:rPr>
              <w:fldChar w:fldCharType="separate"/>
            </w:r>
            <w:r>
              <w:rPr>
                <w:noProof/>
                <w:webHidden/>
              </w:rPr>
              <w:t>1</w:t>
            </w:r>
            <w:r>
              <w:rPr>
                <w:noProof/>
                <w:webHidden/>
              </w:rPr>
              <w:fldChar w:fldCharType="end"/>
            </w:r>
          </w:hyperlink>
        </w:p>
        <w:p w14:paraId="6AA14DE2" w14:textId="77777777" w:rsidR="009118F6" w:rsidRDefault="009118F6">
          <w:pPr>
            <w:pStyle w:val="Verzeichnis2"/>
            <w:tabs>
              <w:tab w:val="right" w:leader="dot" w:pos="8829"/>
            </w:tabs>
            <w:rPr>
              <w:noProof/>
            </w:rPr>
          </w:pPr>
          <w:hyperlink w:anchor="_Toc234524385" w:history="1">
            <w:r w:rsidRPr="000E4D9E">
              <w:rPr>
                <w:rStyle w:val="Hyperlink"/>
                <w:noProof/>
              </w:rPr>
              <w:t>2.6 Das Kernproblem: Schätzfehler in den Eingangsgrößen</w:t>
            </w:r>
            <w:r>
              <w:rPr>
                <w:noProof/>
                <w:webHidden/>
              </w:rPr>
              <w:tab/>
            </w:r>
            <w:r>
              <w:rPr>
                <w:noProof/>
                <w:webHidden/>
              </w:rPr>
              <w:fldChar w:fldCharType="begin"/>
            </w:r>
            <w:r>
              <w:rPr>
                <w:noProof/>
                <w:webHidden/>
              </w:rPr>
              <w:instrText xml:space="preserve"> PAGEREF _Toc234524385 \h </w:instrText>
            </w:r>
            <w:r>
              <w:rPr>
                <w:noProof/>
                <w:webHidden/>
              </w:rPr>
            </w:r>
            <w:r>
              <w:rPr>
                <w:noProof/>
                <w:webHidden/>
              </w:rPr>
              <w:fldChar w:fldCharType="separate"/>
            </w:r>
            <w:r>
              <w:rPr>
                <w:noProof/>
                <w:webHidden/>
              </w:rPr>
              <w:t>1</w:t>
            </w:r>
            <w:r>
              <w:rPr>
                <w:noProof/>
                <w:webHidden/>
              </w:rPr>
              <w:fldChar w:fldCharType="end"/>
            </w:r>
          </w:hyperlink>
        </w:p>
        <w:p w14:paraId="4935B9DB" w14:textId="77777777" w:rsidR="009118F6" w:rsidRDefault="009118F6">
          <w:pPr>
            <w:pStyle w:val="Verzeichnis2"/>
            <w:tabs>
              <w:tab w:val="right" w:leader="dot" w:pos="8829"/>
            </w:tabs>
            <w:rPr>
              <w:noProof/>
            </w:rPr>
          </w:pPr>
          <w:hyperlink w:anchor="_Toc234524386" w:history="1">
            <w:r w:rsidRPr="000E4D9E">
              <w:rPr>
                <w:rStyle w:val="Hyperlink"/>
                <w:noProof/>
              </w:rPr>
              <w:t>2.7 Verbesserte Kovarianzschätzung: Ledoit-Wolf-Shrinkage</w:t>
            </w:r>
            <w:r>
              <w:rPr>
                <w:noProof/>
                <w:webHidden/>
              </w:rPr>
              <w:tab/>
            </w:r>
            <w:r>
              <w:rPr>
                <w:noProof/>
                <w:webHidden/>
              </w:rPr>
              <w:fldChar w:fldCharType="begin"/>
            </w:r>
            <w:r>
              <w:rPr>
                <w:noProof/>
                <w:webHidden/>
              </w:rPr>
              <w:instrText xml:space="preserve"> PAGEREF _Toc234524386 \h </w:instrText>
            </w:r>
            <w:r>
              <w:rPr>
                <w:noProof/>
                <w:webHidden/>
              </w:rPr>
            </w:r>
            <w:r>
              <w:rPr>
                <w:noProof/>
                <w:webHidden/>
              </w:rPr>
              <w:fldChar w:fldCharType="separate"/>
            </w:r>
            <w:r>
              <w:rPr>
                <w:noProof/>
                <w:webHidden/>
              </w:rPr>
              <w:t>1</w:t>
            </w:r>
            <w:r>
              <w:rPr>
                <w:noProof/>
                <w:webHidden/>
              </w:rPr>
              <w:fldChar w:fldCharType="end"/>
            </w:r>
          </w:hyperlink>
        </w:p>
        <w:p w14:paraId="2D27EFD6" w14:textId="77777777" w:rsidR="009118F6" w:rsidRDefault="009118F6">
          <w:pPr>
            <w:pStyle w:val="Verzeichnis2"/>
            <w:tabs>
              <w:tab w:val="right" w:leader="dot" w:pos="8829"/>
            </w:tabs>
            <w:rPr>
              <w:noProof/>
            </w:rPr>
          </w:pPr>
          <w:hyperlink w:anchor="_Toc234524387" w:history="1">
            <w:r w:rsidRPr="000E4D9E">
              <w:rPr>
                <w:rStyle w:val="Hyperlink"/>
                <w:noProof/>
              </w:rPr>
              <w:t>2.8 Warum Beschränkungen helfen</w:t>
            </w:r>
            <w:r>
              <w:rPr>
                <w:noProof/>
                <w:webHidden/>
              </w:rPr>
              <w:tab/>
            </w:r>
            <w:r>
              <w:rPr>
                <w:noProof/>
                <w:webHidden/>
              </w:rPr>
              <w:fldChar w:fldCharType="begin"/>
            </w:r>
            <w:r>
              <w:rPr>
                <w:noProof/>
                <w:webHidden/>
              </w:rPr>
              <w:instrText xml:space="preserve"> PAGEREF _Toc234524387 \h </w:instrText>
            </w:r>
            <w:r>
              <w:rPr>
                <w:noProof/>
                <w:webHidden/>
              </w:rPr>
            </w:r>
            <w:r>
              <w:rPr>
                <w:noProof/>
                <w:webHidden/>
              </w:rPr>
              <w:fldChar w:fldCharType="separate"/>
            </w:r>
            <w:r>
              <w:rPr>
                <w:noProof/>
                <w:webHidden/>
              </w:rPr>
              <w:t>1</w:t>
            </w:r>
            <w:r>
              <w:rPr>
                <w:noProof/>
                <w:webHidden/>
              </w:rPr>
              <w:fldChar w:fldCharType="end"/>
            </w:r>
          </w:hyperlink>
        </w:p>
        <w:p w14:paraId="7028A015" w14:textId="77777777" w:rsidR="009118F6" w:rsidRDefault="009118F6">
          <w:pPr>
            <w:pStyle w:val="Verzeichnis2"/>
            <w:tabs>
              <w:tab w:val="right" w:leader="dot" w:pos="8829"/>
            </w:tabs>
            <w:rPr>
              <w:noProof/>
            </w:rPr>
          </w:pPr>
          <w:hyperlink w:anchor="_Toc234524388" w:history="1">
            <w:r w:rsidRPr="000E4D9E">
              <w:rPr>
                <w:rStyle w:val="Hyperlink"/>
                <w:noProof/>
              </w:rPr>
              <w:t>2.9 Die naive 1/N-Strategie als Maßstab</w:t>
            </w:r>
            <w:r>
              <w:rPr>
                <w:noProof/>
                <w:webHidden/>
              </w:rPr>
              <w:tab/>
            </w:r>
            <w:r>
              <w:rPr>
                <w:noProof/>
                <w:webHidden/>
              </w:rPr>
              <w:fldChar w:fldCharType="begin"/>
            </w:r>
            <w:r>
              <w:rPr>
                <w:noProof/>
                <w:webHidden/>
              </w:rPr>
              <w:instrText xml:space="preserve"> PAGEREF _Toc234524388 \h </w:instrText>
            </w:r>
            <w:r>
              <w:rPr>
                <w:noProof/>
                <w:webHidden/>
              </w:rPr>
            </w:r>
            <w:r>
              <w:rPr>
                <w:noProof/>
                <w:webHidden/>
              </w:rPr>
              <w:fldChar w:fldCharType="separate"/>
            </w:r>
            <w:r>
              <w:rPr>
                <w:noProof/>
                <w:webHidden/>
              </w:rPr>
              <w:t>1</w:t>
            </w:r>
            <w:r>
              <w:rPr>
                <w:noProof/>
                <w:webHidden/>
              </w:rPr>
              <w:fldChar w:fldCharType="end"/>
            </w:r>
          </w:hyperlink>
        </w:p>
        <w:p w14:paraId="6192406F" w14:textId="77777777" w:rsidR="009118F6" w:rsidRDefault="009118F6">
          <w:pPr>
            <w:pStyle w:val="Verzeichnis2"/>
            <w:tabs>
              <w:tab w:val="right" w:leader="dot" w:pos="8829"/>
            </w:tabs>
            <w:rPr>
              <w:noProof/>
            </w:rPr>
          </w:pPr>
          <w:hyperlink w:anchor="_Toc234524389" w:history="1">
            <w:r w:rsidRPr="000E4D9E">
              <w:rPr>
                <w:rStyle w:val="Hyperlink"/>
                <w:noProof/>
              </w:rPr>
              <w:t>2.10 Risk Parity als risikobasierte Alternative</w:t>
            </w:r>
            <w:r>
              <w:rPr>
                <w:noProof/>
                <w:webHidden/>
              </w:rPr>
              <w:tab/>
            </w:r>
            <w:r>
              <w:rPr>
                <w:noProof/>
                <w:webHidden/>
              </w:rPr>
              <w:fldChar w:fldCharType="begin"/>
            </w:r>
            <w:r>
              <w:rPr>
                <w:noProof/>
                <w:webHidden/>
              </w:rPr>
              <w:instrText xml:space="preserve"> PAGEREF _Toc234524389 \h </w:instrText>
            </w:r>
            <w:r>
              <w:rPr>
                <w:noProof/>
                <w:webHidden/>
              </w:rPr>
            </w:r>
            <w:r>
              <w:rPr>
                <w:noProof/>
                <w:webHidden/>
              </w:rPr>
              <w:fldChar w:fldCharType="separate"/>
            </w:r>
            <w:r>
              <w:rPr>
                <w:noProof/>
                <w:webHidden/>
              </w:rPr>
              <w:t>1</w:t>
            </w:r>
            <w:r>
              <w:rPr>
                <w:noProof/>
                <w:webHidden/>
              </w:rPr>
              <w:fldChar w:fldCharType="end"/>
            </w:r>
          </w:hyperlink>
        </w:p>
        <w:p w14:paraId="42BED770" w14:textId="77777777" w:rsidR="009118F6" w:rsidRDefault="009118F6">
          <w:pPr>
            <w:pStyle w:val="Verzeichnis1"/>
            <w:tabs>
              <w:tab w:val="right" w:leader="dot" w:pos="8829"/>
            </w:tabs>
            <w:rPr>
              <w:noProof/>
            </w:rPr>
          </w:pPr>
          <w:hyperlink w:anchor="_Toc234524390" w:history="1">
            <w:r w:rsidRPr="000E4D9E">
              <w:rPr>
                <w:rStyle w:val="Hyperlink"/>
                <w:noProof/>
              </w:rPr>
              <w:t>3 Random-Forest-gestützte Renditeprognose</w:t>
            </w:r>
            <w:r>
              <w:rPr>
                <w:noProof/>
                <w:webHidden/>
              </w:rPr>
              <w:tab/>
            </w:r>
            <w:r>
              <w:rPr>
                <w:noProof/>
                <w:webHidden/>
              </w:rPr>
              <w:fldChar w:fldCharType="begin"/>
            </w:r>
            <w:r>
              <w:rPr>
                <w:noProof/>
                <w:webHidden/>
              </w:rPr>
              <w:instrText xml:space="preserve"> PAGEREF _Toc234524390 \h </w:instrText>
            </w:r>
            <w:r>
              <w:rPr>
                <w:noProof/>
                <w:webHidden/>
              </w:rPr>
            </w:r>
            <w:r>
              <w:rPr>
                <w:noProof/>
                <w:webHidden/>
              </w:rPr>
              <w:fldChar w:fldCharType="separate"/>
            </w:r>
            <w:r>
              <w:rPr>
                <w:noProof/>
                <w:webHidden/>
              </w:rPr>
              <w:t>1</w:t>
            </w:r>
            <w:r>
              <w:rPr>
                <w:noProof/>
                <w:webHidden/>
              </w:rPr>
              <w:fldChar w:fldCharType="end"/>
            </w:r>
          </w:hyperlink>
        </w:p>
        <w:p w14:paraId="2E5BB9DB" w14:textId="77777777" w:rsidR="009118F6" w:rsidRDefault="009118F6">
          <w:pPr>
            <w:pStyle w:val="Verzeichnis2"/>
            <w:tabs>
              <w:tab w:val="right" w:leader="dot" w:pos="8829"/>
            </w:tabs>
            <w:rPr>
              <w:noProof/>
            </w:rPr>
          </w:pPr>
          <w:hyperlink w:anchor="_Toc234524391" w:history="1">
            <w:r w:rsidRPr="000E4D9E">
              <w:rPr>
                <w:rStyle w:val="Hyperlink"/>
                <w:noProof/>
              </w:rPr>
              <w:t>3.1 Überwachtes Lernen und das Überanpassungsproblem</w:t>
            </w:r>
            <w:r>
              <w:rPr>
                <w:noProof/>
                <w:webHidden/>
              </w:rPr>
              <w:tab/>
            </w:r>
            <w:r>
              <w:rPr>
                <w:noProof/>
                <w:webHidden/>
              </w:rPr>
              <w:fldChar w:fldCharType="begin"/>
            </w:r>
            <w:r>
              <w:rPr>
                <w:noProof/>
                <w:webHidden/>
              </w:rPr>
              <w:instrText xml:space="preserve"> PAGEREF _Toc234524391 \h </w:instrText>
            </w:r>
            <w:r>
              <w:rPr>
                <w:noProof/>
                <w:webHidden/>
              </w:rPr>
            </w:r>
            <w:r>
              <w:rPr>
                <w:noProof/>
                <w:webHidden/>
              </w:rPr>
              <w:fldChar w:fldCharType="separate"/>
            </w:r>
            <w:r>
              <w:rPr>
                <w:noProof/>
                <w:webHidden/>
              </w:rPr>
              <w:t>1</w:t>
            </w:r>
            <w:r>
              <w:rPr>
                <w:noProof/>
                <w:webHidden/>
              </w:rPr>
              <w:fldChar w:fldCharType="end"/>
            </w:r>
          </w:hyperlink>
        </w:p>
        <w:p w14:paraId="0FF5DC0E" w14:textId="77777777" w:rsidR="009118F6" w:rsidRDefault="009118F6">
          <w:pPr>
            <w:pStyle w:val="Verzeichnis2"/>
            <w:tabs>
              <w:tab w:val="right" w:leader="dot" w:pos="8829"/>
            </w:tabs>
            <w:rPr>
              <w:noProof/>
            </w:rPr>
          </w:pPr>
          <w:hyperlink w:anchor="_Toc234524392" w:history="1">
            <w:r w:rsidRPr="000E4D9E">
              <w:rPr>
                <w:rStyle w:val="Hyperlink"/>
                <w:noProof/>
              </w:rPr>
              <w:t>3.2 Entscheidungsbäume als Bausteine</w:t>
            </w:r>
            <w:r>
              <w:rPr>
                <w:noProof/>
                <w:webHidden/>
              </w:rPr>
              <w:tab/>
            </w:r>
            <w:r>
              <w:rPr>
                <w:noProof/>
                <w:webHidden/>
              </w:rPr>
              <w:fldChar w:fldCharType="begin"/>
            </w:r>
            <w:r>
              <w:rPr>
                <w:noProof/>
                <w:webHidden/>
              </w:rPr>
              <w:instrText xml:space="preserve"> PAGEREF _Toc234524392 \h </w:instrText>
            </w:r>
            <w:r>
              <w:rPr>
                <w:noProof/>
                <w:webHidden/>
              </w:rPr>
            </w:r>
            <w:r>
              <w:rPr>
                <w:noProof/>
                <w:webHidden/>
              </w:rPr>
              <w:fldChar w:fldCharType="separate"/>
            </w:r>
            <w:r>
              <w:rPr>
                <w:noProof/>
                <w:webHidden/>
              </w:rPr>
              <w:t>1</w:t>
            </w:r>
            <w:r>
              <w:rPr>
                <w:noProof/>
                <w:webHidden/>
              </w:rPr>
              <w:fldChar w:fldCharType="end"/>
            </w:r>
          </w:hyperlink>
        </w:p>
        <w:p w14:paraId="6607C23A" w14:textId="77777777" w:rsidR="009118F6" w:rsidRDefault="009118F6">
          <w:pPr>
            <w:pStyle w:val="Verzeichnis2"/>
            <w:tabs>
              <w:tab w:val="right" w:leader="dot" w:pos="8829"/>
            </w:tabs>
            <w:rPr>
              <w:noProof/>
            </w:rPr>
          </w:pPr>
          <w:hyperlink w:anchor="_Toc234524393" w:history="1">
            <w:r w:rsidRPr="000E4D9E">
              <w:rPr>
                <w:rStyle w:val="Hyperlink"/>
                <w:noProof/>
              </w:rPr>
              <w:t>3.3 Vom Baum zum Wald: Bagging und Random Forest</w:t>
            </w:r>
            <w:r>
              <w:rPr>
                <w:noProof/>
                <w:webHidden/>
              </w:rPr>
              <w:tab/>
            </w:r>
            <w:r>
              <w:rPr>
                <w:noProof/>
                <w:webHidden/>
              </w:rPr>
              <w:fldChar w:fldCharType="begin"/>
            </w:r>
            <w:r>
              <w:rPr>
                <w:noProof/>
                <w:webHidden/>
              </w:rPr>
              <w:instrText xml:space="preserve"> PAGEREF _Toc234524393 \h </w:instrText>
            </w:r>
            <w:r>
              <w:rPr>
                <w:noProof/>
                <w:webHidden/>
              </w:rPr>
            </w:r>
            <w:r>
              <w:rPr>
                <w:noProof/>
                <w:webHidden/>
              </w:rPr>
              <w:fldChar w:fldCharType="separate"/>
            </w:r>
            <w:r>
              <w:rPr>
                <w:noProof/>
                <w:webHidden/>
              </w:rPr>
              <w:t>1</w:t>
            </w:r>
            <w:r>
              <w:rPr>
                <w:noProof/>
                <w:webHidden/>
              </w:rPr>
              <w:fldChar w:fldCharType="end"/>
            </w:r>
          </w:hyperlink>
        </w:p>
        <w:p w14:paraId="52B30D4D" w14:textId="77777777" w:rsidR="009118F6" w:rsidRDefault="009118F6">
          <w:pPr>
            <w:pStyle w:val="Verzeichnis2"/>
            <w:tabs>
              <w:tab w:val="right" w:leader="dot" w:pos="8829"/>
            </w:tabs>
            <w:rPr>
              <w:noProof/>
            </w:rPr>
          </w:pPr>
          <w:hyperlink w:anchor="_Toc234524394" w:history="1">
            <w:r w:rsidRPr="000E4D9E">
              <w:rPr>
                <w:rStyle w:val="Hyperlink"/>
                <w:noProof/>
              </w:rPr>
              <w:t>3.4 Random Forests in der empirischen Renditeprognose</w:t>
            </w:r>
            <w:r>
              <w:rPr>
                <w:noProof/>
                <w:webHidden/>
              </w:rPr>
              <w:tab/>
            </w:r>
            <w:r>
              <w:rPr>
                <w:noProof/>
                <w:webHidden/>
              </w:rPr>
              <w:fldChar w:fldCharType="begin"/>
            </w:r>
            <w:r>
              <w:rPr>
                <w:noProof/>
                <w:webHidden/>
              </w:rPr>
              <w:instrText xml:space="preserve"> PAGEREF _Toc234524394 \h </w:instrText>
            </w:r>
            <w:r>
              <w:rPr>
                <w:noProof/>
                <w:webHidden/>
              </w:rPr>
            </w:r>
            <w:r>
              <w:rPr>
                <w:noProof/>
                <w:webHidden/>
              </w:rPr>
              <w:fldChar w:fldCharType="separate"/>
            </w:r>
            <w:r>
              <w:rPr>
                <w:noProof/>
                <w:webHidden/>
              </w:rPr>
              <w:t>1</w:t>
            </w:r>
            <w:r>
              <w:rPr>
                <w:noProof/>
                <w:webHidden/>
              </w:rPr>
              <w:fldChar w:fldCharType="end"/>
            </w:r>
          </w:hyperlink>
        </w:p>
        <w:p w14:paraId="3A1221D5" w14:textId="77777777" w:rsidR="009118F6" w:rsidRDefault="009118F6">
          <w:pPr>
            <w:pStyle w:val="Verzeichnis1"/>
            <w:tabs>
              <w:tab w:val="right" w:leader="dot" w:pos="8829"/>
            </w:tabs>
            <w:rPr>
              <w:noProof/>
            </w:rPr>
          </w:pPr>
          <w:hyperlink w:anchor="_Toc234524395" w:history="1">
            <w:r w:rsidRPr="000E4D9E">
              <w:rPr>
                <w:rStyle w:val="Hyperlink"/>
                <w:noProof/>
              </w:rPr>
              <w:t>4 Methodik des empirischen Vergleichs</w:t>
            </w:r>
            <w:r>
              <w:rPr>
                <w:noProof/>
                <w:webHidden/>
              </w:rPr>
              <w:tab/>
            </w:r>
            <w:r>
              <w:rPr>
                <w:noProof/>
                <w:webHidden/>
              </w:rPr>
              <w:fldChar w:fldCharType="begin"/>
            </w:r>
            <w:r>
              <w:rPr>
                <w:noProof/>
                <w:webHidden/>
              </w:rPr>
              <w:instrText xml:space="preserve"> PAGEREF _Toc234524395 \h </w:instrText>
            </w:r>
            <w:r>
              <w:rPr>
                <w:noProof/>
                <w:webHidden/>
              </w:rPr>
            </w:r>
            <w:r>
              <w:rPr>
                <w:noProof/>
                <w:webHidden/>
              </w:rPr>
              <w:fldChar w:fldCharType="separate"/>
            </w:r>
            <w:r>
              <w:rPr>
                <w:noProof/>
                <w:webHidden/>
              </w:rPr>
              <w:t>1</w:t>
            </w:r>
            <w:r>
              <w:rPr>
                <w:noProof/>
                <w:webHidden/>
              </w:rPr>
              <w:fldChar w:fldCharType="end"/>
            </w:r>
          </w:hyperlink>
        </w:p>
        <w:p w14:paraId="64A8C091" w14:textId="77777777" w:rsidR="009118F6" w:rsidRDefault="009118F6">
          <w:pPr>
            <w:pStyle w:val="Verzeichnis2"/>
            <w:tabs>
              <w:tab w:val="right" w:leader="dot" w:pos="8829"/>
            </w:tabs>
            <w:rPr>
              <w:noProof/>
            </w:rPr>
          </w:pPr>
          <w:hyperlink w:anchor="_Toc234524396" w:history="1">
            <w:r w:rsidRPr="000E4D9E">
              <w:rPr>
                <w:rStyle w:val="Hyperlink"/>
                <w:noProof/>
              </w:rPr>
              <w:t>4.1 Datengrundlage und Untersuchungsdesign</w:t>
            </w:r>
            <w:r>
              <w:rPr>
                <w:noProof/>
                <w:webHidden/>
              </w:rPr>
              <w:tab/>
            </w:r>
            <w:r>
              <w:rPr>
                <w:noProof/>
                <w:webHidden/>
              </w:rPr>
              <w:fldChar w:fldCharType="begin"/>
            </w:r>
            <w:r>
              <w:rPr>
                <w:noProof/>
                <w:webHidden/>
              </w:rPr>
              <w:instrText xml:space="preserve"> PAGEREF _Toc234524396 \h </w:instrText>
            </w:r>
            <w:r>
              <w:rPr>
                <w:noProof/>
                <w:webHidden/>
              </w:rPr>
            </w:r>
            <w:r>
              <w:rPr>
                <w:noProof/>
                <w:webHidden/>
              </w:rPr>
              <w:fldChar w:fldCharType="separate"/>
            </w:r>
            <w:r>
              <w:rPr>
                <w:noProof/>
                <w:webHidden/>
              </w:rPr>
              <w:t>1</w:t>
            </w:r>
            <w:r>
              <w:rPr>
                <w:noProof/>
                <w:webHidden/>
              </w:rPr>
              <w:fldChar w:fldCharType="end"/>
            </w:r>
          </w:hyperlink>
        </w:p>
        <w:p w14:paraId="38F072DD" w14:textId="77777777" w:rsidR="009118F6" w:rsidRDefault="009118F6">
          <w:pPr>
            <w:pStyle w:val="Verzeichnis2"/>
            <w:tabs>
              <w:tab w:val="right" w:leader="dot" w:pos="8829"/>
            </w:tabs>
            <w:rPr>
              <w:noProof/>
            </w:rPr>
          </w:pPr>
          <w:hyperlink w:anchor="_Toc234524397" w:history="1">
            <w:r w:rsidRPr="000E4D9E">
              <w:rPr>
                <w:rStyle w:val="Hyperlink"/>
                <w:noProof/>
              </w:rPr>
              <w:t>4.2 Merkmalsbildung (Feature Engineering)</w:t>
            </w:r>
            <w:r>
              <w:rPr>
                <w:noProof/>
                <w:webHidden/>
              </w:rPr>
              <w:tab/>
            </w:r>
            <w:r>
              <w:rPr>
                <w:noProof/>
                <w:webHidden/>
              </w:rPr>
              <w:fldChar w:fldCharType="begin"/>
            </w:r>
            <w:r>
              <w:rPr>
                <w:noProof/>
                <w:webHidden/>
              </w:rPr>
              <w:instrText xml:space="preserve"> PAGEREF _Toc234524397 \h </w:instrText>
            </w:r>
            <w:r>
              <w:rPr>
                <w:noProof/>
                <w:webHidden/>
              </w:rPr>
            </w:r>
            <w:r>
              <w:rPr>
                <w:noProof/>
                <w:webHidden/>
              </w:rPr>
              <w:fldChar w:fldCharType="separate"/>
            </w:r>
            <w:r>
              <w:rPr>
                <w:noProof/>
                <w:webHidden/>
              </w:rPr>
              <w:t>1</w:t>
            </w:r>
            <w:r>
              <w:rPr>
                <w:noProof/>
                <w:webHidden/>
              </w:rPr>
              <w:fldChar w:fldCharType="end"/>
            </w:r>
          </w:hyperlink>
        </w:p>
        <w:p w14:paraId="7B73493F" w14:textId="77777777" w:rsidR="009118F6" w:rsidRDefault="009118F6">
          <w:pPr>
            <w:pStyle w:val="Verzeichnis2"/>
            <w:tabs>
              <w:tab w:val="right" w:leader="dot" w:pos="8829"/>
            </w:tabs>
            <w:rPr>
              <w:noProof/>
            </w:rPr>
          </w:pPr>
          <w:hyperlink w:anchor="_Toc234524398" w:history="1">
            <w:r w:rsidRPr="000E4D9E">
              <w:rPr>
                <w:rStyle w:val="Hyperlink"/>
                <w:noProof/>
              </w:rPr>
              <w:t>4.3 Walk-Forward-Backtesting und die Vermeidung von Look-Ahead-Bias</w:t>
            </w:r>
            <w:r>
              <w:rPr>
                <w:noProof/>
                <w:webHidden/>
              </w:rPr>
              <w:tab/>
            </w:r>
            <w:r>
              <w:rPr>
                <w:noProof/>
                <w:webHidden/>
              </w:rPr>
              <w:fldChar w:fldCharType="begin"/>
            </w:r>
            <w:r>
              <w:rPr>
                <w:noProof/>
                <w:webHidden/>
              </w:rPr>
              <w:instrText xml:space="preserve"> PAGEREF _Toc234524398 \h </w:instrText>
            </w:r>
            <w:r>
              <w:rPr>
                <w:noProof/>
                <w:webHidden/>
              </w:rPr>
            </w:r>
            <w:r>
              <w:rPr>
                <w:noProof/>
                <w:webHidden/>
              </w:rPr>
              <w:fldChar w:fldCharType="separate"/>
            </w:r>
            <w:r>
              <w:rPr>
                <w:noProof/>
                <w:webHidden/>
              </w:rPr>
              <w:t>1</w:t>
            </w:r>
            <w:r>
              <w:rPr>
                <w:noProof/>
                <w:webHidden/>
              </w:rPr>
              <w:fldChar w:fldCharType="end"/>
            </w:r>
          </w:hyperlink>
        </w:p>
        <w:p w14:paraId="10CDE23C" w14:textId="77777777" w:rsidR="009118F6" w:rsidRDefault="009118F6">
          <w:pPr>
            <w:pStyle w:val="Verzeichnis2"/>
            <w:tabs>
              <w:tab w:val="right" w:leader="dot" w:pos="8829"/>
            </w:tabs>
            <w:rPr>
              <w:noProof/>
            </w:rPr>
          </w:pPr>
          <w:hyperlink w:anchor="_Toc234524399" w:history="1">
            <w:r w:rsidRPr="000E4D9E">
              <w:rPr>
                <w:rStyle w:val="Hyperlink"/>
                <w:noProof/>
              </w:rPr>
              <w:t>4.4 Transaktionskosten und Umschlag</w:t>
            </w:r>
            <w:r>
              <w:rPr>
                <w:noProof/>
                <w:webHidden/>
              </w:rPr>
              <w:tab/>
            </w:r>
            <w:r>
              <w:rPr>
                <w:noProof/>
                <w:webHidden/>
              </w:rPr>
              <w:fldChar w:fldCharType="begin"/>
            </w:r>
            <w:r>
              <w:rPr>
                <w:noProof/>
                <w:webHidden/>
              </w:rPr>
              <w:instrText xml:space="preserve"> PAGEREF _Toc234524399 \h </w:instrText>
            </w:r>
            <w:r>
              <w:rPr>
                <w:noProof/>
                <w:webHidden/>
              </w:rPr>
            </w:r>
            <w:r>
              <w:rPr>
                <w:noProof/>
                <w:webHidden/>
              </w:rPr>
              <w:fldChar w:fldCharType="separate"/>
            </w:r>
            <w:r>
              <w:rPr>
                <w:noProof/>
                <w:webHidden/>
              </w:rPr>
              <w:t>1</w:t>
            </w:r>
            <w:r>
              <w:rPr>
                <w:noProof/>
                <w:webHidden/>
              </w:rPr>
              <w:fldChar w:fldCharType="end"/>
            </w:r>
          </w:hyperlink>
        </w:p>
        <w:p w14:paraId="456CE44C" w14:textId="77777777" w:rsidR="009118F6" w:rsidRDefault="009118F6">
          <w:pPr>
            <w:pStyle w:val="Verzeichnis2"/>
            <w:tabs>
              <w:tab w:val="right" w:leader="dot" w:pos="8829"/>
            </w:tabs>
            <w:rPr>
              <w:noProof/>
            </w:rPr>
          </w:pPr>
          <w:hyperlink w:anchor="_Toc234524400" w:history="1">
            <w:r w:rsidRPr="000E4D9E">
              <w:rPr>
                <w:rStyle w:val="Hyperlink"/>
                <w:noProof/>
              </w:rPr>
              <w:t>4.5 Performance-Kennzahlen</w:t>
            </w:r>
            <w:r>
              <w:rPr>
                <w:noProof/>
                <w:webHidden/>
              </w:rPr>
              <w:tab/>
            </w:r>
            <w:r>
              <w:rPr>
                <w:noProof/>
                <w:webHidden/>
              </w:rPr>
              <w:fldChar w:fldCharType="begin"/>
            </w:r>
            <w:r>
              <w:rPr>
                <w:noProof/>
                <w:webHidden/>
              </w:rPr>
              <w:instrText xml:space="preserve"> PAGEREF _Toc234524400 \h </w:instrText>
            </w:r>
            <w:r>
              <w:rPr>
                <w:noProof/>
                <w:webHidden/>
              </w:rPr>
            </w:r>
            <w:r>
              <w:rPr>
                <w:noProof/>
                <w:webHidden/>
              </w:rPr>
              <w:fldChar w:fldCharType="separate"/>
            </w:r>
            <w:r>
              <w:rPr>
                <w:noProof/>
                <w:webHidden/>
              </w:rPr>
              <w:t>1</w:t>
            </w:r>
            <w:r>
              <w:rPr>
                <w:noProof/>
                <w:webHidden/>
              </w:rPr>
              <w:fldChar w:fldCharType="end"/>
            </w:r>
          </w:hyperlink>
        </w:p>
        <w:p w14:paraId="7D7F22E7" w14:textId="77777777" w:rsidR="009118F6" w:rsidRDefault="009118F6">
          <w:pPr>
            <w:pStyle w:val="Verzeichnis2"/>
            <w:tabs>
              <w:tab w:val="right" w:leader="dot" w:pos="8829"/>
            </w:tabs>
            <w:rPr>
              <w:noProof/>
            </w:rPr>
          </w:pPr>
          <w:hyperlink w:anchor="_Toc234524401" w:history="1">
            <w:r w:rsidRPr="000E4D9E">
              <w:rPr>
                <w:rStyle w:val="Hyperlink"/>
                <w:noProof/>
              </w:rPr>
              <w:t>4.6 Die vier verglichenen Strategien</w:t>
            </w:r>
            <w:r>
              <w:rPr>
                <w:noProof/>
                <w:webHidden/>
              </w:rPr>
              <w:tab/>
            </w:r>
            <w:r>
              <w:rPr>
                <w:noProof/>
                <w:webHidden/>
              </w:rPr>
              <w:fldChar w:fldCharType="begin"/>
            </w:r>
            <w:r>
              <w:rPr>
                <w:noProof/>
                <w:webHidden/>
              </w:rPr>
              <w:instrText xml:space="preserve"> PAGEREF _Toc234524401 \h </w:instrText>
            </w:r>
            <w:r>
              <w:rPr>
                <w:noProof/>
                <w:webHidden/>
              </w:rPr>
            </w:r>
            <w:r>
              <w:rPr>
                <w:noProof/>
                <w:webHidden/>
              </w:rPr>
              <w:fldChar w:fldCharType="separate"/>
            </w:r>
            <w:r>
              <w:rPr>
                <w:noProof/>
                <w:webHidden/>
              </w:rPr>
              <w:t>1</w:t>
            </w:r>
            <w:r>
              <w:rPr>
                <w:noProof/>
                <w:webHidden/>
              </w:rPr>
              <w:fldChar w:fldCharType="end"/>
            </w:r>
          </w:hyperlink>
        </w:p>
        <w:p w14:paraId="116AFC52" w14:textId="77777777" w:rsidR="009118F6" w:rsidRDefault="009118F6">
          <w:pPr>
            <w:pStyle w:val="Verzeichnis1"/>
            <w:tabs>
              <w:tab w:val="right" w:leader="dot" w:pos="8829"/>
            </w:tabs>
            <w:rPr>
              <w:noProof/>
            </w:rPr>
          </w:pPr>
          <w:hyperlink w:anchor="_Toc234524402" w:history="1">
            <w:r w:rsidRPr="000E4D9E">
              <w:rPr>
                <w:rStyle w:val="Hyperlink"/>
                <w:noProof/>
              </w:rPr>
              <w:t>5 Statistische Signifikanz und Robustheit</w:t>
            </w:r>
            <w:r>
              <w:rPr>
                <w:noProof/>
                <w:webHidden/>
              </w:rPr>
              <w:tab/>
            </w:r>
            <w:r>
              <w:rPr>
                <w:noProof/>
                <w:webHidden/>
              </w:rPr>
              <w:fldChar w:fldCharType="begin"/>
            </w:r>
            <w:r>
              <w:rPr>
                <w:noProof/>
                <w:webHidden/>
              </w:rPr>
              <w:instrText xml:space="preserve"> PAGEREF _Toc234524402 \h </w:instrText>
            </w:r>
            <w:r>
              <w:rPr>
                <w:noProof/>
                <w:webHidden/>
              </w:rPr>
            </w:r>
            <w:r>
              <w:rPr>
                <w:noProof/>
                <w:webHidden/>
              </w:rPr>
              <w:fldChar w:fldCharType="separate"/>
            </w:r>
            <w:r>
              <w:rPr>
                <w:noProof/>
                <w:webHidden/>
              </w:rPr>
              <w:t>1</w:t>
            </w:r>
            <w:r>
              <w:rPr>
                <w:noProof/>
                <w:webHidden/>
              </w:rPr>
              <w:fldChar w:fldCharType="end"/>
            </w:r>
          </w:hyperlink>
        </w:p>
        <w:p w14:paraId="505E87C4" w14:textId="77777777" w:rsidR="009118F6" w:rsidRDefault="009118F6">
          <w:pPr>
            <w:pStyle w:val="Verzeichnis2"/>
            <w:tabs>
              <w:tab w:val="right" w:leader="dot" w:pos="8829"/>
            </w:tabs>
            <w:rPr>
              <w:noProof/>
            </w:rPr>
          </w:pPr>
          <w:hyperlink w:anchor="_Toc234524403" w:history="1">
            <w:r w:rsidRPr="000E4D9E">
              <w:rPr>
                <w:rStyle w:val="Hyperlink"/>
                <w:noProof/>
              </w:rPr>
              <w:t>5.1 Das Grundproblem: Zufall oder Können?</w:t>
            </w:r>
            <w:r>
              <w:rPr>
                <w:noProof/>
                <w:webHidden/>
              </w:rPr>
              <w:tab/>
            </w:r>
            <w:r>
              <w:rPr>
                <w:noProof/>
                <w:webHidden/>
              </w:rPr>
              <w:fldChar w:fldCharType="begin"/>
            </w:r>
            <w:r>
              <w:rPr>
                <w:noProof/>
                <w:webHidden/>
              </w:rPr>
              <w:instrText xml:space="preserve"> PAGEREF _Toc234524403 \h </w:instrText>
            </w:r>
            <w:r>
              <w:rPr>
                <w:noProof/>
                <w:webHidden/>
              </w:rPr>
            </w:r>
            <w:r>
              <w:rPr>
                <w:noProof/>
                <w:webHidden/>
              </w:rPr>
              <w:fldChar w:fldCharType="separate"/>
            </w:r>
            <w:r>
              <w:rPr>
                <w:noProof/>
                <w:webHidden/>
              </w:rPr>
              <w:t>1</w:t>
            </w:r>
            <w:r>
              <w:rPr>
                <w:noProof/>
                <w:webHidden/>
              </w:rPr>
              <w:fldChar w:fldCharType="end"/>
            </w:r>
          </w:hyperlink>
        </w:p>
        <w:p w14:paraId="558B49F6" w14:textId="77777777" w:rsidR="009118F6" w:rsidRDefault="009118F6">
          <w:pPr>
            <w:pStyle w:val="Verzeichnis2"/>
            <w:tabs>
              <w:tab w:val="right" w:leader="dot" w:pos="8829"/>
            </w:tabs>
            <w:rPr>
              <w:noProof/>
            </w:rPr>
          </w:pPr>
          <w:hyperlink w:anchor="_Toc234524404" w:history="1">
            <w:r w:rsidRPr="000E4D9E">
              <w:rPr>
                <w:rStyle w:val="Hyperlink"/>
                <w:noProof/>
              </w:rPr>
              <w:t>5.2 Der robuste Sharpe-Differenz-Test</w:t>
            </w:r>
            <w:r>
              <w:rPr>
                <w:noProof/>
                <w:webHidden/>
              </w:rPr>
              <w:tab/>
            </w:r>
            <w:r>
              <w:rPr>
                <w:noProof/>
                <w:webHidden/>
              </w:rPr>
              <w:fldChar w:fldCharType="begin"/>
            </w:r>
            <w:r>
              <w:rPr>
                <w:noProof/>
                <w:webHidden/>
              </w:rPr>
              <w:instrText xml:space="preserve"> PAGEREF _Toc234524404 \h </w:instrText>
            </w:r>
            <w:r>
              <w:rPr>
                <w:noProof/>
                <w:webHidden/>
              </w:rPr>
            </w:r>
            <w:r>
              <w:rPr>
                <w:noProof/>
                <w:webHidden/>
              </w:rPr>
              <w:fldChar w:fldCharType="separate"/>
            </w:r>
            <w:r>
              <w:rPr>
                <w:noProof/>
                <w:webHidden/>
              </w:rPr>
              <w:t>1</w:t>
            </w:r>
            <w:r>
              <w:rPr>
                <w:noProof/>
                <w:webHidden/>
              </w:rPr>
              <w:fldChar w:fldCharType="end"/>
            </w:r>
          </w:hyperlink>
        </w:p>
        <w:p w14:paraId="5BA14173" w14:textId="77777777" w:rsidR="009118F6" w:rsidRDefault="009118F6">
          <w:pPr>
            <w:pStyle w:val="Verzeichnis2"/>
            <w:tabs>
              <w:tab w:val="right" w:leader="dot" w:pos="8829"/>
            </w:tabs>
            <w:rPr>
              <w:noProof/>
            </w:rPr>
          </w:pPr>
          <w:hyperlink w:anchor="_Toc234524405" w:history="1">
            <w:r w:rsidRPr="000E4D9E">
              <w:rPr>
                <w:rStyle w:val="Hyperlink"/>
                <w:noProof/>
              </w:rPr>
              <w:t>5.3 Das Problem des multiplen Testens</w:t>
            </w:r>
            <w:r>
              <w:rPr>
                <w:noProof/>
                <w:webHidden/>
              </w:rPr>
              <w:tab/>
            </w:r>
            <w:r>
              <w:rPr>
                <w:noProof/>
                <w:webHidden/>
              </w:rPr>
              <w:fldChar w:fldCharType="begin"/>
            </w:r>
            <w:r>
              <w:rPr>
                <w:noProof/>
                <w:webHidden/>
              </w:rPr>
              <w:instrText xml:space="preserve"> PAGEREF _Toc234524405 \h </w:instrText>
            </w:r>
            <w:r>
              <w:rPr>
                <w:noProof/>
                <w:webHidden/>
              </w:rPr>
            </w:r>
            <w:r>
              <w:rPr>
                <w:noProof/>
                <w:webHidden/>
              </w:rPr>
              <w:fldChar w:fldCharType="separate"/>
            </w:r>
            <w:r>
              <w:rPr>
                <w:noProof/>
                <w:webHidden/>
              </w:rPr>
              <w:t>1</w:t>
            </w:r>
            <w:r>
              <w:rPr>
                <w:noProof/>
                <w:webHidden/>
              </w:rPr>
              <w:fldChar w:fldCharType="end"/>
            </w:r>
          </w:hyperlink>
        </w:p>
        <w:p w14:paraId="5458C5DF" w14:textId="77777777" w:rsidR="009118F6" w:rsidRDefault="009118F6">
          <w:pPr>
            <w:pStyle w:val="Verzeichnis2"/>
            <w:tabs>
              <w:tab w:val="right" w:leader="dot" w:pos="8829"/>
            </w:tabs>
            <w:rPr>
              <w:noProof/>
            </w:rPr>
          </w:pPr>
          <w:hyperlink w:anchor="_Toc234524406" w:history="1">
            <w:r w:rsidRPr="000E4D9E">
              <w:rPr>
                <w:rStyle w:val="Hyperlink"/>
                <w:noProof/>
              </w:rPr>
              <w:t>5.4 Backtest-Overfitting und die Deflated Sharpe Ratio</w:t>
            </w:r>
            <w:r>
              <w:rPr>
                <w:noProof/>
                <w:webHidden/>
              </w:rPr>
              <w:tab/>
            </w:r>
            <w:r>
              <w:rPr>
                <w:noProof/>
                <w:webHidden/>
              </w:rPr>
              <w:fldChar w:fldCharType="begin"/>
            </w:r>
            <w:r>
              <w:rPr>
                <w:noProof/>
                <w:webHidden/>
              </w:rPr>
              <w:instrText xml:space="preserve"> PAGEREF _Toc234524406 \h </w:instrText>
            </w:r>
            <w:r>
              <w:rPr>
                <w:noProof/>
                <w:webHidden/>
              </w:rPr>
            </w:r>
            <w:r>
              <w:rPr>
                <w:noProof/>
                <w:webHidden/>
              </w:rPr>
              <w:fldChar w:fldCharType="separate"/>
            </w:r>
            <w:r>
              <w:rPr>
                <w:noProof/>
                <w:webHidden/>
              </w:rPr>
              <w:t>1</w:t>
            </w:r>
            <w:r>
              <w:rPr>
                <w:noProof/>
                <w:webHidden/>
              </w:rPr>
              <w:fldChar w:fldCharType="end"/>
            </w:r>
          </w:hyperlink>
        </w:p>
        <w:p w14:paraId="6CABE7D5" w14:textId="77777777" w:rsidR="009118F6" w:rsidRDefault="009118F6">
          <w:pPr>
            <w:pStyle w:val="Verzeichnis2"/>
            <w:tabs>
              <w:tab w:val="right" w:leader="dot" w:pos="8829"/>
            </w:tabs>
            <w:rPr>
              <w:noProof/>
            </w:rPr>
          </w:pPr>
          <w:hyperlink w:anchor="_Toc234524407" w:history="1">
            <w:r w:rsidRPr="000E4D9E">
              <w:rPr>
                <w:rStyle w:val="Hyperlink"/>
                <w:noProof/>
              </w:rPr>
              <w:t>5.5 Informationslecks in der Kreuzvalidierung</w:t>
            </w:r>
            <w:r>
              <w:rPr>
                <w:noProof/>
                <w:webHidden/>
              </w:rPr>
              <w:tab/>
            </w:r>
            <w:r>
              <w:rPr>
                <w:noProof/>
                <w:webHidden/>
              </w:rPr>
              <w:fldChar w:fldCharType="begin"/>
            </w:r>
            <w:r>
              <w:rPr>
                <w:noProof/>
                <w:webHidden/>
              </w:rPr>
              <w:instrText xml:space="preserve"> PAGEREF _Toc234524407 \h </w:instrText>
            </w:r>
            <w:r>
              <w:rPr>
                <w:noProof/>
                <w:webHidden/>
              </w:rPr>
            </w:r>
            <w:r>
              <w:rPr>
                <w:noProof/>
                <w:webHidden/>
              </w:rPr>
              <w:fldChar w:fldCharType="separate"/>
            </w:r>
            <w:r>
              <w:rPr>
                <w:noProof/>
                <w:webHidden/>
              </w:rPr>
              <w:t>1</w:t>
            </w:r>
            <w:r>
              <w:rPr>
                <w:noProof/>
                <w:webHidden/>
              </w:rPr>
              <w:fldChar w:fldCharType="end"/>
            </w:r>
          </w:hyperlink>
        </w:p>
        <w:p w14:paraId="19E9BED5" w14:textId="77777777" w:rsidR="009118F6" w:rsidRDefault="009118F6">
          <w:pPr>
            <w:pStyle w:val="Verzeichnis1"/>
            <w:tabs>
              <w:tab w:val="right" w:leader="dot" w:pos="8829"/>
            </w:tabs>
            <w:rPr>
              <w:noProof/>
            </w:rPr>
          </w:pPr>
          <w:hyperlink w:anchor="_Toc234524408" w:history="1">
            <w:r w:rsidRPr="000E4D9E">
              <w:rPr>
                <w:rStyle w:val="Hyperlink"/>
                <w:noProof/>
              </w:rPr>
              <w:t>6 Implementierung</w:t>
            </w:r>
            <w:r>
              <w:rPr>
                <w:noProof/>
                <w:webHidden/>
              </w:rPr>
              <w:tab/>
            </w:r>
            <w:r>
              <w:rPr>
                <w:noProof/>
                <w:webHidden/>
              </w:rPr>
              <w:fldChar w:fldCharType="begin"/>
            </w:r>
            <w:r>
              <w:rPr>
                <w:noProof/>
                <w:webHidden/>
              </w:rPr>
              <w:instrText xml:space="preserve"> PAGEREF _Toc234524408 \h </w:instrText>
            </w:r>
            <w:r>
              <w:rPr>
                <w:noProof/>
                <w:webHidden/>
              </w:rPr>
            </w:r>
            <w:r>
              <w:rPr>
                <w:noProof/>
                <w:webHidden/>
              </w:rPr>
              <w:fldChar w:fldCharType="separate"/>
            </w:r>
            <w:r>
              <w:rPr>
                <w:noProof/>
                <w:webHidden/>
              </w:rPr>
              <w:t>1</w:t>
            </w:r>
            <w:r>
              <w:rPr>
                <w:noProof/>
                <w:webHidden/>
              </w:rPr>
              <w:fldChar w:fldCharType="end"/>
            </w:r>
          </w:hyperlink>
        </w:p>
        <w:p w14:paraId="374AACCC" w14:textId="77777777" w:rsidR="009118F6" w:rsidRDefault="009118F6">
          <w:pPr>
            <w:pStyle w:val="Verzeichnis2"/>
            <w:tabs>
              <w:tab w:val="right" w:leader="dot" w:pos="8829"/>
            </w:tabs>
            <w:rPr>
              <w:noProof/>
            </w:rPr>
          </w:pPr>
          <w:hyperlink w:anchor="_Toc234524409" w:history="1">
            <w:r w:rsidRPr="000E4D9E">
              <w:rPr>
                <w:rStyle w:val="Hyperlink"/>
                <w:noProof/>
              </w:rPr>
              <w:t>6.1 Architektur und Reproduzierbarkeit</w:t>
            </w:r>
            <w:r>
              <w:rPr>
                <w:noProof/>
                <w:webHidden/>
              </w:rPr>
              <w:tab/>
            </w:r>
            <w:r>
              <w:rPr>
                <w:noProof/>
                <w:webHidden/>
              </w:rPr>
              <w:fldChar w:fldCharType="begin"/>
            </w:r>
            <w:r>
              <w:rPr>
                <w:noProof/>
                <w:webHidden/>
              </w:rPr>
              <w:instrText xml:space="preserve"> PAGEREF _Toc234524409 \h </w:instrText>
            </w:r>
            <w:r>
              <w:rPr>
                <w:noProof/>
                <w:webHidden/>
              </w:rPr>
            </w:r>
            <w:r>
              <w:rPr>
                <w:noProof/>
                <w:webHidden/>
              </w:rPr>
              <w:fldChar w:fldCharType="separate"/>
            </w:r>
            <w:r>
              <w:rPr>
                <w:noProof/>
                <w:webHidden/>
              </w:rPr>
              <w:t>1</w:t>
            </w:r>
            <w:r>
              <w:rPr>
                <w:noProof/>
                <w:webHidden/>
              </w:rPr>
              <w:fldChar w:fldCharType="end"/>
            </w:r>
          </w:hyperlink>
        </w:p>
        <w:p w14:paraId="46D3E986" w14:textId="77777777" w:rsidR="009118F6" w:rsidRDefault="009118F6">
          <w:pPr>
            <w:pStyle w:val="Verzeichnis2"/>
            <w:tabs>
              <w:tab w:val="right" w:leader="dot" w:pos="8829"/>
            </w:tabs>
            <w:rPr>
              <w:noProof/>
            </w:rPr>
          </w:pPr>
          <w:hyperlink w:anchor="_Toc234524410" w:history="1">
            <w:r w:rsidRPr="000E4D9E">
              <w:rPr>
                <w:rStyle w:val="Hyperlink"/>
                <w:noProof/>
              </w:rPr>
              <w:t>6.2 Kernkomponenten</w:t>
            </w:r>
            <w:r>
              <w:rPr>
                <w:noProof/>
                <w:webHidden/>
              </w:rPr>
              <w:tab/>
            </w:r>
            <w:r>
              <w:rPr>
                <w:noProof/>
                <w:webHidden/>
              </w:rPr>
              <w:fldChar w:fldCharType="begin"/>
            </w:r>
            <w:r>
              <w:rPr>
                <w:noProof/>
                <w:webHidden/>
              </w:rPr>
              <w:instrText xml:space="preserve"> PAGEREF _Toc234524410 \h </w:instrText>
            </w:r>
            <w:r>
              <w:rPr>
                <w:noProof/>
                <w:webHidden/>
              </w:rPr>
            </w:r>
            <w:r>
              <w:rPr>
                <w:noProof/>
                <w:webHidden/>
              </w:rPr>
              <w:fldChar w:fldCharType="separate"/>
            </w:r>
            <w:r>
              <w:rPr>
                <w:noProof/>
                <w:webHidden/>
              </w:rPr>
              <w:t>1</w:t>
            </w:r>
            <w:r>
              <w:rPr>
                <w:noProof/>
                <w:webHidden/>
              </w:rPr>
              <w:fldChar w:fldCharType="end"/>
            </w:r>
          </w:hyperlink>
        </w:p>
        <w:p w14:paraId="4AB2843C" w14:textId="77777777" w:rsidR="009118F6" w:rsidRDefault="009118F6">
          <w:pPr>
            <w:pStyle w:val="Verzeichnis1"/>
            <w:tabs>
              <w:tab w:val="right" w:leader="dot" w:pos="8829"/>
            </w:tabs>
            <w:rPr>
              <w:noProof/>
            </w:rPr>
          </w:pPr>
          <w:hyperlink w:anchor="_Toc234524411" w:history="1">
            <w:r w:rsidRPr="000E4D9E">
              <w:rPr>
                <w:rStyle w:val="Hyperlink"/>
                <w:noProof/>
              </w:rPr>
              <w:t>7 Ergebnisse</w:t>
            </w:r>
            <w:r>
              <w:rPr>
                <w:noProof/>
                <w:webHidden/>
              </w:rPr>
              <w:tab/>
            </w:r>
            <w:r>
              <w:rPr>
                <w:noProof/>
                <w:webHidden/>
              </w:rPr>
              <w:fldChar w:fldCharType="begin"/>
            </w:r>
            <w:r>
              <w:rPr>
                <w:noProof/>
                <w:webHidden/>
              </w:rPr>
              <w:instrText xml:space="preserve"> PAGEREF _Toc234524411 \h </w:instrText>
            </w:r>
            <w:r>
              <w:rPr>
                <w:noProof/>
                <w:webHidden/>
              </w:rPr>
            </w:r>
            <w:r>
              <w:rPr>
                <w:noProof/>
                <w:webHidden/>
              </w:rPr>
              <w:fldChar w:fldCharType="separate"/>
            </w:r>
            <w:r>
              <w:rPr>
                <w:noProof/>
                <w:webHidden/>
              </w:rPr>
              <w:t>1</w:t>
            </w:r>
            <w:r>
              <w:rPr>
                <w:noProof/>
                <w:webHidden/>
              </w:rPr>
              <w:fldChar w:fldCharType="end"/>
            </w:r>
          </w:hyperlink>
        </w:p>
        <w:p w14:paraId="3D87C15F" w14:textId="77777777" w:rsidR="009118F6" w:rsidRDefault="009118F6">
          <w:pPr>
            <w:pStyle w:val="Verzeichnis2"/>
            <w:tabs>
              <w:tab w:val="right" w:leader="dot" w:pos="8829"/>
            </w:tabs>
            <w:rPr>
              <w:noProof/>
            </w:rPr>
          </w:pPr>
          <w:hyperlink w:anchor="_Toc234524412" w:history="1">
            <w:r w:rsidRPr="000E4D9E">
              <w:rPr>
                <w:rStyle w:val="Hyperlink"/>
                <w:noProof/>
              </w:rPr>
              <w:t>7.1 Performance der vier Strategien</w:t>
            </w:r>
            <w:r>
              <w:rPr>
                <w:noProof/>
                <w:webHidden/>
              </w:rPr>
              <w:tab/>
            </w:r>
            <w:r>
              <w:rPr>
                <w:noProof/>
                <w:webHidden/>
              </w:rPr>
              <w:fldChar w:fldCharType="begin"/>
            </w:r>
            <w:r>
              <w:rPr>
                <w:noProof/>
                <w:webHidden/>
              </w:rPr>
              <w:instrText xml:space="preserve"> PAGEREF _Toc234524412 \h </w:instrText>
            </w:r>
            <w:r>
              <w:rPr>
                <w:noProof/>
                <w:webHidden/>
              </w:rPr>
            </w:r>
            <w:r>
              <w:rPr>
                <w:noProof/>
                <w:webHidden/>
              </w:rPr>
              <w:fldChar w:fldCharType="separate"/>
            </w:r>
            <w:r>
              <w:rPr>
                <w:noProof/>
                <w:webHidden/>
              </w:rPr>
              <w:t>1</w:t>
            </w:r>
            <w:r>
              <w:rPr>
                <w:noProof/>
                <w:webHidden/>
              </w:rPr>
              <w:fldChar w:fldCharType="end"/>
            </w:r>
          </w:hyperlink>
        </w:p>
        <w:p w14:paraId="1C122F9B" w14:textId="77777777" w:rsidR="009118F6" w:rsidRDefault="009118F6">
          <w:pPr>
            <w:pStyle w:val="Verzeichnis2"/>
            <w:tabs>
              <w:tab w:val="right" w:leader="dot" w:pos="8829"/>
            </w:tabs>
            <w:rPr>
              <w:noProof/>
            </w:rPr>
          </w:pPr>
          <w:hyperlink w:anchor="_Toc234524413" w:history="1">
            <w:r w:rsidRPr="000E4D9E">
              <w:rPr>
                <w:rStyle w:val="Hyperlink"/>
                <w:noProof/>
              </w:rPr>
              <w:t>7.2 Statistische Signifikanz der Unterschiede</w:t>
            </w:r>
            <w:r>
              <w:rPr>
                <w:noProof/>
                <w:webHidden/>
              </w:rPr>
              <w:tab/>
            </w:r>
            <w:r>
              <w:rPr>
                <w:noProof/>
                <w:webHidden/>
              </w:rPr>
              <w:fldChar w:fldCharType="begin"/>
            </w:r>
            <w:r>
              <w:rPr>
                <w:noProof/>
                <w:webHidden/>
              </w:rPr>
              <w:instrText xml:space="preserve"> PAGEREF _Toc234524413 \h </w:instrText>
            </w:r>
            <w:r>
              <w:rPr>
                <w:noProof/>
                <w:webHidden/>
              </w:rPr>
            </w:r>
            <w:r>
              <w:rPr>
                <w:noProof/>
                <w:webHidden/>
              </w:rPr>
              <w:fldChar w:fldCharType="separate"/>
            </w:r>
            <w:r>
              <w:rPr>
                <w:noProof/>
                <w:webHidden/>
              </w:rPr>
              <w:t>1</w:t>
            </w:r>
            <w:r>
              <w:rPr>
                <w:noProof/>
                <w:webHidden/>
              </w:rPr>
              <w:fldChar w:fldCharType="end"/>
            </w:r>
          </w:hyperlink>
        </w:p>
        <w:p w14:paraId="00B91BD6" w14:textId="77777777" w:rsidR="009118F6" w:rsidRDefault="009118F6">
          <w:pPr>
            <w:pStyle w:val="Verzeichnis2"/>
            <w:tabs>
              <w:tab w:val="right" w:leader="dot" w:pos="8829"/>
            </w:tabs>
            <w:rPr>
              <w:noProof/>
            </w:rPr>
          </w:pPr>
          <w:hyperlink w:anchor="_Toc234524414" w:history="1">
            <w:r w:rsidRPr="000E4D9E">
              <w:rPr>
                <w:rStyle w:val="Hyperlink"/>
                <w:noProof/>
              </w:rPr>
              <w:t>7.3 Deflated Sharpe Ratio</w:t>
            </w:r>
            <w:r>
              <w:rPr>
                <w:noProof/>
                <w:webHidden/>
              </w:rPr>
              <w:tab/>
            </w:r>
            <w:r>
              <w:rPr>
                <w:noProof/>
                <w:webHidden/>
              </w:rPr>
              <w:fldChar w:fldCharType="begin"/>
            </w:r>
            <w:r>
              <w:rPr>
                <w:noProof/>
                <w:webHidden/>
              </w:rPr>
              <w:instrText xml:space="preserve"> PAGEREF _Toc234524414 \h </w:instrText>
            </w:r>
            <w:r>
              <w:rPr>
                <w:noProof/>
                <w:webHidden/>
              </w:rPr>
            </w:r>
            <w:r>
              <w:rPr>
                <w:noProof/>
                <w:webHidden/>
              </w:rPr>
              <w:fldChar w:fldCharType="separate"/>
            </w:r>
            <w:r>
              <w:rPr>
                <w:noProof/>
                <w:webHidden/>
              </w:rPr>
              <w:t>1</w:t>
            </w:r>
            <w:r>
              <w:rPr>
                <w:noProof/>
                <w:webHidden/>
              </w:rPr>
              <w:fldChar w:fldCharType="end"/>
            </w:r>
          </w:hyperlink>
        </w:p>
        <w:p w14:paraId="586DA201" w14:textId="77777777" w:rsidR="009118F6" w:rsidRDefault="009118F6">
          <w:pPr>
            <w:pStyle w:val="Verzeichnis1"/>
            <w:tabs>
              <w:tab w:val="right" w:leader="dot" w:pos="8829"/>
            </w:tabs>
            <w:rPr>
              <w:noProof/>
            </w:rPr>
          </w:pPr>
          <w:hyperlink w:anchor="_Toc234524415" w:history="1">
            <w:r w:rsidRPr="000E4D9E">
              <w:rPr>
                <w:rStyle w:val="Hyperlink"/>
                <w:noProof/>
              </w:rPr>
              <w:t>8 Diskussion und kritische Würdigung</w:t>
            </w:r>
            <w:r>
              <w:rPr>
                <w:noProof/>
                <w:webHidden/>
              </w:rPr>
              <w:tab/>
            </w:r>
            <w:r>
              <w:rPr>
                <w:noProof/>
                <w:webHidden/>
              </w:rPr>
              <w:fldChar w:fldCharType="begin"/>
            </w:r>
            <w:r>
              <w:rPr>
                <w:noProof/>
                <w:webHidden/>
              </w:rPr>
              <w:instrText xml:space="preserve"> PAGEREF _Toc234524415 \h </w:instrText>
            </w:r>
            <w:r>
              <w:rPr>
                <w:noProof/>
                <w:webHidden/>
              </w:rPr>
            </w:r>
            <w:r>
              <w:rPr>
                <w:noProof/>
                <w:webHidden/>
              </w:rPr>
              <w:fldChar w:fldCharType="separate"/>
            </w:r>
            <w:r>
              <w:rPr>
                <w:noProof/>
                <w:webHidden/>
              </w:rPr>
              <w:t>1</w:t>
            </w:r>
            <w:r>
              <w:rPr>
                <w:noProof/>
                <w:webHidden/>
              </w:rPr>
              <w:fldChar w:fldCharType="end"/>
            </w:r>
          </w:hyperlink>
        </w:p>
        <w:p w14:paraId="00ECE23A" w14:textId="77777777" w:rsidR="009118F6" w:rsidRDefault="009118F6">
          <w:pPr>
            <w:pStyle w:val="Verzeichnis2"/>
            <w:tabs>
              <w:tab w:val="right" w:leader="dot" w:pos="8829"/>
            </w:tabs>
            <w:rPr>
              <w:noProof/>
            </w:rPr>
          </w:pPr>
          <w:hyperlink w:anchor="_Toc234524416" w:history="1">
            <w:r w:rsidRPr="000E4D9E">
              <w:rPr>
                <w:rStyle w:val="Hyperlink"/>
                <w:noProof/>
              </w:rPr>
              <w:t>8.1 Einordnung des Kernbefunds</w:t>
            </w:r>
            <w:r>
              <w:rPr>
                <w:noProof/>
                <w:webHidden/>
              </w:rPr>
              <w:tab/>
            </w:r>
            <w:r>
              <w:rPr>
                <w:noProof/>
                <w:webHidden/>
              </w:rPr>
              <w:fldChar w:fldCharType="begin"/>
            </w:r>
            <w:r>
              <w:rPr>
                <w:noProof/>
                <w:webHidden/>
              </w:rPr>
              <w:instrText xml:space="preserve"> PAGEREF _Toc234524416 \h </w:instrText>
            </w:r>
            <w:r>
              <w:rPr>
                <w:noProof/>
                <w:webHidden/>
              </w:rPr>
            </w:r>
            <w:r>
              <w:rPr>
                <w:noProof/>
                <w:webHidden/>
              </w:rPr>
              <w:fldChar w:fldCharType="separate"/>
            </w:r>
            <w:r>
              <w:rPr>
                <w:noProof/>
                <w:webHidden/>
              </w:rPr>
              <w:t>1</w:t>
            </w:r>
            <w:r>
              <w:rPr>
                <w:noProof/>
                <w:webHidden/>
              </w:rPr>
              <w:fldChar w:fldCharType="end"/>
            </w:r>
          </w:hyperlink>
        </w:p>
        <w:p w14:paraId="1AAF6C31" w14:textId="77777777" w:rsidR="009118F6" w:rsidRDefault="009118F6">
          <w:pPr>
            <w:pStyle w:val="Verzeichnis2"/>
            <w:tabs>
              <w:tab w:val="right" w:leader="dot" w:pos="8829"/>
            </w:tabs>
            <w:rPr>
              <w:noProof/>
            </w:rPr>
          </w:pPr>
          <w:hyperlink w:anchor="_Toc234524417" w:history="1">
            <w:r w:rsidRPr="000E4D9E">
              <w:rPr>
                <w:rStyle w:val="Hyperlink"/>
                <w:noProof/>
              </w:rPr>
              <w:t>8.2 Survivorship Bias</w:t>
            </w:r>
            <w:r>
              <w:rPr>
                <w:noProof/>
                <w:webHidden/>
              </w:rPr>
              <w:tab/>
            </w:r>
            <w:r>
              <w:rPr>
                <w:noProof/>
                <w:webHidden/>
              </w:rPr>
              <w:fldChar w:fldCharType="begin"/>
            </w:r>
            <w:r>
              <w:rPr>
                <w:noProof/>
                <w:webHidden/>
              </w:rPr>
              <w:instrText xml:space="preserve"> PAGEREF _Toc234524417 \h </w:instrText>
            </w:r>
            <w:r>
              <w:rPr>
                <w:noProof/>
                <w:webHidden/>
              </w:rPr>
            </w:r>
            <w:r>
              <w:rPr>
                <w:noProof/>
                <w:webHidden/>
              </w:rPr>
              <w:fldChar w:fldCharType="separate"/>
            </w:r>
            <w:r>
              <w:rPr>
                <w:noProof/>
                <w:webHidden/>
              </w:rPr>
              <w:t>1</w:t>
            </w:r>
            <w:r>
              <w:rPr>
                <w:noProof/>
                <w:webHidden/>
              </w:rPr>
              <w:fldChar w:fldCharType="end"/>
            </w:r>
          </w:hyperlink>
        </w:p>
        <w:p w14:paraId="56D65237" w14:textId="77777777" w:rsidR="009118F6" w:rsidRDefault="009118F6">
          <w:pPr>
            <w:pStyle w:val="Verzeichnis2"/>
            <w:tabs>
              <w:tab w:val="right" w:leader="dot" w:pos="8829"/>
            </w:tabs>
            <w:rPr>
              <w:noProof/>
            </w:rPr>
          </w:pPr>
          <w:hyperlink w:anchor="_Toc234524418" w:history="1">
            <w:r w:rsidRPr="000E4D9E">
              <w:rPr>
                <w:rStyle w:val="Hyperlink"/>
                <w:noProof/>
              </w:rPr>
              <w:t>8.3 Weitere Limitationen</w:t>
            </w:r>
            <w:r>
              <w:rPr>
                <w:noProof/>
                <w:webHidden/>
              </w:rPr>
              <w:tab/>
            </w:r>
            <w:r>
              <w:rPr>
                <w:noProof/>
                <w:webHidden/>
              </w:rPr>
              <w:fldChar w:fldCharType="begin"/>
            </w:r>
            <w:r>
              <w:rPr>
                <w:noProof/>
                <w:webHidden/>
              </w:rPr>
              <w:instrText xml:space="preserve"> PAGEREF _Toc234524418 \h </w:instrText>
            </w:r>
            <w:r>
              <w:rPr>
                <w:noProof/>
                <w:webHidden/>
              </w:rPr>
            </w:r>
            <w:r>
              <w:rPr>
                <w:noProof/>
                <w:webHidden/>
              </w:rPr>
              <w:fldChar w:fldCharType="separate"/>
            </w:r>
            <w:r>
              <w:rPr>
                <w:noProof/>
                <w:webHidden/>
              </w:rPr>
              <w:t>1</w:t>
            </w:r>
            <w:r>
              <w:rPr>
                <w:noProof/>
                <w:webHidden/>
              </w:rPr>
              <w:fldChar w:fldCharType="end"/>
            </w:r>
          </w:hyperlink>
        </w:p>
        <w:p w14:paraId="771CF915" w14:textId="77777777" w:rsidR="009118F6" w:rsidRDefault="009118F6">
          <w:pPr>
            <w:pStyle w:val="Verzeichnis1"/>
            <w:tabs>
              <w:tab w:val="right" w:leader="dot" w:pos="8829"/>
            </w:tabs>
            <w:rPr>
              <w:noProof/>
            </w:rPr>
          </w:pPr>
          <w:hyperlink w:anchor="_Toc234524419" w:history="1">
            <w:r w:rsidRPr="000E4D9E">
              <w:rPr>
                <w:rStyle w:val="Hyperlink"/>
                <w:noProof/>
              </w:rPr>
              <w:t>9 Fazit und Ausblick</w:t>
            </w:r>
            <w:r>
              <w:rPr>
                <w:noProof/>
                <w:webHidden/>
              </w:rPr>
              <w:tab/>
            </w:r>
            <w:r>
              <w:rPr>
                <w:noProof/>
                <w:webHidden/>
              </w:rPr>
              <w:fldChar w:fldCharType="begin"/>
            </w:r>
            <w:r>
              <w:rPr>
                <w:noProof/>
                <w:webHidden/>
              </w:rPr>
              <w:instrText xml:space="preserve"> PAGEREF _Toc234524419 \h </w:instrText>
            </w:r>
            <w:r>
              <w:rPr>
                <w:noProof/>
                <w:webHidden/>
              </w:rPr>
            </w:r>
            <w:r>
              <w:rPr>
                <w:noProof/>
                <w:webHidden/>
              </w:rPr>
              <w:fldChar w:fldCharType="separate"/>
            </w:r>
            <w:r>
              <w:rPr>
                <w:noProof/>
                <w:webHidden/>
              </w:rPr>
              <w:t>1</w:t>
            </w:r>
            <w:r>
              <w:rPr>
                <w:noProof/>
                <w:webHidden/>
              </w:rPr>
              <w:fldChar w:fldCharType="end"/>
            </w:r>
          </w:hyperlink>
        </w:p>
        <w:p w14:paraId="2D8C8ED8" w14:textId="77777777" w:rsidR="009118F6" w:rsidRDefault="009118F6">
          <w:pPr>
            <w:pStyle w:val="Verzeichnis2"/>
            <w:tabs>
              <w:tab w:val="right" w:leader="dot" w:pos="8829"/>
            </w:tabs>
            <w:rPr>
              <w:noProof/>
            </w:rPr>
          </w:pPr>
          <w:hyperlink w:anchor="_Toc234524420" w:history="1">
            <w:r w:rsidRPr="000E4D9E">
              <w:rPr>
                <w:rStyle w:val="Hyperlink"/>
                <w:noProof/>
              </w:rPr>
              <w:t>9.1 Beantwortung der Forschungsfrage</w:t>
            </w:r>
            <w:r>
              <w:rPr>
                <w:noProof/>
                <w:webHidden/>
              </w:rPr>
              <w:tab/>
            </w:r>
            <w:r>
              <w:rPr>
                <w:noProof/>
                <w:webHidden/>
              </w:rPr>
              <w:fldChar w:fldCharType="begin"/>
            </w:r>
            <w:r>
              <w:rPr>
                <w:noProof/>
                <w:webHidden/>
              </w:rPr>
              <w:instrText xml:space="preserve"> PAGEREF _Toc234524420 \h </w:instrText>
            </w:r>
            <w:r>
              <w:rPr>
                <w:noProof/>
                <w:webHidden/>
              </w:rPr>
            </w:r>
            <w:r>
              <w:rPr>
                <w:noProof/>
                <w:webHidden/>
              </w:rPr>
              <w:fldChar w:fldCharType="separate"/>
            </w:r>
            <w:r>
              <w:rPr>
                <w:noProof/>
                <w:webHidden/>
              </w:rPr>
              <w:t>1</w:t>
            </w:r>
            <w:r>
              <w:rPr>
                <w:noProof/>
                <w:webHidden/>
              </w:rPr>
              <w:fldChar w:fldCharType="end"/>
            </w:r>
          </w:hyperlink>
        </w:p>
        <w:p w14:paraId="0450C3D2" w14:textId="77777777" w:rsidR="009118F6" w:rsidRDefault="009118F6">
          <w:pPr>
            <w:pStyle w:val="Verzeichnis2"/>
            <w:tabs>
              <w:tab w:val="right" w:leader="dot" w:pos="8829"/>
            </w:tabs>
            <w:rPr>
              <w:noProof/>
            </w:rPr>
          </w:pPr>
          <w:hyperlink w:anchor="_Toc234524421" w:history="1">
            <w:r w:rsidRPr="000E4D9E">
              <w:rPr>
                <w:rStyle w:val="Hyperlink"/>
                <w:noProof/>
              </w:rPr>
              <w:t>9.2 Ausblick</w:t>
            </w:r>
            <w:r>
              <w:rPr>
                <w:noProof/>
                <w:webHidden/>
              </w:rPr>
              <w:tab/>
            </w:r>
            <w:r>
              <w:rPr>
                <w:noProof/>
                <w:webHidden/>
              </w:rPr>
              <w:fldChar w:fldCharType="begin"/>
            </w:r>
            <w:r>
              <w:rPr>
                <w:noProof/>
                <w:webHidden/>
              </w:rPr>
              <w:instrText xml:space="preserve"> PAGEREF _Toc234524421 \h </w:instrText>
            </w:r>
            <w:r>
              <w:rPr>
                <w:noProof/>
                <w:webHidden/>
              </w:rPr>
            </w:r>
            <w:r>
              <w:rPr>
                <w:noProof/>
                <w:webHidden/>
              </w:rPr>
              <w:fldChar w:fldCharType="separate"/>
            </w:r>
            <w:r>
              <w:rPr>
                <w:noProof/>
                <w:webHidden/>
              </w:rPr>
              <w:t>1</w:t>
            </w:r>
            <w:r>
              <w:rPr>
                <w:noProof/>
                <w:webHidden/>
              </w:rPr>
              <w:fldChar w:fldCharType="end"/>
            </w:r>
          </w:hyperlink>
        </w:p>
        <w:p w14:paraId="2975107A" w14:textId="77777777" w:rsidR="009118F6" w:rsidRDefault="009118F6">
          <w:pPr>
            <w:pStyle w:val="Verzeichnis1"/>
            <w:tabs>
              <w:tab w:val="right" w:leader="dot" w:pos="8829"/>
            </w:tabs>
            <w:rPr>
              <w:noProof/>
            </w:rPr>
          </w:pPr>
          <w:hyperlink w:anchor="_Toc234524422" w:history="1">
            <w:r w:rsidRPr="000E4D9E">
              <w:rPr>
                <w:rStyle w:val="Hyperlink"/>
                <w:noProof/>
              </w:rPr>
              <w:t>Literaturverzeichnis</w:t>
            </w:r>
            <w:r>
              <w:rPr>
                <w:noProof/>
                <w:webHidden/>
              </w:rPr>
              <w:tab/>
            </w:r>
            <w:r>
              <w:rPr>
                <w:noProof/>
                <w:webHidden/>
              </w:rPr>
              <w:fldChar w:fldCharType="begin"/>
            </w:r>
            <w:r>
              <w:rPr>
                <w:noProof/>
                <w:webHidden/>
              </w:rPr>
              <w:instrText xml:space="preserve"> PAGEREF _Toc234524422 \h </w:instrText>
            </w:r>
            <w:r>
              <w:rPr>
                <w:noProof/>
                <w:webHidden/>
              </w:rPr>
            </w:r>
            <w:r>
              <w:rPr>
                <w:noProof/>
                <w:webHidden/>
              </w:rPr>
              <w:fldChar w:fldCharType="separate"/>
            </w:r>
            <w:r>
              <w:rPr>
                <w:noProof/>
                <w:webHidden/>
              </w:rPr>
              <w:t>1</w:t>
            </w:r>
            <w:r>
              <w:rPr>
                <w:noProof/>
                <w:webHidden/>
              </w:rPr>
              <w:fldChar w:fldCharType="end"/>
            </w:r>
          </w:hyperlink>
        </w:p>
        <w:p w14:paraId="0B05F336" w14:textId="77777777" w:rsidR="009118F6" w:rsidRDefault="009118F6">
          <w:pPr>
            <w:pStyle w:val="Verzeichnis1"/>
            <w:tabs>
              <w:tab w:val="right" w:leader="dot" w:pos="8829"/>
            </w:tabs>
            <w:rPr>
              <w:noProof/>
            </w:rPr>
          </w:pPr>
          <w:hyperlink w:anchor="_Toc234524423" w:history="1">
            <w:r w:rsidRPr="000E4D9E">
              <w:rPr>
                <w:rStyle w:val="Hyperlink"/>
                <w:noProof/>
              </w:rPr>
              <w:t>Schlusserklärung</w:t>
            </w:r>
            <w:r>
              <w:rPr>
                <w:noProof/>
                <w:webHidden/>
              </w:rPr>
              <w:tab/>
            </w:r>
            <w:r>
              <w:rPr>
                <w:noProof/>
                <w:webHidden/>
              </w:rPr>
              <w:fldChar w:fldCharType="begin"/>
            </w:r>
            <w:r>
              <w:rPr>
                <w:noProof/>
                <w:webHidden/>
              </w:rPr>
              <w:instrText xml:space="preserve"> PAGEREF _Toc234524423 \h </w:instrText>
            </w:r>
            <w:r>
              <w:rPr>
                <w:noProof/>
                <w:webHidden/>
              </w:rPr>
            </w:r>
            <w:r>
              <w:rPr>
                <w:noProof/>
                <w:webHidden/>
              </w:rPr>
              <w:fldChar w:fldCharType="separate"/>
            </w:r>
            <w:r>
              <w:rPr>
                <w:noProof/>
                <w:webHidden/>
              </w:rPr>
              <w:t>1</w:t>
            </w:r>
            <w:r>
              <w:rPr>
                <w:noProof/>
                <w:webHidden/>
              </w:rPr>
              <w:fldChar w:fldCharType="end"/>
            </w:r>
          </w:hyperlink>
        </w:p>
        <w:p w14:paraId="7E501EC1" w14:textId="77777777" w:rsidR="009118F6" w:rsidRDefault="009118F6">
          <w:pPr>
            <w:pStyle w:val="Verzeichnis1"/>
            <w:tabs>
              <w:tab w:val="right" w:leader="dot" w:pos="8829"/>
            </w:tabs>
            <w:rPr>
              <w:noProof/>
            </w:rPr>
          </w:pPr>
          <w:hyperlink w:anchor="_Toc234524424" w:history="1">
            <w:r w:rsidRPr="000E4D9E">
              <w:rPr>
                <w:rStyle w:val="Hyperlink"/>
                <w:noProof/>
              </w:rPr>
              <w:t>Anhang</w:t>
            </w:r>
            <w:r>
              <w:rPr>
                <w:noProof/>
                <w:webHidden/>
              </w:rPr>
              <w:tab/>
            </w:r>
            <w:r>
              <w:rPr>
                <w:noProof/>
                <w:webHidden/>
              </w:rPr>
              <w:fldChar w:fldCharType="begin"/>
            </w:r>
            <w:r>
              <w:rPr>
                <w:noProof/>
                <w:webHidden/>
              </w:rPr>
              <w:instrText xml:space="preserve"> PAGEREF _Toc234524424 \h </w:instrText>
            </w:r>
            <w:r>
              <w:rPr>
                <w:noProof/>
                <w:webHidden/>
              </w:rPr>
            </w:r>
            <w:r>
              <w:rPr>
                <w:noProof/>
                <w:webHidden/>
              </w:rPr>
              <w:fldChar w:fldCharType="separate"/>
            </w:r>
            <w:r>
              <w:rPr>
                <w:noProof/>
                <w:webHidden/>
              </w:rPr>
              <w:t>1</w:t>
            </w:r>
            <w:r>
              <w:rPr>
                <w:noProof/>
                <w:webHidden/>
              </w:rPr>
              <w:fldChar w:fldCharType="end"/>
            </w:r>
          </w:hyperlink>
        </w:p>
        <w:p w14:paraId="62B8BE88" w14:textId="77777777" w:rsidR="00FA1406" w:rsidRDefault="00000000">
          <w:r>
            <w:fldChar w:fldCharType="end"/>
          </w:r>
        </w:p>
      </w:sdtContent>
    </w:sdt>
    <w:p w14:paraId="64726150" w14:textId="77777777" w:rsidR="00FA1406" w:rsidRPr="009118F6" w:rsidRDefault="00000000">
      <w:pPr>
        <w:spacing w:after="40"/>
        <w:jc w:val="center"/>
        <w:rPr>
          <w:lang w:val="de-DE"/>
        </w:rPr>
      </w:pPr>
      <w:bookmarkStart w:id="0" w:name="einleitung"/>
      <w:r w:rsidRPr="009118F6">
        <w:rPr>
          <w:lang w:val="de-DE"/>
        </w:rPr>
        <w:t>[Name der Schule]</w:t>
      </w:r>
    </w:p>
    <w:p w14:paraId="130C2836" w14:textId="77777777" w:rsidR="00FA1406" w:rsidRPr="009118F6" w:rsidRDefault="00000000">
      <w:pPr>
        <w:jc w:val="center"/>
        <w:rPr>
          <w:lang w:val="de-DE"/>
        </w:rPr>
      </w:pPr>
      <w:r w:rsidRPr="009118F6">
        <w:rPr>
          <w:lang w:val="de-DE"/>
        </w:rPr>
        <w:t>W-Seminar im Fach [Fach] — [Titel des W-Seminars]</w:t>
      </w:r>
    </w:p>
    <w:p w14:paraId="546F538B" w14:textId="77777777" w:rsidR="00FA1406" w:rsidRPr="009118F6" w:rsidRDefault="00FA1406">
      <w:pPr>
        <w:jc w:val="center"/>
        <w:rPr>
          <w:lang w:val="de-DE"/>
        </w:rPr>
      </w:pPr>
    </w:p>
    <w:p w14:paraId="4DE4D09D" w14:textId="77777777" w:rsidR="00FA1406" w:rsidRPr="009118F6" w:rsidRDefault="00FA1406">
      <w:pPr>
        <w:jc w:val="center"/>
        <w:rPr>
          <w:lang w:val="de-DE"/>
        </w:rPr>
      </w:pPr>
    </w:p>
    <w:p w14:paraId="5E23FE0F" w14:textId="77777777" w:rsidR="00FA1406" w:rsidRPr="009118F6" w:rsidRDefault="00FA1406">
      <w:pPr>
        <w:jc w:val="center"/>
        <w:rPr>
          <w:lang w:val="de-DE"/>
        </w:rPr>
      </w:pPr>
    </w:p>
    <w:p w14:paraId="25D67C4A" w14:textId="77777777" w:rsidR="00FA1406" w:rsidRPr="009118F6" w:rsidRDefault="00FA1406">
      <w:pPr>
        <w:jc w:val="center"/>
        <w:rPr>
          <w:lang w:val="de-DE"/>
        </w:rPr>
      </w:pPr>
    </w:p>
    <w:p w14:paraId="306AD982" w14:textId="77777777" w:rsidR="00FA1406" w:rsidRPr="009118F6" w:rsidRDefault="00000000">
      <w:pPr>
        <w:spacing w:after="80"/>
        <w:jc w:val="center"/>
        <w:rPr>
          <w:lang w:val="de-DE"/>
        </w:rPr>
      </w:pPr>
      <w:r w:rsidRPr="009118F6">
        <w:rPr>
          <w:b/>
          <w:sz w:val="44"/>
          <w:lang w:val="de-DE"/>
        </w:rPr>
        <w:t>Markowitz versus Random Forest</w:t>
      </w:r>
    </w:p>
    <w:p w14:paraId="0E2713AA" w14:textId="77777777" w:rsidR="00FA1406" w:rsidRPr="009118F6" w:rsidRDefault="00000000">
      <w:pPr>
        <w:jc w:val="center"/>
        <w:rPr>
          <w:lang w:val="de-DE"/>
        </w:rPr>
      </w:pPr>
      <w:r w:rsidRPr="009118F6">
        <w:rPr>
          <w:i/>
          <w:sz w:val="28"/>
          <w:lang w:val="de-DE"/>
        </w:rPr>
        <w:t>Ein statistisch abgesicherter Vergleich von Portfolio­optimierungs­strategien</w:t>
      </w:r>
    </w:p>
    <w:p w14:paraId="0C2A2685" w14:textId="77777777" w:rsidR="00FA1406" w:rsidRPr="009118F6" w:rsidRDefault="00FA1406">
      <w:pPr>
        <w:jc w:val="center"/>
        <w:rPr>
          <w:lang w:val="de-DE"/>
        </w:rPr>
      </w:pPr>
    </w:p>
    <w:p w14:paraId="481473EA" w14:textId="77777777" w:rsidR="00FA1406" w:rsidRPr="009118F6" w:rsidRDefault="00FA1406">
      <w:pPr>
        <w:jc w:val="center"/>
        <w:rPr>
          <w:lang w:val="de-DE"/>
        </w:rPr>
      </w:pPr>
    </w:p>
    <w:p w14:paraId="53AFA94E" w14:textId="77777777" w:rsidR="00FA1406" w:rsidRPr="009118F6" w:rsidRDefault="00FA1406">
      <w:pPr>
        <w:jc w:val="center"/>
        <w:rPr>
          <w:lang w:val="de-DE"/>
        </w:rPr>
      </w:pPr>
    </w:p>
    <w:p w14:paraId="14FEF240" w14:textId="77777777" w:rsidR="00FA1406" w:rsidRPr="009118F6" w:rsidRDefault="00FA1406">
      <w:pPr>
        <w:jc w:val="center"/>
        <w:rPr>
          <w:lang w:val="de-DE"/>
        </w:rPr>
      </w:pPr>
    </w:p>
    <w:p w14:paraId="13A03DB8" w14:textId="77777777" w:rsidR="00FA1406" w:rsidRPr="009118F6" w:rsidRDefault="00FA1406">
      <w:pPr>
        <w:jc w:val="center"/>
        <w:rPr>
          <w:lang w:val="de-DE"/>
        </w:rPr>
      </w:pPr>
    </w:p>
    <w:p w14:paraId="056C85BA" w14:textId="77777777" w:rsidR="00FA1406" w:rsidRPr="009118F6" w:rsidRDefault="00000000">
      <w:pPr>
        <w:spacing w:after="40"/>
        <w:jc w:val="center"/>
        <w:rPr>
          <w:lang w:val="de-DE"/>
        </w:rPr>
      </w:pPr>
      <w:r w:rsidRPr="009118F6">
        <w:rPr>
          <w:b/>
          <w:lang w:val="de-DE"/>
        </w:rPr>
        <w:t>Seminararbeit</w:t>
      </w:r>
    </w:p>
    <w:p w14:paraId="2F52E7CB" w14:textId="77777777" w:rsidR="00FA1406" w:rsidRPr="009118F6" w:rsidRDefault="00000000">
      <w:pPr>
        <w:jc w:val="center"/>
        <w:rPr>
          <w:lang w:val="de-DE"/>
        </w:rPr>
      </w:pPr>
      <w:r w:rsidRPr="009118F6">
        <w:rPr>
          <w:lang w:val="de-DE"/>
        </w:rPr>
        <w:t>von [Vorname Nachname]</w:t>
      </w:r>
    </w:p>
    <w:p w14:paraId="1A932B91" w14:textId="77777777" w:rsidR="00FA1406" w:rsidRPr="009118F6" w:rsidRDefault="00FA1406">
      <w:pPr>
        <w:jc w:val="center"/>
        <w:rPr>
          <w:lang w:val="de-DE"/>
        </w:rPr>
      </w:pPr>
    </w:p>
    <w:p w14:paraId="1AFB24D5" w14:textId="77777777" w:rsidR="00FA1406" w:rsidRPr="009118F6" w:rsidRDefault="00FA1406">
      <w:pPr>
        <w:jc w:val="center"/>
        <w:rPr>
          <w:lang w:val="de-DE"/>
        </w:rPr>
      </w:pPr>
    </w:p>
    <w:p w14:paraId="2FC0B9F9" w14:textId="77777777" w:rsidR="00FA1406" w:rsidRPr="009118F6" w:rsidRDefault="00FA1406">
      <w:pPr>
        <w:jc w:val="center"/>
        <w:rPr>
          <w:lang w:val="de-DE"/>
        </w:rPr>
      </w:pPr>
    </w:p>
    <w:p w14:paraId="0FAB60F3" w14:textId="77777777" w:rsidR="00FA1406" w:rsidRPr="009118F6" w:rsidRDefault="00FA1406">
      <w:pPr>
        <w:jc w:val="center"/>
        <w:rPr>
          <w:lang w:val="de-DE"/>
        </w:rPr>
      </w:pPr>
    </w:p>
    <w:p w14:paraId="3CB2F570" w14:textId="77777777" w:rsidR="00FA1406" w:rsidRPr="009118F6" w:rsidRDefault="00000000">
      <w:pPr>
        <w:spacing w:after="40"/>
        <w:jc w:val="center"/>
        <w:rPr>
          <w:lang w:val="de-DE"/>
        </w:rPr>
      </w:pPr>
      <w:r w:rsidRPr="009118F6">
        <w:rPr>
          <w:lang w:val="de-DE"/>
        </w:rPr>
        <w:t>Betreuende Lehrkraft: [Name der Lehrkraft]</w:t>
      </w:r>
    </w:p>
    <w:p w14:paraId="387E9524" w14:textId="77777777" w:rsidR="00FA1406" w:rsidRPr="009118F6" w:rsidRDefault="00000000">
      <w:pPr>
        <w:spacing w:after="40"/>
        <w:jc w:val="center"/>
        <w:rPr>
          <w:lang w:val="de-DE"/>
        </w:rPr>
      </w:pPr>
      <w:r w:rsidRPr="009118F6">
        <w:rPr>
          <w:lang w:val="de-DE"/>
        </w:rPr>
        <w:t>Abgabetermin: [TT.MM.JJJJ]</w:t>
      </w:r>
    </w:p>
    <w:p w14:paraId="6B2C5C8B" w14:textId="77777777" w:rsidR="00FA1406" w:rsidRPr="009118F6" w:rsidRDefault="00000000">
      <w:pPr>
        <w:jc w:val="center"/>
        <w:rPr>
          <w:lang w:val="de-DE"/>
        </w:rPr>
      </w:pPr>
      <w:r w:rsidRPr="009118F6">
        <w:rPr>
          <w:lang w:val="de-DE"/>
        </w:rPr>
        <w:t>[Ort], [TT.MM.JJJJ]</w:t>
      </w:r>
    </w:p>
    <w:p w14:paraId="1FE731DD" w14:textId="77777777" w:rsidR="00FA1406" w:rsidRPr="009118F6" w:rsidRDefault="00000000">
      <w:pPr>
        <w:rPr>
          <w:lang w:val="de-DE"/>
        </w:rPr>
      </w:pPr>
      <w:r w:rsidRPr="009118F6">
        <w:rPr>
          <w:lang w:val="de-DE"/>
        </w:rPr>
        <w:br w:type="page"/>
      </w:r>
    </w:p>
    <w:p w14:paraId="0370BE62" w14:textId="77777777" w:rsidR="00FA1406" w:rsidRPr="009118F6" w:rsidRDefault="00000000">
      <w:pPr>
        <w:pStyle w:val="berschrift1"/>
        <w:rPr>
          <w:lang w:val="de-DE"/>
        </w:rPr>
        <w:sectPr w:rsidR="00FA1406" w:rsidRPr="009118F6">
          <w:footerReference w:type="default" r:id="rId7"/>
          <w:footnotePr>
            <w:numRestart w:val="eachSect"/>
          </w:footnotePr>
          <w:pgSz w:w="12240" w:h="15840"/>
          <w:pgMar w:top="1417" w:right="1417" w:bottom="1417" w:left="1984" w:header="720" w:footer="720" w:gutter="0"/>
          <w:cols w:space="720"/>
        </w:sectPr>
      </w:pPr>
      <w:bookmarkStart w:id="1" w:name="_Toc234524374"/>
      <w:r w:rsidRPr="009118F6">
        <w:rPr>
          <w:lang w:val="de-DE"/>
        </w:rPr>
        <w:lastRenderedPageBreak/>
        <w:t>Inhaltsverzeichnis</w:t>
      </w:r>
      <w:bookmarkEnd w:id="1"/>
    </w:p>
    <w:p w14:paraId="174479F0" w14:textId="77777777" w:rsidR="00FA1406" w:rsidRPr="009118F6" w:rsidRDefault="00000000">
      <w:pPr>
        <w:pStyle w:val="berschrift1"/>
        <w:rPr>
          <w:lang w:val="de-DE"/>
        </w:rPr>
      </w:pPr>
      <w:bookmarkStart w:id="2" w:name="_Toc234524375"/>
      <w:r w:rsidRPr="009118F6">
        <w:rPr>
          <w:lang w:val="de-DE"/>
        </w:rPr>
        <w:lastRenderedPageBreak/>
        <w:t>1 Einleitung</w:t>
      </w:r>
      <w:bookmarkEnd w:id="2"/>
    </w:p>
    <w:p w14:paraId="3906B8D7" w14:textId="77777777" w:rsidR="00FA1406" w:rsidRPr="009118F6" w:rsidRDefault="00000000">
      <w:pPr>
        <w:pStyle w:val="berschrift2"/>
        <w:rPr>
          <w:lang w:val="de-DE"/>
        </w:rPr>
      </w:pPr>
      <w:bookmarkStart w:id="3" w:name="motivation"/>
      <w:bookmarkStart w:id="4" w:name="_Toc234524376"/>
      <w:r w:rsidRPr="009118F6">
        <w:rPr>
          <w:lang w:val="de-DE"/>
        </w:rPr>
        <w:t>1.1 Motivation</w:t>
      </w:r>
      <w:bookmarkEnd w:id="4"/>
    </w:p>
    <w:p w14:paraId="51EDE2FA" w14:textId="77777777" w:rsidR="00FA1406" w:rsidRPr="009118F6" w:rsidRDefault="00000000">
      <w:pPr>
        <w:pStyle w:val="FirstParagraph"/>
        <w:rPr>
          <w:lang w:val="de-DE"/>
        </w:rPr>
      </w:pPr>
      <w:r w:rsidRPr="009118F6">
        <w:rPr>
          <w:lang w:val="de-DE"/>
        </w:rPr>
        <w:t>Die Frage, wie ein Anleger sein Vermögen optimal auf verschiedene Wertpapiere verteilt, gehört zu den ältesten der Finanzwissenschaft. Mit der Arbeit von Markowitz erhielt sie 1952 ein mathematisches Fundament: Seither lässt sich die Portfoliowahl als Abwägung zwischen erwarteter Rendite und Risiko (Varianz) beschreiben (Markowitz, 1952, S. 77). In den folgenden Jahrzehnten wurde dieses Verfahren verfeinert – und zugleich grundlegend in Frage gestellt, weil seine „optimalen” Lösungen empfindlich auf Schätzfehler reagieren und schon eine naive Gleichverteilung out-</w:t>
      </w:r>
      <w:proofErr w:type="spellStart"/>
      <w:r w:rsidRPr="009118F6">
        <w:rPr>
          <w:lang w:val="de-DE"/>
        </w:rPr>
        <w:t>of</w:t>
      </w:r>
      <w:proofErr w:type="spellEnd"/>
      <w:r w:rsidRPr="009118F6">
        <w:rPr>
          <w:lang w:val="de-DE"/>
        </w:rPr>
        <w:t>-sample oft nicht zu schlagen ist (DeMiguel et al., 2009, S. 1915).</w:t>
      </w:r>
    </w:p>
    <w:p w14:paraId="2E29669D" w14:textId="77777777" w:rsidR="00FA1406" w:rsidRPr="009118F6" w:rsidRDefault="00000000">
      <w:pPr>
        <w:pStyle w:val="Textkrper"/>
        <w:rPr>
          <w:lang w:val="de-DE"/>
        </w:rPr>
      </w:pPr>
      <w:r w:rsidRPr="009118F6">
        <w:rPr>
          <w:lang w:val="de-DE"/>
        </w:rPr>
        <w:t>Zugleich hält das maschinelle Lernen Einzug in die Finanzwelt: Verfahren wie der Random Forest versprechen, aus großen Datenmengen bessere Renditeprognosen zu gewinnen (</w:t>
      </w:r>
      <w:proofErr w:type="spellStart"/>
      <w:r w:rsidRPr="009118F6">
        <w:rPr>
          <w:lang w:val="de-DE"/>
        </w:rPr>
        <w:t>Gu</w:t>
      </w:r>
      <w:proofErr w:type="spellEnd"/>
      <w:r w:rsidRPr="009118F6">
        <w:rPr>
          <w:lang w:val="de-DE"/>
        </w:rPr>
        <w:t xml:space="preserve"> et al., 2020, S. 2223). Damit stellt sich neu und konkret die Frage, ob solche datengetriebenen Methoden die klassische Optimierung und die simple Gleichverteilung tatsächlich übertreffen – oder ob ihr scheinbarer Vorsprung bloß ein Zufall des betrachteten Zeitraums ist.</w:t>
      </w:r>
    </w:p>
    <w:p w14:paraId="05526E0E" w14:textId="42A1DA9B" w:rsidR="00FA1406" w:rsidRPr="009118F6" w:rsidRDefault="00000000" w:rsidP="009118F6">
      <w:pPr>
        <w:pStyle w:val="berschrift2"/>
        <w:rPr>
          <w:lang w:val="de-DE"/>
        </w:rPr>
      </w:pPr>
      <w:bookmarkStart w:id="5" w:name="forschungsfrage-und-leitfragen"/>
      <w:bookmarkStart w:id="6" w:name="_Toc234524377"/>
      <w:bookmarkEnd w:id="3"/>
      <w:r w:rsidRPr="009118F6">
        <w:rPr>
          <w:lang w:val="de-DE"/>
        </w:rPr>
        <w:t>1.2 Forschungsfrage und Leitfragen</w:t>
      </w:r>
      <w:bookmarkEnd w:id="6"/>
    </w:p>
    <w:p w14:paraId="4654BA78" w14:textId="77777777" w:rsidR="00FA1406" w:rsidRPr="009118F6" w:rsidRDefault="00000000">
      <w:pPr>
        <w:pStyle w:val="FirstParagraph"/>
        <w:rPr>
          <w:lang w:val="de-DE"/>
        </w:rPr>
      </w:pPr>
      <w:r w:rsidRPr="009118F6">
        <w:rPr>
          <w:lang w:val="de-DE"/>
        </w:rPr>
        <w:t xml:space="preserve">Die vorliegende Arbeit untersucht daher die folgende Forschungsfrage: </w:t>
      </w:r>
      <w:r w:rsidRPr="009118F6">
        <w:rPr>
          <w:i/>
          <w:iCs/>
          <w:lang w:val="de-DE"/>
        </w:rPr>
        <w:t>Kann eine Random-Forest-gestützte Portfoliooptimierung die klassische Markowitz-Mean-</w:t>
      </w:r>
      <w:proofErr w:type="spellStart"/>
      <w:r w:rsidRPr="009118F6">
        <w:rPr>
          <w:i/>
          <w:iCs/>
          <w:lang w:val="de-DE"/>
        </w:rPr>
        <w:t>Variance</w:t>
      </w:r>
      <w:proofErr w:type="spellEnd"/>
      <w:r w:rsidRPr="009118F6">
        <w:rPr>
          <w:i/>
          <w:iCs/>
          <w:lang w:val="de-DE"/>
        </w:rPr>
        <w:t xml:space="preserve">-Optimierung und die naive 1/N-Diversifikation hinsichtlich der risikoadjustierten Rendite </w:t>
      </w:r>
      <w:r w:rsidRPr="00677999">
        <w:rPr>
          <w:b/>
          <w:bCs/>
          <w:i/>
          <w:iCs/>
          <w:lang w:val="de-DE"/>
        </w:rPr>
        <w:t>übertreffen</w:t>
      </w:r>
      <w:r w:rsidRPr="009118F6">
        <w:rPr>
          <w:i/>
          <w:iCs/>
          <w:lang w:val="de-DE"/>
        </w:rPr>
        <w:t xml:space="preserve"> – und ist ein etwaiger Vorsprung statistisch belastbar?</w:t>
      </w:r>
    </w:p>
    <w:p w14:paraId="3B826DF4" w14:textId="77777777" w:rsidR="00FA1406" w:rsidRPr="009118F6" w:rsidRDefault="00000000">
      <w:pPr>
        <w:pStyle w:val="Textkrper"/>
        <w:rPr>
          <w:lang w:val="de-DE"/>
        </w:rPr>
      </w:pPr>
      <w:r w:rsidRPr="009118F6">
        <w:rPr>
          <w:lang w:val="de-DE"/>
        </w:rPr>
        <w:t>Zur Beantwortung dienen fünf Leitfragen:</w:t>
      </w:r>
    </w:p>
    <w:p w14:paraId="15C0F3BF" w14:textId="77777777" w:rsidR="00FA1406" w:rsidRPr="009118F6" w:rsidRDefault="00000000">
      <w:pPr>
        <w:pStyle w:val="Compact"/>
        <w:numPr>
          <w:ilvl w:val="0"/>
          <w:numId w:val="2"/>
        </w:numPr>
        <w:rPr>
          <w:lang w:val="de-DE"/>
        </w:rPr>
      </w:pPr>
      <w:r w:rsidRPr="009118F6">
        <w:rPr>
          <w:lang w:val="de-DE"/>
        </w:rPr>
        <w:t>Auf welcher mathematischen Theorie beruht die Mean-</w:t>
      </w:r>
      <w:proofErr w:type="spellStart"/>
      <w:r w:rsidRPr="009118F6">
        <w:rPr>
          <w:lang w:val="de-DE"/>
        </w:rPr>
        <w:t>Variance</w:t>
      </w:r>
      <w:proofErr w:type="spellEnd"/>
      <w:r w:rsidRPr="009118F6">
        <w:rPr>
          <w:lang w:val="de-DE"/>
        </w:rPr>
        <w:t>-Optimierung, und welche Schwächen hat sie?</w:t>
      </w:r>
    </w:p>
    <w:p w14:paraId="2653B284" w14:textId="77777777" w:rsidR="00FA1406" w:rsidRPr="009118F6" w:rsidRDefault="00000000">
      <w:pPr>
        <w:pStyle w:val="Compact"/>
        <w:numPr>
          <w:ilvl w:val="0"/>
          <w:numId w:val="2"/>
        </w:numPr>
        <w:rPr>
          <w:lang w:val="de-DE"/>
        </w:rPr>
      </w:pPr>
      <w:r w:rsidRPr="009118F6">
        <w:rPr>
          <w:lang w:val="de-DE"/>
        </w:rPr>
        <w:t>Wie funktioniert ein Random Forest, und wie lässt er sich zur Renditeprognose einsetzen?</w:t>
      </w:r>
    </w:p>
    <w:p w14:paraId="73F43A68" w14:textId="77777777" w:rsidR="00FA1406" w:rsidRPr="009118F6" w:rsidRDefault="00000000">
      <w:pPr>
        <w:pStyle w:val="Compact"/>
        <w:numPr>
          <w:ilvl w:val="0"/>
          <w:numId w:val="2"/>
        </w:numPr>
        <w:rPr>
          <w:lang w:val="de-DE"/>
        </w:rPr>
      </w:pPr>
      <w:r w:rsidRPr="009118F6">
        <w:rPr>
          <w:lang w:val="de-DE"/>
        </w:rPr>
        <w:t>Wie vergleicht man Anlagestrategien methodisch sauber und verzerrungsfrei?</w:t>
      </w:r>
    </w:p>
    <w:p w14:paraId="7B719A6B" w14:textId="77777777" w:rsidR="00FA1406" w:rsidRPr="009118F6" w:rsidRDefault="00000000">
      <w:pPr>
        <w:pStyle w:val="Compact"/>
        <w:numPr>
          <w:ilvl w:val="0"/>
          <w:numId w:val="2"/>
        </w:numPr>
        <w:rPr>
          <w:lang w:val="de-DE"/>
        </w:rPr>
      </w:pPr>
      <w:r w:rsidRPr="009118F6">
        <w:rPr>
          <w:lang w:val="de-DE"/>
        </w:rPr>
        <w:lastRenderedPageBreak/>
        <w:t>Sind beobachtete Performance-Unterschiede statistisch signifikant oder Zufall?</w:t>
      </w:r>
    </w:p>
    <w:p w14:paraId="503DF7A0" w14:textId="77777777" w:rsidR="00FA1406" w:rsidRPr="009118F6" w:rsidRDefault="00000000">
      <w:pPr>
        <w:pStyle w:val="Compact"/>
        <w:numPr>
          <w:ilvl w:val="0"/>
          <w:numId w:val="2"/>
        </w:numPr>
        <w:rPr>
          <w:lang w:val="de-DE"/>
        </w:rPr>
      </w:pPr>
      <w:r w:rsidRPr="009118F6">
        <w:rPr>
          <w:lang w:val="de-DE"/>
        </w:rPr>
        <w:t>Welche Ergebnisse liefert der empirische Vergleich, und welche Grenzen hat er?</w:t>
      </w:r>
    </w:p>
    <w:p w14:paraId="74519F98" w14:textId="77777777" w:rsidR="00FA1406" w:rsidRPr="009118F6" w:rsidRDefault="00000000">
      <w:pPr>
        <w:pStyle w:val="berschrift2"/>
        <w:rPr>
          <w:lang w:val="de-DE"/>
        </w:rPr>
      </w:pPr>
      <w:bookmarkStart w:id="7" w:name="aufbau-der-arbeit"/>
      <w:bookmarkStart w:id="8" w:name="_Toc234524378"/>
      <w:bookmarkEnd w:id="5"/>
      <w:r w:rsidRPr="009118F6">
        <w:rPr>
          <w:lang w:val="de-DE"/>
        </w:rPr>
        <w:t>1.3 Aufbau der Arbeit</w:t>
      </w:r>
      <w:bookmarkEnd w:id="8"/>
    </w:p>
    <w:p w14:paraId="7A648EB0" w14:textId="77777777" w:rsidR="00FA1406" w:rsidRPr="009118F6" w:rsidRDefault="00000000">
      <w:pPr>
        <w:pStyle w:val="FirstParagraph"/>
        <w:rPr>
          <w:lang w:val="de-DE"/>
        </w:rPr>
      </w:pPr>
      <w:r w:rsidRPr="009118F6">
        <w:rPr>
          <w:lang w:val="de-DE"/>
        </w:rPr>
        <w:t>Kapitel 2 entwickelt die Theorie der Mean-</w:t>
      </w:r>
      <w:proofErr w:type="spellStart"/>
      <w:r w:rsidRPr="009118F6">
        <w:rPr>
          <w:lang w:val="de-DE"/>
        </w:rPr>
        <w:t>Variance</w:t>
      </w:r>
      <w:proofErr w:type="spellEnd"/>
      <w:r w:rsidRPr="009118F6">
        <w:rPr>
          <w:lang w:val="de-DE"/>
        </w:rPr>
        <w:t>-Optimierung samt ihrer Schätzproblematik und der 1/N-Benchmark; Kapitel 3 erläutert den Random Forest und seinen Einsatz in der Renditeprognose. Kapitel 4 beschreibt die Methodik des empirischen Vergleichs, Kapitel 5 die statistischen Verfahren zur Signifikanzprüfung. Kapitel 6 dokumentiert die Implementierung, Kapitel 7 präsentiert die Ergebnisse. Kapitel 8 diskutiert diese kritisch und benennt die Limitationen, Kapitel 9 fasst die Befunde zusammen und gibt einen Ausblick.</w:t>
      </w:r>
    </w:p>
    <w:p w14:paraId="7EC2FB88" w14:textId="77777777" w:rsidR="00FA1406" w:rsidRPr="009118F6" w:rsidRDefault="00000000">
      <w:pPr>
        <w:pStyle w:val="berschrift1"/>
        <w:rPr>
          <w:lang w:val="de-DE"/>
        </w:rPr>
      </w:pPr>
      <w:bookmarkStart w:id="9" w:name="X755ea9fba24d7bd83bac3177d33a2b4bdfbef71"/>
      <w:bookmarkStart w:id="10" w:name="_Toc234524379"/>
      <w:bookmarkEnd w:id="0"/>
      <w:bookmarkEnd w:id="7"/>
      <w:r w:rsidRPr="009118F6">
        <w:rPr>
          <w:lang w:val="de-DE"/>
        </w:rPr>
        <w:t>2 Theoretische Grundlagen der Portfoliooptimierung</w:t>
      </w:r>
      <w:bookmarkEnd w:id="10"/>
    </w:p>
    <w:p w14:paraId="19388B84" w14:textId="77777777" w:rsidR="00FA1406" w:rsidRPr="009118F6" w:rsidRDefault="00000000">
      <w:pPr>
        <w:pStyle w:val="berschrift2"/>
        <w:rPr>
          <w:lang w:val="de-DE"/>
        </w:rPr>
      </w:pPr>
      <w:bookmarkStart w:id="11" w:name="rendite-und-risiko-einer-anlage"/>
      <w:bookmarkStart w:id="12" w:name="_Toc234524380"/>
      <w:r w:rsidRPr="009118F6">
        <w:rPr>
          <w:lang w:val="de-DE"/>
        </w:rPr>
        <w:t>2.1 Rendite und Risiko einer Anlage</w:t>
      </w:r>
      <w:bookmarkEnd w:id="12"/>
    </w:p>
    <w:p w14:paraId="294D0B37" w14:textId="77777777" w:rsidR="00FA1406" w:rsidRPr="009118F6" w:rsidRDefault="00000000">
      <w:pPr>
        <w:pStyle w:val="FirstParagraph"/>
        <w:rPr>
          <w:lang w:val="de-DE"/>
        </w:rPr>
      </w:pPr>
      <w:r w:rsidRPr="009118F6">
        <w:rPr>
          <w:lang w:val="de-DE"/>
        </w:rPr>
        <w:t xml:space="preserve">Die moderne Portfoliotheorie geht auf Markowitz zurück, der den Auswahlprozess in zwei Stufen gliedert: Die erste Stufe führt von Beobachtung und Erfahrung zu Erwartungen über die künftige Wertentwicklung der Wertpapiere, die zweite von diesen Erwartungen zur Wahl des Portfolios (Markowitz, 1952, S. 77). Grundlegend ist dabei die Annahme, dass der Anleger die erwartete Rendite als wünschenswert und die Streuung der Rendite als unerwünscht ansieht (Markowitz, 1952, S. 77). Diese beiden Größen werden statistisch gefasst: Der Erwartungswert (das Mittel) </w:t>
      </w:r>
      <m:oMath>
        <m:r>
          <w:rPr>
            <w:rFonts w:ascii="Cambria Math" w:hAnsi="Cambria Math"/>
          </w:rPr>
          <m:t>E</m:t>
        </m:r>
      </m:oMath>
      <w:r w:rsidRPr="009118F6">
        <w:rPr>
          <w:lang w:val="de-DE"/>
        </w:rPr>
        <w:t xml:space="preserve"> </w:t>
      </w:r>
      <w:proofErr w:type="gramStart"/>
      <w:r w:rsidRPr="009118F6">
        <w:rPr>
          <w:lang w:val="de-DE"/>
        </w:rPr>
        <w:t>einer Zufallsvariablen</w:t>
      </w:r>
      <w:proofErr w:type="gramEnd"/>
      <w:r w:rsidRPr="009118F6">
        <w:rPr>
          <w:lang w:val="de-DE"/>
        </w:rPr>
        <w:t xml:space="preserve"> beschreibt die durchschnittlich zu erwartende Rendite, die Varianz </w:t>
      </w:r>
      <m:oMath>
        <m:r>
          <w:rPr>
            <w:rFonts w:ascii="Cambria Math" w:hAnsi="Cambria Math"/>
          </w:rPr>
          <m:t>V</m:t>
        </m:r>
      </m:oMath>
      <w:r w:rsidRPr="009118F6">
        <w:rPr>
          <w:lang w:val="de-DE"/>
        </w:rPr>
        <w:t xml:space="preserve"> die durchschnittliche quadratische Abweichung der Rendite von ihrem Erwartungswert; als verwandtes Streuungsmaß dient die Standardabweichung </w:t>
      </w:r>
      <m:oMath>
        <m:r>
          <w:rPr>
            <w:rFonts w:ascii="Cambria Math" w:hAnsi="Cambria Math"/>
          </w:rPr>
          <m:t>σ</m:t>
        </m:r>
        <m:r>
          <m:rPr>
            <m:sty m:val="p"/>
          </m:rPr>
          <w:rPr>
            <w:rFonts w:ascii="Cambria Math" w:hAnsi="Cambria Math"/>
            <w:lang w:val="de-DE"/>
          </w:rPr>
          <m:t>=</m:t>
        </m:r>
        <m:rad>
          <m:radPr>
            <m:degHide m:val="1"/>
            <m:ctrlPr>
              <w:rPr>
                <w:rFonts w:ascii="Cambria Math" w:hAnsi="Cambria Math"/>
              </w:rPr>
            </m:ctrlPr>
          </m:radPr>
          <m:deg/>
          <m:e>
            <m:r>
              <w:rPr>
                <w:rFonts w:ascii="Cambria Math" w:hAnsi="Cambria Math"/>
              </w:rPr>
              <m:t>V</m:t>
            </m:r>
          </m:e>
        </m:rad>
      </m:oMath>
      <w:r w:rsidRPr="009118F6">
        <w:rPr>
          <w:lang w:val="de-DE"/>
        </w:rPr>
        <w:t xml:space="preserve"> (Markowitz, 1952, S. 80). Markowitz hält ausdrücklich fest, dass die in der Finanzliteratur gebräuchlichen Begriffe „Ertrag” und „Risiko” weitgehend bedeutungsgleich durch „erwartete Rendite” und „Varianz der Rendite” ersetzt werden können (Markowitz, 1952, S. 89). Damit wird das Anlageproblem auf zwei Kennzahlen reduziert – eine Vereinfachung, deren Tragweite und Grenzen die folgenden Abschnitte entfalten.</w:t>
      </w:r>
    </w:p>
    <w:p w14:paraId="0BB402AB" w14:textId="77777777" w:rsidR="00FA1406" w:rsidRPr="009118F6" w:rsidRDefault="00000000">
      <w:pPr>
        <w:pStyle w:val="berschrift2"/>
        <w:rPr>
          <w:lang w:val="de-DE"/>
        </w:rPr>
      </w:pPr>
      <w:bookmarkStart w:id="13" w:name="diversifikation-und-kovarianz"/>
      <w:bookmarkStart w:id="14" w:name="_Toc234524381"/>
      <w:bookmarkEnd w:id="11"/>
      <w:r w:rsidRPr="009118F6">
        <w:rPr>
          <w:lang w:val="de-DE"/>
        </w:rPr>
        <w:lastRenderedPageBreak/>
        <w:t>2.2 Diversifikation und Kovarianz</w:t>
      </w:r>
      <w:bookmarkEnd w:id="14"/>
    </w:p>
    <w:p w14:paraId="13D70AC1" w14:textId="77777777" w:rsidR="00FA1406" w:rsidRPr="009118F6" w:rsidRDefault="00000000">
      <w:pPr>
        <w:pStyle w:val="FirstParagraph"/>
        <w:rPr>
          <w:lang w:val="de-DE"/>
        </w:rPr>
      </w:pPr>
      <w:r w:rsidRPr="009118F6">
        <w:rPr>
          <w:lang w:val="de-DE"/>
        </w:rPr>
        <w:t>Den Ausgangspunkt der Theorie bildet die Ablehnung einer rein renditeorientierten Anlageregel. Würde der Anleger allein den diskontierten erwarteten Ertrag maximieren, so legte er sein gesamtes Vermögen in das eine Wertpapier mit dem höchsten erwarteten Ertrag; eine solche Regel begründet niemals die Überlegenheit eines gestreuten Portfolios. Da Diversifikation aber sowohl beobachtet als auch sinnvoll sei, müsse eine Regel, die sie nicht impliziert, verworfen werden (Markowitz, 1952, S. 77).</w:t>
      </w:r>
    </w:p>
    <w:p w14:paraId="3BC43D2B" w14:textId="77777777" w:rsidR="00FA1406" w:rsidRPr="009118F6" w:rsidRDefault="00000000">
      <w:pPr>
        <w:pStyle w:val="Textkrper"/>
        <w:rPr>
          <w:lang w:val="de-DE"/>
        </w:rPr>
      </w:pPr>
      <w:r w:rsidRPr="009118F6">
        <w:rPr>
          <w:lang w:val="de-DE"/>
        </w:rPr>
        <w:t xml:space="preserve">Auch der naheliegende Einwand, das Gesetz der großen Zahl sorge bei breiter Streuung ohnehin für einen verlässlichen Durchschnittsertrag, greift nicht: Die Wertpapierrenditen sind zu stark untereinander korreliert, sodass Diversifikation niemals die gesamte Varianz beseitigen kann (Markowitz, 1952, S. 79). Entscheidend für den Diversifikationseffekt ist daher das Zusammenspiel der Anlagen, das Markowitz über die </w:t>
      </w:r>
      <w:r w:rsidRPr="009118F6">
        <w:rPr>
          <w:b/>
          <w:bCs/>
          <w:lang w:val="de-DE"/>
        </w:rPr>
        <w:t>Kovarianz</w:t>
      </w:r>
      <w:r w:rsidRPr="009118F6">
        <w:rPr>
          <w:lang w:val="de-DE"/>
        </w:rPr>
        <w:t xml:space="preserve"> erfasst. Die Kovarianz zweier Renditen lässt sich über den Korrelationskoeffizienten ausdrücken: Sie ist gleich dem Produkt aus ihrer Korrelation und den beiden Standardabweichungen, </w:t>
      </w:r>
      <m:oMath>
        <m:sSub>
          <m:sSubPr>
            <m:ctrlPr>
              <w:rPr>
                <w:rFonts w:ascii="Cambria Math" w:hAnsi="Cambria Math"/>
              </w:rPr>
            </m:ctrlPr>
          </m:sSubPr>
          <m:e>
            <m:r>
              <w:rPr>
                <w:rFonts w:ascii="Cambria Math" w:hAnsi="Cambria Math"/>
              </w:rPr>
              <m:t>σ</m:t>
            </m:r>
          </m:e>
          <m:sub>
            <m:r>
              <w:rPr>
                <w:rFonts w:ascii="Cambria Math" w:hAnsi="Cambria Math"/>
              </w:rPr>
              <m:t>ij</m:t>
            </m:r>
          </m:sub>
        </m:sSub>
        <m:r>
          <m:rPr>
            <m:sty m:val="p"/>
          </m:rPr>
          <w:rPr>
            <w:rFonts w:ascii="Cambria Math" w:hAnsi="Cambria Math"/>
            <w:lang w:val="de-DE"/>
          </w:rPr>
          <m:t>=</m:t>
        </m:r>
        <m:sSub>
          <m:sSubPr>
            <m:ctrlPr>
              <w:rPr>
                <w:rFonts w:ascii="Cambria Math" w:hAnsi="Cambria Math"/>
              </w:rPr>
            </m:ctrlPr>
          </m:sSubPr>
          <m:e>
            <m:r>
              <w:rPr>
                <w:rFonts w:ascii="Cambria Math" w:hAnsi="Cambria Math"/>
              </w:rPr>
              <m:t>ρ</m:t>
            </m:r>
          </m:e>
          <m:sub>
            <m:r>
              <w:rPr>
                <w:rFonts w:ascii="Cambria Math" w:hAnsi="Cambria Math"/>
              </w:rPr>
              <m:t>ij</m:t>
            </m:r>
          </m:sub>
        </m:sSub>
        <m:r>
          <w:rPr>
            <w:rFonts w:ascii="Cambria Math" w:hAnsi="Cambria Math"/>
            <w:lang w:val="de-DE"/>
          </w:rPr>
          <m:t> </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lang w:val="de-DE"/>
          </w:rPr>
          <m:t> </m:t>
        </m:r>
        <m:sSub>
          <m:sSubPr>
            <m:ctrlPr>
              <w:rPr>
                <w:rFonts w:ascii="Cambria Math" w:hAnsi="Cambria Math"/>
              </w:rPr>
            </m:ctrlPr>
          </m:sSubPr>
          <m:e>
            <m:r>
              <w:rPr>
                <w:rFonts w:ascii="Cambria Math" w:hAnsi="Cambria Math"/>
              </w:rPr>
              <m:t>σ</m:t>
            </m:r>
          </m:e>
          <m:sub>
            <m:r>
              <w:rPr>
                <w:rFonts w:ascii="Cambria Math" w:hAnsi="Cambria Math"/>
              </w:rPr>
              <m:t>j</m:t>
            </m:r>
          </m:sub>
        </m:sSub>
      </m:oMath>
      <w:r w:rsidRPr="009118F6">
        <w:rPr>
          <w:lang w:val="de-DE"/>
        </w:rPr>
        <w:t xml:space="preserve"> (Markowitz, 1952, S. 81).</w:t>
      </w:r>
    </w:p>
    <w:p w14:paraId="726B7728" w14:textId="77777777" w:rsidR="00FA1406" w:rsidRPr="009118F6" w:rsidRDefault="00000000">
      <w:pPr>
        <w:pStyle w:val="Textkrper"/>
        <w:rPr>
          <w:lang w:val="de-DE"/>
        </w:rPr>
      </w:pPr>
      <w:r w:rsidRPr="009118F6">
        <w:rPr>
          <w:lang w:val="de-DE"/>
        </w:rPr>
        <w:t>Hieraus folgt eine zentrale Einsicht: Um die Varianz klein zu halten, genügt es nicht, in viele Wertpapiere zu investieren; vielmehr müssen Wertpapiere mit hohen Kovarianzen untereinander gemieden werden. Ein Portfolio aus sechzig Eisenbahntiteln ist deshalb schlechter diversifiziert als ein gleich großes über verschiedene Branchen gestreutes, weil Firmen derselben Branche eher gleichzeitig schwächeln und damit höhere Kovarianzen aufweisen (Markowitz, 1952, S. 89). Diversifikation muss also „der richtigen Art und aus dem richtigen Grund” erfolgen (Markowitz, 1952, S. 89).</w:t>
      </w:r>
    </w:p>
    <w:p w14:paraId="1FC71FE3" w14:textId="77777777" w:rsidR="00FA1406" w:rsidRPr="009118F6" w:rsidRDefault="00000000">
      <w:pPr>
        <w:pStyle w:val="berschrift2"/>
        <w:rPr>
          <w:lang w:val="de-DE"/>
        </w:rPr>
      </w:pPr>
      <w:bookmarkStart w:id="15" w:name="X33a1f4bc0ad83e38d5a05488658ffb6fb4a4d2c"/>
      <w:bookmarkStart w:id="16" w:name="_Toc234524382"/>
      <w:bookmarkEnd w:id="13"/>
      <w:r w:rsidRPr="009118F6">
        <w:rPr>
          <w:lang w:val="de-DE"/>
        </w:rPr>
        <w:t>2.3 Portfoliorendite, Portfoliovarianz und die Effizienzlinie</w:t>
      </w:r>
      <w:bookmarkEnd w:id="16"/>
    </w:p>
    <w:p w14:paraId="351EFF96" w14:textId="77777777" w:rsidR="00FA1406" w:rsidRPr="009118F6" w:rsidRDefault="00000000">
      <w:pPr>
        <w:pStyle w:val="FirstParagraph"/>
        <w:rPr>
          <w:lang w:val="de-DE"/>
        </w:rPr>
      </w:pPr>
      <w:r w:rsidRPr="009118F6">
        <w:rPr>
          <w:lang w:val="de-DE"/>
        </w:rPr>
        <w:t xml:space="preserve">Formal beschreibt Markowitz ein Portfolio durch die Anteile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118F6">
        <w:rPr>
          <w:lang w:val="de-DE"/>
        </w:rPr>
        <w:t xml:space="preserve">, die ein Anleger den </w:t>
      </w:r>
      <m:oMath>
        <m:r>
          <w:rPr>
            <w:rFonts w:ascii="Cambria Math" w:hAnsi="Cambria Math"/>
          </w:rPr>
          <m:t>N</m:t>
        </m:r>
      </m:oMath>
      <w:r w:rsidRPr="009118F6">
        <w:rPr>
          <w:lang w:val="de-DE"/>
        </w:rPr>
        <w:t xml:space="preserve"> Wertpapieren zuweist. Da es sich um Anteile handelt, gilt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lang w:val="de-DE"/>
          </w:rPr>
          <m:t>=</m:t>
        </m:r>
        <m:r>
          <w:rPr>
            <w:rFonts w:ascii="Cambria Math" w:hAnsi="Cambria Math"/>
            <w:lang w:val="de-DE"/>
          </w:rPr>
          <m:t>1</m:t>
        </m:r>
      </m:oMath>
      <w:r w:rsidRPr="009118F6">
        <w:rPr>
          <w:lang w:val="de-DE"/>
        </w:rPr>
        <w:t xml:space="preserve">; Leerverkäufe werden ausgeschlossen, also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de-DE"/>
          </w:rPr>
          <m:t>≥</m:t>
        </m:r>
        <m:r>
          <w:rPr>
            <w:rFonts w:ascii="Cambria Math" w:hAnsi="Cambria Math"/>
            <w:lang w:val="de-DE"/>
          </w:rPr>
          <m:t>0</m:t>
        </m:r>
      </m:oMath>
      <w:r w:rsidRPr="009118F6">
        <w:rPr>
          <w:lang w:val="de-DE"/>
        </w:rPr>
        <w:t xml:space="preserve"> für alle </w:t>
      </w:r>
      <m:oMath>
        <m:r>
          <w:rPr>
            <w:rFonts w:ascii="Cambria Math" w:hAnsi="Cambria Math"/>
          </w:rPr>
          <m:t>i</m:t>
        </m:r>
      </m:oMath>
      <w:r w:rsidRPr="009118F6">
        <w:rPr>
          <w:lang w:val="de-DE"/>
        </w:rPr>
        <w:t xml:space="preserve"> (Markowitz, 1952, S. 81). Die Portfoliorendite </w:t>
      </w:r>
      <m:oMath>
        <m:r>
          <w:rPr>
            <w:rFonts w:ascii="Cambria Math" w:hAnsi="Cambria Math"/>
          </w:rPr>
          <m:t>R</m:t>
        </m:r>
        <m:r>
          <m:rPr>
            <m:sty m:val="p"/>
          </m:rPr>
          <w:rPr>
            <w:rFonts w:ascii="Cambria Math" w:hAnsi="Cambria Math"/>
            <w:lang w:val="de-DE"/>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sSub>
          <m:sSubPr>
            <m:ctrlPr>
              <w:rPr>
                <w:rFonts w:ascii="Cambria Math" w:hAnsi="Cambria Math"/>
              </w:rPr>
            </m:ctrlPr>
          </m:sSubPr>
          <m:e>
            <m:r>
              <w:rPr>
                <w:rFonts w:ascii="Cambria Math" w:hAnsi="Cambria Math"/>
              </w:rPr>
              <m:t>R</m:t>
            </m:r>
          </m:e>
          <m:sub>
            <m:r>
              <w:rPr>
                <w:rFonts w:ascii="Cambria Math" w:hAnsi="Cambria Math"/>
              </w:rPr>
              <m:t>i</m:t>
            </m:r>
          </m:sub>
        </m:sSub>
      </m:oMath>
      <w:r w:rsidRPr="009118F6">
        <w:rPr>
          <w:lang w:val="de-DE"/>
        </w:rPr>
        <w:t xml:space="preserve"> ist eine gewichtete Summe der – als Zufallsvariablen aufgefassten – Einzelrenditen. Für die beiden maßgeblichen Kenngrößen gilt: Die erwartete Portfoliorendite ist die </w:t>
      </w:r>
      <w:r w:rsidRPr="009118F6">
        <w:rPr>
          <w:lang w:val="de-DE"/>
        </w:rPr>
        <w:lastRenderedPageBreak/>
        <w:t xml:space="preserve">gewichtete Summe der erwarteten Einzelrenditen, </w:t>
      </w:r>
      <m:oMath>
        <m:r>
          <w:rPr>
            <w:rFonts w:ascii="Cambria Math" w:hAnsi="Cambria Math"/>
          </w:rPr>
          <m:t>E</m:t>
        </m:r>
        <m:r>
          <m:rPr>
            <m:sty m:val="p"/>
          </m:rPr>
          <w:rPr>
            <w:rFonts w:ascii="Cambria Math" w:hAnsi="Cambria Math"/>
            <w:lang w:val="de-DE"/>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sSub>
          <m:sSubPr>
            <m:ctrlPr>
              <w:rPr>
                <w:rFonts w:ascii="Cambria Math" w:hAnsi="Cambria Math"/>
              </w:rPr>
            </m:ctrlPr>
          </m:sSubPr>
          <m:e>
            <m:r>
              <w:rPr>
                <w:rFonts w:ascii="Cambria Math" w:hAnsi="Cambria Math"/>
              </w:rPr>
              <m:t>μ</m:t>
            </m:r>
          </m:e>
          <m:sub>
            <m:r>
              <w:rPr>
                <w:rFonts w:ascii="Cambria Math" w:hAnsi="Cambria Math"/>
              </w:rPr>
              <m:t>i</m:t>
            </m:r>
          </m:sub>
        </m:sSub>
      </m:oMath>
      <w:r w:rsidRPr="009118F6">
        <w:rPr>
          <w:lang w:val="de-DE"/>
        </w:rPr>
        <w:t xml:space="preserve">, während sich die Portfoliovarianz nicht ebenso einfach ergibt, sondern sämtliche Kovarianzen einbezieht, </w:t>
      </w:r>
      <m:oMath>
        <m:r>
          <w:rPr>
            <w:rFonts w:ascii="Cambria Math" w:hAnsi="Cambria Math"/>
          </w:rPr>
          <m:t>V</m:t>
        </m:r>
        <m:r>
          <m:rPr>
            <m:sty m:val="p"/>
          </m:rPr>
          <w:rPr>
            <w:rFonts w:ascii="Cambria Math" w:hAnsi="Cambria Math"/>
            <w:lang w:val="de-DE"/>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lang w:val="de-DE"/>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e>
        </m:nary>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lang w:val="de-DE"/>
          </w:rPr>
          <m:t> </m:t>
        </m:r>
        <m:sSub>
          <m:sSubPr>
            <m:ctrlPr>
              <w:rPr>
                <w:rFonts w:ascii="Cambria Math" w:hAnsi="Cambria Math"/>
              </w:rPr>
            </m:ctrlPr>
          </m:sSubPr>
          <m:e>
            <m:r>
              <w:rPr>
                <w:rFonts w:ascii="Cambria Math" w:hAnsi="Cambria Math"/>
              </w:rPr>
              <m:t>σ</m:t>
            </m:r>
          </m:e>
          <m:sub>
            <m:r>
              <w:rPr>
                <w:rFonts w:ascii="Cambria Math" w:hAnsi="Cambria Math"/>
              </w:rPr>
              <m:t>ij</m:t>
            </m:r>
          </m:sub>
        </m:sSub>
      </m:oMath>
      <w:r w:rsidRPr="009118F6">
        <w:rPr>
          <w:lang w:val="de-DE"/>
        </w:rPr>
        <w:t xml:space="preserve"> (Markowitz, 1952, S. 81). Diese Varianzformel folgt unmittelbar aus den Rechenregeln für die Varianz einer gewichteten Summe von Zufallsvariablen. Mit </w:t>
      </w:r>
      <m:oMath>
        <m:r>
          <m:rPr>
            <m:sty m:val="p"/>
          </m:rPr>
          <w:rPr>
            <w:rFonts w:ascii="Cambria Math" w:hAnsi="Cambria Math"/>
            <w:lang w:val="de-DE"/>
          </w:rPr>
          <m:t>Var</m:t>
        </m:r>
        <m:r>
          <w:rPr>
            <w:rFonts w:ascii="Cambria Math" w:hAnsi="Cambria Math"/>
            <w:lang w:val="de-DE"/>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sSub>
              <m:sSubPr>
                <m:ctrlPr>
                  <w:rPr>
                    <w:rFonts w:ascii="Cambria Math" w:hAnsi="Cambria Math"/>
                  </w:rPr>
                </m:ctrlPr>
              </m:sSubPr>
              <m:e>
                <m:r>
                  <w:rPr>
                    <w:rFonts w:ascii="Cambria Math" w:hAnsi="Cambria Math"/>
                  </w:rPr>
                  <m:t>R</m:t>
                </m:r>
              </m:e>
              <m:sub>
                <m:r>
                  <w:rPr>
                    <w:rFonts w:ascii="Cambria Math" w:hAnsi="Cambria Math"/>
                  </w:rPr>
                  <m:t>i</m:t>
                </m:r>
              </m:sub>
            </m:sSub>
          </m:e>
        </m:d>
        <m:r>
          <m:rPr>
            <m:sty m:val="p"/>
          </m:rPr>
          <w:rPr>
            <w:rFonts w:ascii="Cambria Math" w:hAnsi="Cambria Math"/>
            <w:lang w:val="de-DE"/>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lang w:val="de-DE"/>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e>
        </m:nary>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lang w:val="de-DE"/>
          </w:rPr>
          <m:t> </m:t>
        </m:r>
        <m:r>
          <m:rPr>
            <m:sty m:val="p"/>
          </m:rPr>
          <w:rPr>
            <w:rFonts w:ascii="Cambria Math" w:hAnsi="Cambria Math"/>
            <w:lang w:val="de-DE"/>
          </w:rPr>
          <m:t>Cov(</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lang w:val="de-DE"/>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lang w:val="de-DE"/>
          </w:rPr>
          <m:t>)</m:t>
        </m:r>
      </m:oMath>
      <w:r w:rsidRPr="009118F6">
        <w:rPr>
          <w:lang w:val="de-DE"/>
        </w:rPr>
        <w:t xml:space="preserve"> und </w:t>
      </w:r>
      <m:oMath>
        <m:r>
          <m:rPr>
            <m:sty m:val="p"/>
          </m:rPr>
          <w:rPr>
            <w:rFonts w:ascii="Cambria Math" w:hAnsi="Cambria Math"/>
            <w:lang w:val="de-DE"/>
          </w:rPr>
          <m:t>Cov(</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lang w:val="de-DE"/>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lang w:val="de-DE"/>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lang w:val="de-DE"/>
              </w:rPr>
              <m:t>2</m:t>
            </m:r>
          </m:sup>
        </m:sSubSup>
      </m:oMath>
      <w:r w:rsidRPr="009118F6">
        <w:rPr>
          <w:lang w:val="de-DE"/>
        </w:rPr>
        <w:t xml:space="preserve"> lässt sie sich in einen Eigen- und einen Wechselwirkungsterm zerlegen:</w:t>
      </w:r>
    </w:p>
    <w:p w14:paraId="013FF935" w14:textId="77777777" w:rsidR="00FA1406" w:rsidRDefault="00000000">
      <w:pPr>
        <w:pStyle w:val="Textkrper"/>
      </w:pPr>
      <m:oMathPara>
        <m:oMathParaPr>
          <m:jc m:val="center"/>
        </m:oMathParaPr>
        <m:oMath>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 </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e>
          </m:nary>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ij</m:t>
              </m:r>
            </m:sub>
          </m:sSub>
          <m:r>
            <m:rPr>
              <m:sty m:val="p"/>
            </m:rPr>
            <w:rPr>
              <w:rFonts w:ascii="Cambria Math" w:hAnsi="Cambria Math"/>
            </w:rPr>
            <m:t>.</m:t>
          </m:r>
        </m:oMath>
      </m:oMathPara>
    </w:p>
    <w:p w14:paraId="0E482652" w14:textId="77777777" w:rsidR="00FA1406" w:rsidRPr="009118F6" w:rsidRDefault="00000000">
      <w:pPr>
        <w:pStyle w:val="FirstParagraph"/>
        <w:rPr>
          <w:lang w:val="de-DE"/>
        </w:rPr>
      </w:pPr>
      <w:r w:rsidRPr="009118F6">
        <w:rPr>
          <w:lang w:val="de-DE"/>
        </w:rPr>
        <w:t xml:space="preserve">Gerade der zweite, die Kovarianzen enthaltende Term ist der mathematische Kern der Diversifikation. Sein Effekt lässt sich an einem Grenzfall verdeutlichen: Hält ein Anleger </w:t>
      </w:r>
      <m:oMath>
        <m:r>
          <w:rPr>
            <w:rFonts w:ascii="Cambria Math" w:hAnsi="Cambria Math"/>
          </w:rPr>
          <m:t>N</m:t>
        </m:r>
      </m:oMath>
      <w:r w:rsidRPr="009118F6">
        <w:rPr>
          <w:lang w:val="de-DE"/>
        </w:rPr>
        <w:t xml:space="preserve"> Wertpapiere mit gleicher Varianz </w:t>
      </w:r>
      <m:oMath>
        <m:sSup>
          <m:sSupPr>
            <m:ctrlPr>
              <w:rPr>
                <w:rFonts w:ascii="Cambria Math" w:hAnsi="Cambria Math"/>
              </w:rPr>
            </m:ctrlPr>
          </m:sSupPr>
          <m:e>
            <m:r>
              <w:rPr>
                <w:rFonts w:ascii="Cambria Math" w:hAnsi="Cambria Math"/>
              </w:rPr>
              <m:t>σ</m:t>
            </m:r>
          </m:e>
          <m:sup>
            <m:r>
              <w:rPr>
                <w:rFonts w:ascii="Cambria Math" w:hAnsi="Cambria Math"/>
                <w:lang w:val="de-DE"/>
              </w:rPr>
              <m:t>2</m:t>
            </m:r>
          </m:sup>
        </m:sSup>
      </m:oMath>
      <w:r w:rsidRPr="009118F6">
        <w:rPr>
          <w:lang w:val="de-DE"/>
        </w:rPr>
        <w:t xml:space="preserve">, paarweise gleicher Korrelation </w:t>
      </w:r>
      <m:oMath>
        <m:r>
          <w:rPr>
            <w:rFonts w:ascii="Cambria Math" w:hAnsi="Cambria Math"/>
          </w:rPr>
          <m:t>ρ</m:t>
        </m:r>
      </m:oMath>
      <w:r w:rsidRPr="009118F6">
        <w:rPr>
          <w:lang w:val="de-DE"/>
        </w:rPr>
        <w:t xml:space="preserve"> und gleichem Gewicht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de-DE"/>
          </w:rPr>
          <m:t>=</m:t>
        </m:r>
        <m:r>
          <w:rPr>
            <w:rFonts w:ascii="Cambria Math" w:hAnsi="Cambria Math"/>
            <w:lang w:val="de-DE"/>
          </w:rPr>
          <m:t>1</m:t>
        </m:r>
        <m:r>
          <m:rPr>
            <m:sty m:val="p"/>
          </m:rPr>
          <w:rPr>
            <w:rFonts w:ascii="Cambria Math" w:hAnsi="Cambria Math"/>
            <w:lang w:val="de-DE"/>
          </w:rPr>
          <m:t>/</m:t>
        </m:r>
        <m:r>
          <w:rPr>
            <w:rFonts w:ascii="Cambria Math" w:hAnsi="Cambria Math"/>
          </w:rPr>
          <m:t>N</m:t>
        </m:r>
      </m:oMath>
      <w:r w:rsidRPr="009118F6">
        <w:rPr>
          <w:lang w:val="de-DE"/>
        </w:rPr>
        <w:t xml:space="preserve">, so gilt wegen </w:t>
      </w:r>
      <m:oMath>
        <m:sSub>
          <m:sSubPr>
            <m:ctrlPr>
              <w:rPr>
                <w:rFonts w:ascii="Cambria Math" w:hAnsi="Cambria Math"/>
              </w:rPr>
            </m:ctrlPr>
          </m:sSubPr>
          <m:e>
            <m:r>
              <w:rPr>
                <w:rFonts w:ascii="Cambria Math" w:hAnsi="Cambria Math"/>
              </w:rPr>
              <m:t>σ</m:t>
            </m:r>
          </m:e>
          <m:sub>
            <m:r>
              <w:rPr>
                <w:rFonts w:ascii="Cambria Math" w:hAnsi="Cambria Math"/>
              </w:rPr>
              <m:t>ij</m:t>
            </m:r>
          </m:sub>
        </m:sSub>
        <m:r>
          <m:rPr>
            <m:sty m:val="p"/>
          </m:rPr>
          <w:rPr>
            <w:rFonts w:ascii="Cambria Math" w:hAnsi="Cambria Math"/>
            <w:lang w:val="de-DE"/>
          </w:rPr>
          <m:t>=</m:t>
        </m:r>
        <m:r>
          <w:rPr>
            <w:rFonts w:ascii="Cambria Math" w:hAnsi="Cambria Math"/>
          </w:rPr>
          <m:t>ρ</m:t>
        </m:r>
        <m:r>
          <w:rPr>
            <w:rFonts w:ascii="Cambria Math" w:hAnsi="Cambria Math"/>
            <w:lang w:val="de-DE"/>
          </w:rPr>
          <m:t> </m:t>
        </m:r>
        <m:sSup>
          <m:sSupPr>
            <m:ctrlPr>
              <w:rPr>
                <w:rFonts w:ascii="Cambria Math" w:hAnsi="Cambria Math"/>
              </w:rPr>
            </m:ctrlPr>
          </m:sSupPr>
          <m:e>
            <m:r>
              <w:rPr>
                <w:rFonts w:ascii="Cambria Math" w:hAnsi="Cambria Math"/>
              </w:rPr>
              <m:t>σ</m:t>
            </m:r>
          </m:e>
          <m:sup>
            <m:r>
              <w:rPr>
                <w:rFonts w:ascii="Cambria Math" w:hAnsi="Cambria Math"/>
                <w:lang w:val="de-DE"/>
              </w:rPr>
              <m:t>2</m:t>
            </m:r>
          </m:sup>
        </m:sSup>
      </m:oMath>
      <w:r w:rsidRPr="009118F6">
        <w:rPr>
          <w:lang w:val="de-DE"/>
        </w:rPr>
        <w:t xml:space="preserve"> für </w:t>
      </w:r>
      <m:oMath>
        <m:r>
          <w:rPr>
            <w:rFonts w:ascii="Cambria Math" w:hAnsi="Cambria Math"/>
          </w:rPr>
          <m:t>i</m:t>
        </m:r>
        <m:r>
          <m:rPr>
            <m:sty m:val="p"/>
          </m:rPr>
          <w:rPr>
            <w:rFonts w:ascii="Cambria Math" w:hAnsi="Cambria Math"/>
            <w:lang w:val="de-DE"/>
          </w:rPr>
          <m:t>≠</m:t>
        </m:r>
        <m:r>
          <w:rPr>
            <w:rFonts w:ascii="Cambria Math" w:hAnsi="Cambria Math"/>
          </w:rPr>
          <m:t>j</m:t>
        </m:r>
      </m:oMath>
    </w:p>
    <w:p w14:paraId="00F2D6E2" w14:textId="77777777" w:rsidR="00FA1406" w:rsidRDefault="00000000">
      <w:pPr>
        <w:pStyle w:val="Textkrper"/>
      </w:pPr>
      <m:oMathPara>
        <m:oMathParaPr>
          <m:jc m:val="center"/>
        </m:oMathParaPr>
        <m:oMath>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e>
          </m:d>
          <m:r>
            <w:rPr>
              <w:rFonts w:ascii="Cambria Math" w:hAnsi="Cambria Math"/>
            </w:rPr>
            <m:t>ρ </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 ρ </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7F2A58D4" w14:textId="77777777" w:rsidR="00FA1406" w:rsidRPr="009118F6" w:rsidRDefault="00000000">
      <w:pPr>
        <w:pStyle w:val="FirstParagraph"/>
        <w:rPr>
          <w:lang w:val="de-DE"/>
        </w:rPr>
      </w:pPr>
      <w:r w:rsidRPr="009118F6">
        <w:rPr>
          <w:lang w:val="de-DE"/>
        </w:rPr>
        <w:t>Mit wachsender Zahl der Titel verschwindet also der erste, titelspezifische (unsystematische) Term, während der zweite, durch die Korrelationen bedingte (systematische) Term bestehen bleibt. Diversifikation kann demnach das unsystematische Risiko beliebig verkleinern, nicht aber den systematischen Rest – genau Markowitz’ Feststellung, dass die Renditen „zu stark korreliert” sind, um die gesamte Varianz zu beseitigen (Abschnitt 2.2) (Markowitz, 1952, S. 79).</w:t>
      </w:r>
    </w:p>
    <w:p w14:paraId="169EB278" w14:textId="77777777" w:rsidR="00FA1406" w:rsidRPr="009118F6" w:rsidRDefault="00000000">
      <w:pPr>
        <w:pStyle w:val="Textkrper"/>
        <w:rPr>
          <w:lang w:val="de-DE"/>
        </w:rPr>
      </w:pPr>
      <w:r w:rsidRPr="009118F6">
        <w:rPr>
          <w:lang w:val="de-DE"/>
        </w:rPr>
        <w:t xml:space="preserve">Auf dieser Grundlage formuliert Markowitz die </w:t>
      </w:r>
      <w:r w:rsidRPr="009118F6">
        <w:rPr>
          <w:b/>
          <w:bCs/>
          <w:lang w:val="de-DE"/>
        </w:rPr>
        <w:t>„</w:t>
      </w:r>
      <w:proofErr w:type="spellStart"/>
      <w:r w:rsidRPr="009118F6">
        <w:rPr>
          <w:b/>
          <w:bCs/>
          <w:lang w:val="de-DE"/>
        </w:rPr>
        <w:t>Expected</w:t>
      </w:r>
      <w:proofErr w:type="spellEnd"/>
      <w:r w:rsidRPr="009118F6">
        <w:rPr>
          <w:b/>
          <w:bCs/>
          <w:lang w:val="de-DE"/>
        </w:rPr>
        <w:t>-Returns–</w:t>
      </w:r>
      <w:proofErr w:type="spellStart"/>
      <w:r w:rsidRPr="009118F6">
        <w:rPr>
          <w:b/>
          <w:bCs/>
          <w:lang w:val="de-DE"/>
        </w:rPr>
        <w:t>Variance</w:t>
      </w:r>
      <w:proofErr w:type="spellEnd"/>
      <w:r w:rsidRPr="009118F6">
        <w:rPr>
          <w:b/>
          <w:bCs/>
          <w:lang w:val="de-DE"/>
        </w:rPr>
        <w:t>-</w:t>
      </w:r>
      <w:proofErr w:type="spellStart"/>
      <w:r w:rsidRPr="009118F6">
        <w:rPr>
          <w:b/>
          <w:bCs/>
          <w:lang w:val="de-DE"/>
        </w:rPr>
        <w:t>of</w:t>
      </w:r>
      <w:proofErr w:type="spellEnd"/>
      <w:r w:rsidRPr="009118F6">
        <w:rPr>
          <w:b/>
          <w:bCs/>
          <w:lang w:val="de-DE"/>
        </w:rPr>
        <w:t>-Returns”-Regel</w:t>
      </w:r>
      <w:r w:rsidRPr="009118F6">
        <w:rPr>
          <w:lang w:val="de-DE"/>
        </w:rPr>
        <w:t xml:space="preserve"> (E-V-Regel): Der Anleger soll unter allen erreichbaren </w:t>
      </w:r>
      <m:oMath>
        <m:r>
          <m:rPr>
            <m:sty m:val="p"/>
          </m:rPr>
          <w:rPr>
            <w:rFonts w:ascii="Cambria Math" w:hAnsi="Cambria Math"/>
            <w:lang w:val="de-DE"/>
          </w:rPr>
          <m:t>(</m:t>
        </m:r>
        <m:r>
          <w:rPr>
            <w:rFonts w:ascii="Cambria Math" w:hAnsi="Cambria Math"/>
          </w:rPr>
          <m:t>E</m:t>
        </m:r>
        <m:r>
          <m:rPr>
            <m:sty m:val="p"/>
          </m:rPr>
          <w:rPr>
            <w:rFonts w:ascii="Cambria Math" w:hAnsi="Cambria Math"/>
            <w:lang w:val="de-DE"/>
          </w:rPr>
          <m:t>,</m:t>
        </m:r>
        <m:r>
          <w:rPr>
            <w:rFonts w:ascii="Cambria Math" w:hAnsi="Cambria Math"/>
          </w:rPr>
          <m:t>V</m:t>
        </m:r>
        <m:r>
          <m:rPr>
            <m:sty m:val="p"/>
          </m:rPr>
          <w:rPr>
            <w:rFonts w:ascii="Cambria Math" w:hAnsi="Cambria Math"/>
            <w:lang w:val="de-DE"/>
          </w:rPr>
          <m:t>)</m:t>
        </m:r>
      </m:oMath>
      <w:r w:rsidRPr="009118F6">
        <w:rPr>
          <w:lang w:val="de-DE"/>
        </w:rPr>
        <w:t xml:space="preserve">-Kombinationen eine </w:t>
      </w:r>
      <w:r w:rsidRPr="009118F6">
        <w:rPr>
          <w:i/>
          <w:iCs/>
          <w:lang w:val="de-DE"/>
        </w:rPr>
        <w:t>effiziente</w:t>
      </w:r>
      <w:r w:rsidRPr="009118F6">
        <w:rPr>
          <w:lang w:val="de-DE"/>
        </w:rPr>
        <w:t xml:space="preserve"> wählen, das heißt eine Kombination mit minimaler Varianz bei gegebener (oder höherer) erwarteter Rendite bzw. maximaler erwarteter Rendite bei gegebener (oder geringerer) Varianz (Markowitz, 1952, S. 82). Dass eine </w:t>
      </w:r>
      <w:proofErr w:type="gramStart"/>
      <w:r w:rsidRPr="009118F6">
        <w:rPr>
          <w:lang w:val="de-DE"/>
        </w:rPr>
        <w:t>Abwägung überhaupt</w:t>
      </w:r>
      <w:proofErr w:type="gramEnd"/>
      <w:r w:rsidRPr="009118F6">
        <w:rPr>
          <w:lang w:val="de-DE"/>
        </w:rPr>
        <w:t xml:space="preserve"> nötig ist, betont er ausdrücklich: Das Portfolio mit maximaler erwarteter Rendite ist nicht zwangsläufig jenes mit minimaler Varianz; es existiert eine Rate, zu der man erwartete Rendite gegen Varianz tauschen kann (Markowitz, 1952, S. 79). Die Menge aller effizienten </w:t>
      </w:r>
      <m:oMath>
        <m:r>
          <m:rPr>
            <m:sty m:val="p"/>
          </m:rPr>
          <w:rPr>
            <w:rFonts w:ascii="Cambria Math" w:hAnsi="Cambria Math"/>
            <w:lang w:val="de-DE"/>
          </w:rPr>
          <m:t>(</m:t>
        </m:r>
        <m:r>
          <w:rPr>
            <w:rFonts w:ascii="Cambria Math" w:hAnsi="Cambria Math"/>
          </w:rPr>
          <m:t>E</m:t>
        </m:r>
        <m:r>
          <m:rPr>
            <m:sty m:val="p"/>
          </m:rPr>
          <w:rPr>
            <w:rFonts w:ascii="Cambria Math" w:hAnsi="Cambria Math"/>
            <w:lang w:val="de-DE"/>
          </w:rPr>
          <m:t>,</m:t>
        </m:r>
        <m:r>
          <w:rPr>
            <w:rFonts w:ascii="Cambria Math" w:hAnsi="Cambria Math"/>
          </w:rPr>
          <m:t>V</m:t>
        </m:r>
        <m:r>
          <m:rPr>
            <m:sty m:val="p"/>
          </m:rPr>
          <w:rPr>
            <w:rFonts w:ascii="Cambria Math" w:hAnsi="Cambria Math"/>
            <w:lang w:val="de-DE"/>
          </w:rPr>
          <m:t>)</m:t>
        </m:r>
      </m:oMath>
      <w:r w:rsidRPr="009118F6">
        <w:rPr>
          <w:lang w:val="de-DE"/>
        </w:rPr>
        <w:t xml:space="preserve">-Kombinationen bildet die </w:t>
      </w:r>
      <w:r w:rsidRPr="009118F6">
        <w:rPr>
          <w:b/>
          <w:bCs/>
          <w:lang w:val="de-DE"/>
        </w:rPr>
        <w:t>Effizienzlinie</w:t>
      </w:r>
      <w:r w:rsidRPr="009118F6">
        <w:rPr>
          <w:lang w:val="de-DE"/>
        </w:rPr>
        <w:t xml:space="preserve">; Markowitz weist darauf hin, </w:t>
      </w:r>
      <w:r w:rsidRPr="009118F6">
        <w:rPr>
          <w:lang w:val="de-DE"/>
        </w:rPr>
        <w:lastRenderedPageBreak/>
        <w:t>dass sich diese Menge mit geeigneten Verfahren berechnen lässt, ohne sie im Aufsatz vorzuführen (Markowitz, 1952, S. 82).</w:t>
      </w:r>
    </w:p>
    <w:p w14:paraId="61316D00" w14:textId="77777777" w:rsidR="00FA1406" w:rsidRPr="009118F6" w:rsidRDefault="00000000">
      <w:pPr>
        <w:pStyle w:val="berschrift2"/>
        <w:rPr>
          <w:lang w:val="de-DE"/>
        </w:rPr>
      </w:pPr>
      <w:bookmarkStart w:id="17" w:name="Xff1d21a16ab1c22bd5c6ad706eaab80ae1eda2d"/>
      <w:bookmarkStart w:id="18" w:name="_Toc234524383"/>
      <w:bookmarkEnd w:id="15"/>
      <w:r w:rsidRPr="009118F6">
        <w:rPr>
          <w:lang w:val="de-DE"/>
        </w:rPr>
        <w:t>2.4 Von der Effizienzlinie zur optimalen Mischung</w:t>
      </w:r>
      <w:bookmarkEnd w:id="18"/>
    </w:p>
    <w:p w14:paraId="402F76CF" w14:textId="77777777" w:rsidR="00FA1406" w:rsidRPr="009118F6" w:rsidRDefault="00000000">
      <w:pPr>
        <w:pStyle w:val="FirstParagraph"/>
        <w:rPr>
          <w:lang w:val="de-DE"/>
        </w:rPr>
      </w:pPr>
      <w:r w:rsidRPr="009118F6">
        <w:rPr>
          <w:lang w:val="de-DE"/>
        </w:rPr>
        <w:t xml:space="preserve">Welche der effizienten Kombinationen ein Anleger wählt, hängt nach Markowitz von seiner Präferenz ab – die E-V-Regel grenzt die sinnvollen Portfolios lediglich auf die Effizienzlinie ein (Markowitz, 1952, S. 82). Die Effizienzlinie selbst lässt sich analytisch bestimmen. Sucht man bei vorgegebener Zielrendite </w:t>
      </w:r>
      <m:oMath>
        <m:sSub>
          <m:sSubPr>
            <m:ctrlPr>
              <w:rPr>
                <w:rFonts w:ascii="Cambria Math" w:hAnsi="Cambria Math"/>
              </w:rPr>
            </m:ctrlPr>
          </m:sSubPr>
          <m:e>
            <m:r>
              <w:rPr>
                <w:rFonts w:ascii="Cambria Math" w:hAnsi="Cambria Math"/>
              </w:rPr>
              <m:t>μ</m:t>
            </m:r>
          </m:e>
          <m:sub>
            <m:r>
              <w:rPr>
                <w:rFonts w:ascii="Cambria Math" w:hAnsi="Cambria Math"/>
              </w:rPr>
              <m:t>p</m:t>
            </m:r>
          </m:sub>
        </m:sSub>
      </m:oMath>
      <w:r w:rsidRPr="009118F6">
        <w:rPr>
          <w:lang w:val="de-DE"/>
        </w:rPr>
        <w:t xml:space="preserve"> das Portfolio minimaler Varianz, so lautet das Optimierungsproblem in Vektorschreibweise – mit dem Gewichtsvektor </w:t>
      </w:r>
      <m:oMath>
        <m:r>
          <w:rPr>
            <w:rFonts w:ascii="Cambria Math" w:hAnsi="Cambria Math"/>
          </w:rPr>
          <m:t>w</m:t>
        </m:r>
      </m:oMath>
      <w:r w:rsidRPr="009118F6">
        <w:rPr>
          <w:lang w:val="de-DE"/>
        </w:rPr>
        <w:t xml:space="preserve">, dem Vektor der erwarteten Renditen </w:t>
      </w:r>
      <m:oMath>
        <m:r>
          <w:rPr>
            <w:rFonts w:ascii="Cambria Math" w:hAnsi="Cambria Math"/>
          </w:rPr>
          <m:t>μ</m:t>
        </m:r>
      </m:oMath>
      <w:r w:rsidRPr="009118F6">
        <w:rPr>
          <w:lang w:val="de-DE"/>
        </w:rPr>
        <w:t xml:space="preserve">, der Kovarianzmatrix </w:t>
      </w:r>
      <m:oMath>
        <m:r>
          <m:rPr>
            <m:sty m:val="p"/>
          </m:rPr>
          <w:rPr>
            <w:rFonts w:ascii="Cambria Math" w:hAnsi="Cambria Math"/>
          </w:rPr>
          <m:t>Σ</m:t>
        </m:r>
      </m:oMath>
      <w:r w:rsidRPr="009118F6">
        <w:rPr>
          <w:lang w:val="de-DE"/>
        </w:rPr>
        <w:t xml:space="preserve"> und dem </w:t>
      </w:r>
      <w:proofErr w:type="spellStart"/>
      <w:r w:rsidRPr="009118F6">
        <w:rPr>
          <w:lang w:val="de-DE"/>
        </w:rPr>
        <w:t>Einsvektor</w:t>
      </w:r>
      <w:proofErr w:type="spellEnd"/>
      <w:r w:rsidRPr="009118F6">
        <w:rPr>
          <w:lang w:val="de-DE"/>
        </w:rPr>
        <w:t xml:space="preserve"> </w:t>
      </w:r>
      <m:oMath>
        <m:r>
          <m:rPr>
            <m:sty m:val="b"/>
          </m:rPr>
          <w:rPr>
            <w:rFonts w:ascii="Cambria Math" w:hAnsi="Cambria Math"/>
          </w:rPr>
          <m:t>1</m:t>
        </m:r>
      </m:oMath>
      <w:r w:rsidRPr="009118F6">
        <w:rPr>
          <w:lang w:val="de-DE"/>
        </w:rPr>
        <w:t>:</w:t>
      </w:r>
    </w:p>
    <w:p w14:paraId="77EDCCEC" w14:textId="77777777" w:rsidR="00FA1406" w:rsidRPr="009118F6" w:rsidRDefault="00000000">
      <w:pPr>
        <w:pStyle w:val="Textkrper"/>
        <w:rPr>
          <w:lang w:val="de-DE"/>
        </w:rPr>
      </w:pPr>
      <m:oMathPara>
        <m:oMathParaPr>
          <m:jc m:val="center"/>
        </m:oMathParaPr>
        <m:oMath>
          <m:limLow>
            <m:limLowPr>
              <m:ctrlPr>
                <w:rPr>
                  <w:rFonts w:ascii="Cambria Math" w:hAnsi="Cambria Math"/>
                </w:rPr>
              </m:ctrlPr>
            </m:limLowPr>
            <m:e>
              <m:r>
                <m:rPr>
                  <m:sty m:val="p"/>
                </m:rPr>
                <w:rPr>
                  <w:rFonts w:ascii="Cambria Math" w:hAnsi="Cambria Math"/>
                  <w:lang w:val="de-DE"/>
                </w:rPr>
                <m:t>min</m:t>
              </m:r>
            </m:e>
            <m:lim>
              <m:r>
                <w:rPr>
                  <w:rFonts w:ascii="Cambria Math" w:hAnsi="Cambria Math"/>
                </w:rPr>
                <m:t>w</m:t>
              </m:r>
            </m:lim>
          </m:limLow>
          <m:r>
            <w:rPr>
              <w:rFonts w:ascii="Cambria Math" w:hAnsi="Cambria Math"/>
              <w:lang w:val="de-DE"/>
            </w:rPr>
            <m:t> </m:t>
          </m:r>
          <m:f>
            <m:fPr>
              <m:type m:val="lin"/>
              <m:ctrlPr>
                <w:rPr>
                  <w:rFonts w:ascii="Cambria Math" w:hAnsi="Cambria Math"/>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 </m:t>
          </m:r>
          <m:sSup>
            <m:sSupPr>
              <m:ctrlPr>
                <w:rPr>
                  <w:rFonts w:ascii="Cambria Math" w:hAnsi="Cambria Math"/>
                </w:rPr>
              </m:ctrlPr>
            </m:sSupPr>
            <m:e>
              <m:r>
                <w:rPr>
                  <w:rFonts w:ascii="Cambria Math" w:hAnsi="Cambria Math"/>
                </w:rPr>
                <m:t>w</m:t>
              </m:r>
            </m:e>
            <m:sup>
              <m:r>
                <m:rPr>
                  <m:sty m:val="p"/>
                </m:rPr>
                <w:rPr>
                  <w:rFonts w:ascii="Cambria Math" w:hAnsi="Cambria Math"/>
                  <w:lang w:val="de-DE"/>
                </w:rPr>
                <m:t>⊤</m:t>
              </m:r>
            </m:sup>
          </m:sSup>
          <m:r>
            <m:rPr>
              <m:sty m:val="p"/>
            </m:rPr>
            <w:rPr>
              <w:rFonts w:ascii="Cambria Math" w:hAnsi="Cambria Math"/>
            </w:rPr>
            <m:t>Σ</m:t>
          </m:r>
          <m:r>
            <w:rPr>
              <w:rFonts w:ascii="Cambria Math" w:hAnsi="Cambria Math"/>
              <w:lang w:val="de-DE"/>
            </w:rPr>
            <m:t> </m:t>
          </m:r>
          <m:r>
            <w:rPr>
              <w:rFonts w:ascii="Cambria Math" w:hAnsi="Cambria Math"/>
            </w:rPr>
            <m:t>w</m:t>
          </m:r>
          <m:r>
            <w:rPr>
              <w:rFonts w:ascii="Cambria Math" w:hAnsi="Cambria Math"/>
              <w:lang w:val="de-DE"/>
            </w:rPr>
            <m:t>  </m:t>
          </m:r>
          <m:r>
            <m:rPr>
              <m:nor/>
            </m:rPr>
            <w:rPr>
              <w:lang w:val="de-DE"/>
            </w:rPr>
            <m:t>unter</m:t>
          </m:r>
          <m:r>
            <w:rPr>
              <w:rFonts w:ascii="Cambria Math" w:hAnsi="Cambria Math"/>
              <w:lang w:val="de-DE"/>
            </w:rPr>
            <m:t>  </m:t>
          </m:r>
          <m:sSup>
            <m:sSupPr>
              <m:ctrlPr>
                <w:rPr>
                  <w:rFonts w:ascii="Cambria Math" w:hAnsi="Cambria Math"/>
                </w:rPr>
              </m:ctrlPr>
            </m:sSupPr>
            <m:e>
              <m:r>
                <w:rPr>
                  <w:rFonts w:ascii="Cambria Math" w:hAnsi="Cambria Math"/>
                </w:rPr>
                <m:t>w</m:t>
              </m:r>
            </m:e>
            <m:sup>
              <m:r>
                <m:rPr>
                  <m:sty m:val="p"/>
                </m:rPr>
                <w:rPr>
                  <w:rFonts w:ascii="Cambria Math" w:hAnsi="Cambria Math"/>
                  <w:lang w:val="de-DE"/>
                </w:rPr>
                <m:t>⊤</m:t>
              </m:r>
            </m:sup>
          </m:sSup>
          <m:r>
            <w:rPr>
              <w:rFonts w:ascii="Cambria Math" w:hAnsi="Cambria Math"/>
            </w:rPr>
            <m:t>μ</m:t>
          </m:r>
          <m:r>
            <m:rPr>
              <m:sty m:val="p"/>
            </m:rPr>
            <w:rPr>
              <w:rFonts w:ascii="Cambria Math" w:hAnsi="Cambria Math"/>
              <w:lang w:val="de-DE"/>
            </w:rPr>
            <m:t>=</m:t>
          </m:r>
          <m:sSub>
            <m:sSubPr>
              <m:ctrlPr>
                <w:rPr>
                  <w:rFonts w:ascii="Cambria Math" w:hAnsi="Cambria Math"/>
                </w:rPr>
              </m:ctrlPr>
            </m:sSubPr>
            <m:e>
              <m:r>
                <w:rPr>
                  <w:rFonts w:ascii="Cambria Math" w:hAnsi="Cambria Math"/>
                </w:rPr>
                <m:t>μ</m:t>
              </m:r>
            </m:e>
            <m:sub>
              <m:r>
                <w:rPr>
                  <w:rFonts w:ascii="Cambria Math" w:hAnsi="Cambria Math"/>
                </w:rPr>
                <m:t>p</m:t>
              </m:r>
            </m:sub>
          </m:sSub>
          <m:r>
            <m:rPr>
              <m:sty m:val="p"/>
            </m:rPr>
            <w:rPr>
              <w:rFonts w:ascii="Cambria Math" w:hAnsi="Cambria Math"/>
              <w:lang w:val="de-DE"/>
            </w:rPr>
            <m:t>,</m:t>
          </m:r>
          <m:r>
            <w:rPr>
              <w:rFonts w:ascii="Cambria Math" w:hAnsi="Cambria Math"/>
              <w:lang w:val="de-DE"/>
            </w:rPr>
            <m:t> </m:t>
          </m:r>
          <m:sSup>
            <m:sSupPr>
              <m:ctrlPr>
                <w:rPr>
                  <w:rFonts w:ascii="Cambria Math" w:hAnsi="Cambria Math"/>
                </w:rPr>
              </m:ctrlPr>
            </m:sSupPr>
            <m:e>
              <m:r>
                <w:rPr>
                  <w:rFonts w:ascii="Cambria Math" w:hAnsi="Cambria Math"/>
                </w:rPr>
                <m:t>w</m:t>
              </m:r>
            </m:e>
            <m:sup>
              <m:r>
                <m:rPr>
                  <m:sty m:val="p"/>
                </m:rPr>
                <w:rPr>
                  <w:rFonts w:ascii="Cambria Math" w:hAnsi="Cambria Math"/>
                  <w:lang w:val="de-DE"/>
                </w:rPr>
                <m:t>⊤</m:t>
              </m:r>
            </m:sup>
          </m:sSup>
          <m:r>
            <m:rPr>
              <m:sty m:val="b"/>
            </m:rPr>
            <w:rPr>
              <w:rFonts w:ascii="Cambria Math" w:hAnsi="Cambria Math"/>
            </w:rPr>
            <m:t>1</m:t>
          </m:r>
          <m:r>
            <m:rPr>
              <m:sty m:val="p"/>
            </m:rPr>
            <w:rPr>
              <w:rFonts w:ascii="Cambria Math" w:hAnsi="Cambria Math"/>
              <w:lang w:val="de-DE"/>
            </w:rPr>
            <m:t>=</m:t>
          </m:r>
          <m:r>
            <w:rPr>
              <w:rFonts w:ascii="Cambria Math" w:hAnsi="Cambria Math"/>
              <w:lang w:val="de-DE"/>
            </w:rPr>
            <m:t>1</m:t>
          </m:r>
          <m:r>
            <m:rPr>
              <m:sty m:val="p"/>
            </m:rPr>
            <w:rPr>
              <w:rFonts w:ascii="Cambria Math" w:hAnsi="Cambria Math"/>
              <w:lang w:val="de-DE"/>
            </w:rPr>
            <m:t>.</m:t>
          </m:r>
        </m:oMath>
      </m:oMathPara>
    </w:p>
    <w:p w14:paraId="78DB5EE2" w14:textId="77777777" w:rsidR="00FA1406" w:rsidRPr="009118F6" w:rsidRDefault="00000000">
      <w:pPr>
        <w:pStyle w:val="FirstParagraph"/>
        <w:rPr>
          <w:lang w:val="de-DE"/>
        </w:rPr>
      </w:pPr>
      <w:r w:rsidRPr="009118F6">
        <w:rPr>
          <w:lang w:val="de-DE"/>
        </w:rPr>
        <w:t xml:space="preserve">Mit den Lagrange-Multiplikatoren </w:t>
      </w:r>
      <m:oMath>
        <m:r>
          <w:rPr>
            <w:rFonts w:ascii="Cambria Math" w:hAnsi="Cambria Math"/>
          </w:rPr>
          <m:t>λ</m:t>
        </m:r>
      </m:oMath>
      <w:r w:rsidRPr="009118F6">
        <w:rPr>
          <w:lang w:val="de-DE"/>
        </w:rPr>
        <w:t xml:space="preserve"> und </w:t>
      </w:r>
      <m:oMath>
        <m:r>
          <w:rPr>
            <w:rFonts w:ascii="Cambria Math" w:hAnsi="Cambria Math"/>
          </w:rPr>
          <m:t>γ</m:t>
        </m:r>
      </m:oMath>
      <w:r w:rsidRPr="009118F6">
        <w:rPr>
          <w:lang w:val="de-DE"/>
        </w:rPr>
        <w:t xml:space="preserve"> ergibt sich die Lagrange-Funktion</w:t>
      </w:r>
    </w:p>
    <w:p w14:paraId="12D40C8D" w14:textId="77777777" w:rsidR="00FA1406" w:rsidRDefault="00000000">
      <w:pPr>
        <w:pStyle w:val="Textkrper"/>
      </w:pPr>
      <m:oMathPara>
        <m:oMathParaPr>
          <m:jc m:val="center"/>
        </m:oMathParaPr>
        <m:oMath>
          <m:r>
            <m:rPr>
              <m:scr m:val="script"/>
              <m:sty m:val="p"/>
            </m:rPr>
            <w:rPr>
              <w:rFonts w:ascii="Cambria Math" w:hAnsi="Cambria Math"/>
            </w:rPr>
            <m:t>L(</m:t>
          </m:r>
          <m:r>
            <w:rPr>
              <w:rFonts w:ascii="Cambria Math" w:hAnsi="Cambria Math"/>
            </w:rPr>
            <m:t>w</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γ</m:t>
          </m:r>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Σ</m:t>
          </m:r>
          <m:r>
            <w:rPr>
              <w:rFonts w:ascii="Cambria Math" w:hAnsi="Cambria Math"/>
            </w:rPr>
            <m:t> w</m:t>
          </m:r>
          <m:r>
            <m:rPr>
              <m:sty m:val="p"/>
            </m:rPr>
            <w:rPr>
              <w:rFonts w:ascii="Cambria Math" w:hAnsi="Cambria Math"/>
            </w:rPr>
            <m:t>-</m:t>
          </m:r>
          <m:r>
            <w:rPr>
              <w:rFonts w:ascii="Cambria Math" w:hAnsi="Cambria Math"/>
            </w:rPr>
            <m:t>λ </m:t>
          </m:r>
          <m:d>
            <m:dPr>
              <m:ctrlPr>
                <w:rPr>
                  <w:rFonts w:ascii="Cambria Math" w:hAnsi="Cambria Math"/>
                </w:rPr>
              </m:ctrlPr>
            </m:dPr>
            <m:e>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p</m:t>
                  </m:r>
                </m:sub>
              </m:sSub>
            </m:e>
          </m:d>
          <m:r>
            <m:rPr>
              <m:sty m:val="p"/>
            </m:rPr>
            <w:rPr>
              <w:rFonts w:ascii="Cambria Math" w:hAnsi="Cambria Math"/>
            </w:rPr>
            <m:t>-</m:t>
          </m:r>
          <m:r>
            <w:rPr>
              <w:rFonts w:ascii="Cambria Math" w:hAnsi="Cambria Math"/>
            </w:rPr>
            <m:t>γ </m:t>
          </m:r>
          <m:d>
            <m:dPr>
              <m:ctrlPr>
                <w:rPr>
                  <w:rFonts w:ascii="Cambria Math" w:hAnsi="Cambria Math"/>
                </w:rPr>
              </m:ctrlPr>
            </m:dPr>
            <m:e>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b"/>
                </m:rPr>
                <w:rPr>
                  <w:rFonts w:ascii="Cambria Math" w:hAnsi="Cambria Math"/>
                </w:rPr>
                <m:t>1</m:t>
              </m:r>
              <m:r>
                <m:rPr>
                  <m:sty m:val="p"/>
                </m:rPr>
                <w:rPr>
                  <w:rFonts w:ascii="Cambria Math" w:hAnsi="Cambria Math"/>
                </w:rPr>
                <m:t>-</m:t>
              </m:r>
              <m:r>
                <w:rPr>
                  <w:rFonts w:ascii="Cambria Math" w:hAnsi="Cambria Math"/>
                </w:rPr>
                <m:t>1</m:t>
              </m:r>
            </m:e>
          </m:d>
          <m:r>
            <m:rPr>
              <m:sty m:val="p"/>
            </m:rPr>
            <w:rPr>
              <w:rFonts w:ascii="Cambria Math" w:hAnsi="Cambria Math"/>
            </w:rPr>
            <m:t>.</m:t>
          </m:r>
        </m:oMath>
      </m:oMathPara>
    </w:p>
    <w:p w14:paraId="6BF227DB" w14:textId="77777777" w:rsidR="00FA1406" w:rsidRPr="009118F6" w:rsidRDefault="00000000">
      <w:pPr>
        <w:pStyle w:val="FirstParagraph"/>
        <w:rPr>
          <w:lang w:val="de-DE"/>
        </w:rPr>
      </w:pPr>
      <w:r w:rsidRPr="009118F6">
        <w:rPr>
          <w:lang w:val="de-DE"/>
        </w:rPr>
        <w:t xml:space="preserve">Das Nullsetzen des Gradienten nach </w:t>
      </w:r>
      <m:oMath>
        <m:r>
          <w:rPr>
            <w:rFonts w:ascii="Cambria Math" w:hAnsi="Cambria Math"/>
          </w:rPr>
          <m:t>w</m:t>
        </m:r>
      </m:oMath>
      <w:r w:rsidRPr="009118F6">
        <w:rPr>
          <w:lang w:val="de-DE"/>
        </w:rPr>
        <w:t xml:space="preserve"> liefert die Bedingung </w:t>
      </w:r>
      <m:oMath>
        <m:r>
          <m:rPr>
            <m:sty m:val="p"/>
          </m:rPr>
          <w:rPr>
            <w:rFonts w:ascii="Cambria Math" w:hAnsi="Cambria Math"/>
          </w:rPr>
          <m:t>Σ</m:t>
        </m:r>
        <m:r>
          <w:rPr>
            <w:rFonts w:ascii="Cambria Math" w:hAnsi="Cambria Math"/>
          </w:rPr>
          <m:t>w</m:t>
        </m:r>
        <m:r>
          <m:rPr>
            <m:sty m:val="p"/>
          </m:rPr>
          <w:rPr>
            <w:rFonts w:ascii="Cambria Math" w:hAnsi="Cambria Math"/>
            <w:lang w:val="de-DE"/>
          </w:rPr>
          <m:t>-</m:t>
        </m:r>
        <m:r>
          <w:rPr>
            <w:rFonts w:ascii="Cambria Math" w:hAnsi="Cambria Math"/>
          </w:rPr>
          <m:t>λμ</m:t>
        </m:r>
        <m:r>
          <m:rPr>
            <m:sty m:val="p"/>
          </m:rPr>
          <w:rPr>
            <w:rFonts w:ascii="Cambria Math" w:hAnsi="Cambria Math"/>
            <w:lang w:val="de-DE"/>
          </w:rPr>
          <m:t>-</m:t>
        </m:r>
        <m:r>
          <w:rPr>
            <w:rFonts w:ascii="Cambria Math" w:hAnsi="Cambria Math"/>
          </w:rPr>
          <m:t>γ</m:t>
        </m:r>
        <m:r>
          <w:rPr>
            <w:rFonts w:ascii="Cambria Math" w:hAnsi="Cambria Math"/>
            <w:lang w:val="de-DE"/>
          </w:rPr>
          <m:t> </m:t>
        </m:r>
        <m:r>
          <m:rPr>
            <m:sty m:val="b"/>
          </m:rPr>
          <w:rPr>
            <w:rFonts w:ascii="Cambria Math" w:hAnsi="Cambria Math"/>
          </w:rPr>
          <m:t>1</m:t>
        </m:r>
        <m:r>
          <m:rPr>
            <m:sty m:val="p"/>
          </m:rPr>
          <w:rPr>
            <w:rFonts w:ascii="Cambria Math" w:hAnsi="Cambria Math"/>
            <w:lang w:val="de-DE"/>
          </w:rPr>
          <m:t>=</m:t>
        </m:r>
        <m:r>
          <w:rPr>
            <w:rFonts w:ascii="Cambria Math" w:hAnsi="Cambria Math"/>
            <w:lang w:val="de-DE"/>
          </w:rPr>
          <m:t>0</m:t>
        </m:r>
      </m:oMath>
      <w:r w:rsidRPr="009118F6">
        <w:rPr>
          <w:lang w:val="de-DE"/>
        </w:rPr>
        <w:t xml:space="preserve"> und damit die optimalen Gewichte</w:t>
      </w:r>
    </w:p>
    <w:p w14:paraId="43EFE3F6" w14:textId="77777777" w:rsidR="00FA1406" w:rsidRDefault="00000000">
      <w:pPr>
        <w:pStyle w:val="Textkrper"/>
      </w:pPr>
      <m:oMathPara>
        <m:oMathParaPr>
          <m:jc m:val="center"/>
        </m:oMathParaP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λμ</m:t>
              </m:r>
              <m:r>
                <m:rPr>
                  <m:sty m:val="p"/>
                </m:rPr>
                <w:rPr>
                  <w:rFonts w:ascii="Cambria Math" w:hAnsi="Cambria Math"/>
                </w:rPr>
                <m:t>+</m:t>
              </m:r>
              <m:r>
                <w:rPr>
                  <w:rFonts w:ascii="Cambria Math" w:hAnsi="Cambria Math"/>
                </w:rPr>
                <m:t>γ </m:t>
              </m:r>
              <m:r>
                <m:rPr>
                  <m:sty m:val="b"/>
                </m:rPr>
                <w:rPr>
                  <w:rFonts w:ascii="Cambria Math" w:hAnsi="Cambria Math"/>
                </w:rPr>
                <m:t>1</m:t>
              </m:r>
            </m:e>
          </m:d>
          <m:r>
            <m:rPr>
              <m:sty m:val="p"/>
            </m:rPr>
            <w:rPr>
              <w:rFonts w:ascii="Cambria Math" w:hAnsi="Cambria Math"/>
            </w:rPr>
            <m:t>,</m:t>
          </m:r>
        </m:oMath>
      </m:oMathPara>
    </w:p>
    <w:p w14:paraId="65092151" w14:textId="77777777" w:rsidR="00FA1406" w:rsidRPr="009118F6" w:rsidRDefault="00000000">
      <w:pPr>
        <w:pStyle w:val="FirstParagraph"/>
        <w:rPr>
          <w:lang w:val="de-DE"/>
        </w:rPr>
      </w:pPr>
      <w:r w:rsidRPr="009118F6">
        <w:rPr>
          <w:lang w:val="de-DE"/>
        </w:rPr>
        <w:t xml:space="preserve">wobei sich </w:t>
      </w:r>
      <m:oMath>
        <m:r>
          <w:rPr>
            <w:rFonts w:ascii="Cambria Math" w:hAnsi="Cambria Math"/>
          </w:rPr>
          <m:t>λ</m:t>
        </m:r>
      </m:oMath>
      <w:r w:rsidRPr="009118F6">
        <w:rPr>
          <w:lang w:val="de-DE"/>
        </w:rPr>
        <w:t xml:space="preserve"> und </w:t>
      </w:r>
      <m:oMath>
        <m:r>
          <w:rPr>
            <w:rFonts w:ascii="Cambria Math" w:hAnsi="Cambria Math"/>
          </w:rPr>
          <m:t>γ</m:t>
        </m:r>
      </m:oMath>
      <w:r w:rsidRPr="009118F6">
        <w:rPr>
          <w:lang w:val="de-DE"/>
        </w:rPr>
        <w:t xml:space="preserve"> eindeutig aus den beiden Nebenbedingungen bestimmen. Da </w:t>
      </w:r>
      <m:oMath>
        <m:sSup>
          <m:sSupPr>
            <m:ctrlPr>
              <w:rPr>
                <w:rFonts w:ascii="Cambria Math" w:hAnsi="Cambria Math"/>
              </w:rPr>
            </m:ctrlPr>
          </m:sSupPr>
          <m:e>
            <m:r>
              <w:rPr>
                <w:rFonts w:ascii="Cambria Math" w:hAnsi="Cambria Math"/>
              </w:rPr>
              <m:t>w</m:t>
            </m:r>
          </m:e>
          <m:sup>
            <m:r>
              <m:rPr>
                <m:sty m:val="p"/>
              </m:rPr>
              <w:rPr>
                <w:rFonts w:ascii="Cambria Math" w:hAnsi="Cambria Math"/>
                <w:lang w:val="de-DE"/>
              </w:rPr>
              <m:t>⋆</m:t>
            </m:r>
          </m:sup>
        </m:sSup>
      </m:oMath>
      <w:r w:rsidRPr="009118F6">
        <w:rPr>
          <w:lang w:val="de-DE"/>
        </w:rPr>
        <w:t xml:space="preserve"> linear von der Zielrendite </w:t>
      </w:r>
      <m:oMath>
        <m:sSub>
          <m:sSubPr>
            <m:ctrlPr>
              <w:rPr>
                <w:rFonts w:ascii="Cambria Math" w:hAnsi="Cambria Math"/>
              </w:rPr>
            </m:ctrlPr>
          </m:sSubPr>
          <m:e>
            <m:r>
              <w:rPr>
                <w:rFonts w:ascii="Cambria Math" w:hAnsi="Cambria Math"/>
              </w:rPr>
              <m:t>μ</m:t>
            </m:r>
          </m:e>
          <m:sub>
            <m:r>
              <w:rPr>
                <w:rFonts w:ascii="Cambria Math" w:hAnsi="Cambria Math"/>
              </w:rPr>
              <m:t>p</m:t>
            </m:r>
          </m:sub>
        </m:sSub>
      </m:oMath>
      <w:r w:rsidRPr="009118F6">
        <w:rPr>
          <w:lang w:val="de-DE"/>
        </w:rPr>
        <w:t xml:space="preserve"> abhängt, ist jedes effiziente Portfolio eine Linearkombination zweier fester Portfolios (Zwei-Fonds-Separation); im Standardabweichungs-Rendite-Diagramm bilden die effizienten Paare </w:t>
      </w:r>
      <m:oMath>
        <m:r>
          <m:rPr>
            <m:sty m:val="p"/>
          </m:rPr>
          <w:rPr>
            <w:rFonts w:ascii="Cambria Math" w:hAnsi="Cambria Math"/>
            <w:lang w:val="de-DE"/>
          </w:rPr>
          <m:t>(</m:t>
        </m:r>
        <m:sSub>
          <m:sSubPr>
            <m:ctrlPr>
              <w:rPr>
                <w:rFonts w:ascii="Cambria Math" w:hAnsi="Cambria Math"/>
              </w:rPr>
            </m:ctrlPr>
          </m:sSubPr>
          <m:e>
            <m:r>
              <w:rPr>
                <w:rFonts w:ascii="Cambria Math" w:hAnsi="Cambria Math"/>
              </w:rPr>
              <m:t>σ</m:t>
            </m:r>
          </m:e>
          <m:sub>
            <m:r>
              <w:rPr>
                <w:rFonts w:ascii="Cambria Math" w:hAnsi="Cambria Math"/>
              </w:rPr>
              <m:t>p</m:t>
            </m:r>
          </m:sub>
        </m:sSub>
        <m:r>
          <m:rPr>
            <m:sty m:val="p"/>
          </m:rPr>
          <w:rPr>
            <w:rFonts w:ascii="Cambria Math" w:hAnsi="Cambria Math"/>
            <w:lang w:val="de-DE"/>
          </w:rPr>
          <m:t>,</m:t>
        </m:r>
        <m:sSub>
          <m:sSubPr>
            <m:ctrlPr>
              <w:rPr>
                <w:rFonts w:ascii="Cambria Math" w:hAnsi="Cambria Math"/>
              </w:rPr>
            </m:ctrlPr>
          </m:sSubPr>
          <m:e>
            <m:r>
              <w:rPr>
                <w:rFonts w:ascii="Cambria Math" w:hAnsi="Cambria Math"/>
              </w:rPr>
              <m:t>μ</m:t>
            </m:r>
          </m:e>
          <m:sub>
            <m:r>
              <w:rPr>
                <w:rFonts w:ascii="Cambria Math" w:hAnsi="Cambria Math"/>
              </w:rPr>
              <m:t>p</m:t>
            </m:r>
          </m:sub>
        </m:sSub>
        <m:r>
          <m:rPr>
            <m:sty m:val="p"/>
          </m:rPr>
          <w:rPr>
            <w:rFonts w:ascii="Cambria Math" w:hAnsi="Cambria Math"/>
            <w:lang w:val="de-DE"/>
          </w:rPr>
          <m:t>)</m:t>
        </m:r>
      </m:oMath>
      <w:r w:rsidRPr="009118F6">
        <w:rPr>
          <w:lang w:val="de-DE"/>
        </w:rPr>
        <w:t xml:space="preserve"> eine Hyperbel – eben jene Effizienzlinie, die Markowitz nur geometrisch andeutet (Markowitz, 1952, S. 82).</w:t>
      </w:r>
    </w:p>
    <w:p w14:paraId="2A500F2C" w14:textId="77777777" w:rsidR="00FA1406" w:rsidRPr="009118F6" w:rsidRDefault="00000000">
      <w:pPr>
        <w:pStyle w:val="Textkrper"/>
        <w:rPr>
          <w:lang w:val="de-DE"/>
        </w:rPr>
      </w:pPr>
      <w:r w:rsidRPr="009118F6">
        <w:rPr>
          <w:lang w:val="de-DE"/>
        </w:rPr>
        <w:t xml:space="preserve">Lässt man zusätzlich eine risikofreie Anlage mit Rendite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9118F6">
        <w:rPr>
          <w:lang w:val="de-DE"/>
        </w:rPr>
        <w:t xml:space="preserve"> zu, so existiert ein ausgezeichnetes effizientes Portfolio: das </w:t>
      </w:r>
      <w:r w:rsidRPr="009118F6">
        <w:rPr>
          <w:b/>
          <w:bCs/>
          <w:lang w:val="de-DE"/>
        </w:rPr>
        <w:t>Tangentialportfolio</w:t>
      </w:r>
      <w:r w:rsidRPr="009118F6">
        <w:rPr>
          <w:lang w:val="de-DE"/>
        </w:rPr>
        <w:t xml:space="preserve">, das die Sharpe Ratio maximiert. Die Maximierung des Quotienten </w:t>
      </w:r>
      <m:oMath>
        <m:f>
          <m:fPr>
            <m:ctrlPr>
              <w:rPr>
                <w:rFonts w:ascii="Cambria Math" w:hAnsi="Cambria Math"/>
              </w:rPr>
            </m:ctrlPr>
          </m:fPr>
          <m:num>
            <m:sSup>
              <m:sSupPr>
                <m:ctrlPr>
                  <w:rPr>
                    <w:rFonts w:ascii="Cambria Math" w:hAnsi="Cambria Math"/>
                  </w:rPr>
                </m:ctrlPr>
              </m:sSupPr>
              <m:e>
                <m:r>
                  <w:rPr>
                    <w:rFonts w:ascii="Cambria Math" w:hAnsi="Cambria Math"/>
                  </w:rPr>
                  <m:t>w</m:t>
                </m:r>
              </m:e>
              <m:sup>
                <m:r>
                  <m:rPr>
                    <m:sty m:val="p"/>
                  </m:rPr>
                  <w:rPr>
                    <w:rFonts w:ascii="Cambria Math" w:hAnsi="Cambria Math"/>
                    <w:lang w:val="de-DE"/>
                  </w:rPr>
                  <m:t>⊤</m:t>
                </m:r>
              </m:sup>
            </m:sSup>
            <m:r>
              <w:rPr>
                <w:rFonts w:ascii="Cambria Math" w:hAnsi="Cambria Math"/>
              </w:rPr>
              <m:t>μ</m:t>
            </m:r>
            <m:r>
              <m:rPr>
                <m:sty m:val="p"/>
              </m:rPr>
              <w:rPr>
                <w:rFonts w:ascii="Cambria Math" w:hAnsi="Cambria Math"/>
                <w:lang w:val="de-DE"/>
              </w:rPr>
              <m:t>-</m:t>
            </m:r>
            <m:sSub>
              <m:sSubPr>
                <m:ctrlPr>
                  <w:rPr>
                    <w:rFonts w:ascii="Cambria Math" w:hAnsi="Cambria Math"/>
                  </w:rPr>
                </m:ctrlPr>
              </m:sSubPr>
              <m:e>
                <m:r>
                  <w:rPr>
                    <w:rFonts w:ascii="Cambria Math" w:hAnsi="Cambria Math"/>
                  </w:rPr>
                  <m:t>r</m:t>
                </m:r>
              </m:e>
              <m:sub>
                <m:r>
                  <w:rPr>
                    <w:rFonts w:ascii="Cambria Math" w:hAnsi="Cambria Math"/>
                  </w:rPr>
                  <m:t>f</m:t>
                </m:r>
              </m:sub>
            </m:sSub>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w</m:t>
                    </m:r>
                  </m:e>
                  <m:sup>
                    <m:r>
                      <m:rPr>
                        <m:sty m:val="p"/>
                      </m:rPr>
                      <w:rPr>
                        <w:rFonts w:ascii="Cambria Math" w:hAnsi="Cambria Math"/>
                        <w:lang w:val="de-DE"/>
                      </w:rPr>
                      <m:t>⊤</m:t>
                    </m:r>
                  </m:sup>
                </m:sSup>
                <m:r>
                  <m:rPr>
                    <m:sty m:val="p"/>
                  </m:rPr>
                  <w:rPr>
                    <w:rFonts w:ascii="Cambria Math" w:hAnsi="Cambria Math"/>
                  </w:rPr>
                  <m:t>Σ</m:t>
                </m:r>
                <m:r>
                  <w:rPr>
                    <w:rFonts w:ascii="Cambria Math" w:hAnsi="Cambria Math"/>
                    <w:lang w:val="de-DE"/>
                  </w:rPr>
                  <m:t> </m:t>
                </m:r>
                <m:r>
                  <w:rPr>
                    <w:rFonts w:ascii="Cambria Math" w:hAnsi="Cambria Math"/>
                  </w:rPr>
                  <m:t>w</m:t>
                </m:r>
              </m:e>
            </m:rad>
          </m:den>
        </m:f>
      </m:oMath>
      <w:r w:rsidRPr="009118F6">
        <w:rPr>
          <w:lang w:val="de-DE"/>
        </w:rPr>
        <w:t xml:space="preserve"> führt – da die Sharpe Ratio skaleninvariant ist – nach dem Nullsetzen des Gradienten und der Normierung auf </w:t>
      </w:r>
      <m:oMath>
        <m:sSup>
          <m:sSupPr>
            <m:ctrlPr>
              <w:rPr>
                <w:rFonts w:ascii="Cambria Math" w:hAnsi="Cambria Math"/>
              </w:rPr>
            </m:ctrlPr>
          </m:sSupPr>
          <m:e>
            <m:r>
              <w:rPr>
                <w:rFonts w:ascii="Cambria Math" w:hAnsi="Cambria Math"/>
              </w:rPr>
              <m:t>w</m:t>
            </m:r>
          </m:e>
          <m:sup>
            <m:r>
              <m:rPr>
                <m:sty m:val="p"/>
              </m:rPr>
              <w:rPr>
                <w:rFonts w:ascii="Cambria Math" w:hAnsi="Cambria Math"/>
                <w:lang w:val="de-DE"/>
              </w:rPr>
              <m:t>⊤</m:t>
            </m:r>
          </m:sup>
        </m:sSup>
        <m:r>
          <m:rPr>
            <m:sty m:val="b"/>
          </m:rPr>
          <w:rPr>
            <w:rFonts w:ascii="Cambria Math" w:hAnsi="Cambria Math"/>
          </w:rPr>
          <m:t>1</m:t>
        </m:r>
        <m:r>
          <m:rPr>
            <m:sty m:val="p"/>
          </m:rPr>
          <w:rPr>
            <w:rFonts w:ascii="Cambria Math" w:hAnsi="Cambria Math"/>
            <w:lang w:val="de-DE"/>
          </w:rPr>
          <m:t>=</m:t>
        </m:r>
        <m:r>
          <w:rPr>
            <w:rFonts w:ascii="Cambria Math" w:hAnsi="Cambria Math"/>
            <w:lang w:val="de-DE"/>
          </w:rPr>
          <m:t>1</m:t>
        </m:r>
      </m:oMath>
      <w:r w:rsidRPr="009118F6">
        <w:rPr>
          <w:lang w:val="de-DE"/>
        </w:rPr>
        <w:t xml:space="preserve"> auf</w:t>
      </w:r>
    </w:p>
    <w:p w14:paraId="5C62D04B" w14:textId="77777777" w:rsidR="00FA1406" w:rsidRPr="009118F6" w:rsidRDefault="00000000">
      <w:pPr>
        <w:pStyle w:val="Textkrper"/>
        <w:rPr>
          <w:lang w:val="de-DE"/>
        </w:rPr>
      </w:pPr>
      <m:oMathPara>
        <m:oMathParaPr>
          <m:jc m:val="center"/>
        </m:oMathParaPr>
        <m:oMath>
          <m:sSub>
            <m:sSubPr>
              <m:ctrlPr>
                <w:rPr>
                  <w:rFonts w:ascii="Cambria Math" w:hAnsi="Cambria Math"/>
                </w:rPr>
              </m:ctrlPr>
            </m:sSubPr>
            <m:e>
              <m:r>
                <w:rPr>
                  <w:rFonts w:ascii="Cambria Math" w:hAnsi="Cambria Math"/>
                </w:rPr>
                <m:t>w</m:t>
              </m:r>
            </m:e>
            <m:sub>
              <m:r>
                <m:rPr>
                  <m:nor/>
                </m:rPr>
                <w:rPr>
                  <w:lang w:val="de-DE"/>
                </w:rPr>
                <m:t>tan</m:t>
              </m:r>
            </m:sub>
          </m:sSub>
          <m:r>
            <w:rPr>
              <w:rFonts w:ascii="Cambria Math" w:hAnsi="Cambria Math"/>
              <w:lang w:val="de-DE"/>
            </w:rPr>
            <m:t> </m:t>
          </m:r>
          <m:r>
            <m:rPr>
              <m:sty m:val="p"/>
            </m:rPr>
            <w:rPr>
              <w:rFonts w:ascii="Cambria Math" w:hAnsi="Cambria Math"/>
              <w:lang w:val="de-DE"/>
            </w:rPr>
            <m:t>∝</m:t>
          </m:r>
          <m:r>
            <w:rPr>
              <w:rFonts w:ascii="Cambria Math" w:hAnsi="Cambria Math"/>
              <w:lang w:val="de-DE"/>
            </w:rPr>
            <m:t> </m:t>
          </m:r>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de-DE"/>
                </w:rPr>
                <m:t>-</m:t>
              </m:r>
              <m:r>
                <w:rPr>
                  <w:rFonts w:ascii="Cambria Math" w:hAnsi="Cambria Math"/>
                  <w:lang w:val="de-DE"/>
                </w:rPr>
                <m:t>1</m:t>
              </m:r>
            </m:sup>
          </m:sSup>
          <m:d>
            <m:dPr>
              <m:ctrlPr>
                <w:rPr>
                  <w:rFonts w:ascii="Cambria Math" w:hAnsi="Cambria Math"/>
                </w:rPr>
              </m:ctrlPr>
            </m:dPr>
            <m:e>
              <m:r>
                <w:rPr>
                  <w:rFonts w:ascii="Cambria Math" w:hAnsi="Cambria Math"/>
                </w:rPr>
                <m:t>μ</m:t>
              </m:r>
              <m:r>
                <m:rPr>
                  <m:sty m:val="p"/>
                </m:rPr>
                <w:rPr>
                  <w:rFonts w:ascii="Cambria Math" w:hAnsi="Cambria Math"/>
                  <w:lang w:val="de-DE"/>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lang w:val="de-DE"/>
                </w:rPr>
                <m:t> </m:t>
              </m:r>
              <m:r>
                <m:rPr>
                  <m:sty m:val="b"/>
                </m:rPr>
                <w:rPr>
                  <w:rFonts w:ascii="Cambria Math" w:hAnsi="Cambria Math"/>
                </w:rPr>
                <m:t>1</m:t>
              </m:r>
            </m:e>
          </m:d>
          <m:r>
            <m:rPr>
              <m:sty m:val="p"/>
            </m:rPr>
            <w:rPr>
              <w:rFonts w:ascii="Cambria Math" w:hAnsi="Cambria Math"/>
              <w:lang w:val="de-DE"/>
            </w:rPr>
            <m:t>.</m:t>
          </m:r>
        </m:oMath>
      </m:oMathPara>
    </w:p>
    <w:p w14:paraId="55DDA7C2" w14:textId="77777777" w:rsidR="00FA1406" w:rsidRPr="009118F6" w:rsidRDefault="00000000">
      <w:pPr>
        <w:pStyle w:val="FirstParagraph"/>
        <w:rPr>
          <w:lang w:val="de-DE"/>
        </w:rPr>
      </w:pPr>
      <w:r w:rsidRPr="009118F6">
        <w:rPr>
          <w:lang w:val="de-DE"/>
        </w:rPr>
        <w:t xml:space="preserve">Das Tangentialportfolio gewichtet die Anlagen also gemäß ihren mit der inversen Kovarianzmatrix transformierten Überschussrenditen. Dass diese Sharpe-Maximierung das sachgerechte Auswahlkriterium ist, bestätigt Sharpe für den Fall, dass einer risikofreien Ausgangsposition eine risikobehaftete Strategie hinzugefügt wird (Abschnitt 2.5) (Sharpe, 1994, S. 8 f.). Das in dieser Arbeit als „Markowitz MVO” bezeichnete Verfahren bestimmt </w:t>
      </w:r>
      <w:proofErr w:type="gramStart"/>
      <w:r w:rsidRPr="009118F6">
        <w:rPr>
          <w:lang w:val="de-DE"/>
        </w:rPr>
        <w:t>entsprechend dasjenige zulässige Portfolio</w:t>
      </w:r>
      <w:proofErr w:type="gramEnd"/>
      <w:r w:rsidRPr="009118F6">
        <w:rPr>
          <w:lang w:val="de-DE"/>
        </w:rPr>
        <w:t>, das die Sharpe Ratio maximiert – unter den zusätzlichen Nebenbedingungen Long-</w:t>
      </w:r>
      <w:proofErr w:type="spellStart"/>
      <w:r w:rsidRPr="009118F6">
        <w:rPr>
          <w:lang w:val="de-DE"/>
        </w:rPr>
        <w:t>only</w:t>
      </w:r>
      <w:proofErr w:type="spellEnd"/>
      <w:r w:rsidRPr="009118F6">
        <w:rPr>
          <w:lang w:val="de-DE"/>
        </w:rPr>
        <w:t xml:space="preserve"> und einer Positionsobergrenze von 20 % je Titel (Abschnitt 2.8). Die nötigen Eingangsgrößen – die erwarteten Renditen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9118F6">
        <w:rPr>
          <w:lang w:val="de-DE"/>
        </w:rPr>
        <w:t xml:space="preserve"> und die Kovarianzmatrix </w:t>
      </w:r>
      <m:oMath>
        <m:sSub>
          <m:sSubPr>
            <m:ctrlPr>
              <w:rPr>
                <w:rFonts w:ascii="Cambria Math" w:hAnsi="Cambria Math"/>
              </w:rPr>
            </m:ctrlPr>
          </m:sSubPr>
          <m:e>
            <m:r>
              <w:rPr>
                <w:rFonts w:ascii="Cambria Math" w:hAnsi="Cambria Math"/>
              </w:rPr>
              <m:t>σ</m:t>
            </m:r>
          </m:e>
          <m:sub>
            <m:r>
              <w:rPr>
                <w:rFonts w:ascii="Cambria Math" w:hAnsi="Cambria Math"/>
              </w:rPr>
              <m:t>ij</m:t>
            </m:r>
          </m:sub>
        </m:sSub>
      </m:oMath>
      <w:r w:rsidRPr="009118F6">
        <w:rPr>
          <w:lang w:val="de-DE"/>
        </w:rPr>
        <w:t xml:space="preserve"> – müssen dabei geschätzt werden; ihre Bestimmung erweist sich als die eigentliche Schwierigkeit des Verfahrens (Abschnitt 2.6).</w:t>
      </w:r>
    </w:p>
    <w:p w14:paraId="3379A780" w14:textId="77777777" w:rsidR="00FA1406" w:rsidRPr="009118F6" w:rsidRDefault="00000000">
      <w:pPr>
        <w:pStyle w:val="berschrift2"/>
        <w:rPr>
          <w:lang w:val="de-DE"/>
        </w:rPr>
      </w:pPr>
      <w:bookmarkStart w:id="19" w:name="X5f2e16ce41c4a965104db5869ac39d6520b3a8e"/>
      <w:bookmarkStart w:id="20" w:name="_Toc234524384"/>
      <w:bookmarkEnd w:id="17"/>
      <w:r w:rsidRPr="009118F6">
        <w:rPr>
          <w:lang w:val="de-DE"/>
        </w:rPr>
        <w:t>2.5 Die Sharpe Ratio als risikoadjustiertes Performancemaß</w:t>
      </w:r>
      <w:bookmarkEnd w:id="20"/>
    </w:p>
    <w:p w14:paraId="5D1BB429" w14:textId="77777777" w:rsidR="00FA1406" w:rsidRPr="009118F6" w:rsidRDefault="00000000">
      <w:pPr>
        <w:pStyle w:val="FirstParagraph"/>
        <w:rPr>
          <w:lang w:val="de-DE"/>
        </w:rPr>
      </w:pPr>
      <w:r w:rsidRPr="009118F6">
        <w:rPr>
          <w:lang w:val="de-DE"/>
        </w:rPr>
        <w:t xml:space="preserve">Der Vergleich von Anlagestrategien erfordert ein Maß, das Rendite und Risiko gemeinsam abbildet, da eine höhere Rendite regelmäßig mit höherem Risiko erkauft wird. Ein solches Maß führte Sharpe bereits 1966 ein und bezeichnete es ursprünglich als </w:t>
      </w:r>
      <w:proofErr w:type="spellStart"/>
      <w:r w:rsidRPr="009118F6">
        <w:rPr>
          <w:i/>
          <w:iCs/>
          <w:lang w:val="de-DE"/>
        </w:rPr>
        <w:t>reward-to-variability</w:t>
      </w:r>
      <w:proofErr w:type="spellEnd"/>
      <w:r w:rsidRPr="009118F6">
        <w:rPr>
          <w:i/>
          <w:iCs/>
          <w:lang w:val="de-DE"/>
        </w:rPr>
        <w:t xml:space="preserve"> </w:t>
      </w:r>
      <w:proofErr w:type="spellStart"/>
      <w:r w:rsidRPr="009118F6">
        <w:rPr>
          <w:i/>
          <w:iCs/>
          <w:lang w:val="de-DE"/>
        </w:rPr>
        <w:t>ratio</w:t>
      </w:r>
      <w:proofErr w:type="spellEnd"/>
      <w:r w:rsidRPr="009118F6">
        <w:rPr>
          <w:lang w:val="de-DE"/>
        </w:rPr>
        <w:t xml:space="preserve"> (Sharpe, 1994, S. 1). Es setzt am Mean-</w:t>
      </w:r>
      <w:proofErr w:type="spellStart"/>
      <w:r w:rsidRPr="009118F6">
        <w:rPr>
          <w:lang w:val="de-DE"/>
        </w:rPr>
        <w:t>Variance</w:t>
      </w:r>
      <w:proofErr w:type="spellEnd"/>
      <w:r w:rsidRPr="009118F6">
        <w:rPr>
          <w:lang w:val="de-DE"/>
        </w:rPr>
        <w:t xml:space="preserve">-Paradigma von Markowitz an, das unterstellt, dass Erwartungswert und Standardabweichung der </w:t>
      </w:r>
      <w:proofErr w:type="spellStart"/>
      <w:r w:rsidRPr="009118F6">
        <w:rPr>
          <w:lang w:val="de-DE"/>
        </w:rPr>
        <w:t>einperiodigen</w:t>
      </w:r>
      <w:proofErr w:type="spellEnd"/>
      <w:r w:rsidRPr="009118F6">
        <w:rPr>
          <w:lang w:val="de-DE"/>
        </w:rPr>
        <w:t xml:space="preserve"> Rendite hinreichende Statistiken zur Beurteilung einer Anlage sind (Sharpe, 1994, S. 1).</w:t>
      </w:r>
    </w:p>
    <w:p w14:paraId="0ADB80DC" w14:textId="77777777" w:rsidR="00FA1406" w:rsidRPr="009118F6" w:rsidRDefault="00000000">
      <w:pPr>
        <w:pStyle w:val="Textkrper"/>
        <w:rPr>
          <w:lang w:val="de-DE"/>
        </w:rPr>
      </w:pPr>
      <w:r w:rsidRPr="009118F6">
        <w:rPr>
          <w:lang w:val="de-DE"/>
        </w:rPr>
        <w:t xml:space="preserve">Sharpe unterscheidet eine </w:t>
      </w:r>
      <w:r w:rsidRPr="009118F6">
        <w:rPr>
          <w:i/>
          <w:iCs/>
          <w:lang w:val="de-DE"/>
        </w:rPr>
        <w:t>ex-ante-</w:t>
      </w:r>
      <w:r w:rsidRPr="009118F6">
        <w:rPr>
          <w:lang w:val="de-DE"/>
        </w:rPr>
        <w:t xml:space="preserve"> und eine </w:t>
      </w:r>
      <w:r w:rsidRPr="009118F6">
        <w:rPr>
          <w:i/>
          <w:iCs/>
          <w:lang w:val="de-DE"/>
        </w:rPr>
        <w:t>ex-post-Variante</w:t>
      </w:r>
      <w:r w:rsidRPr="009118F6">
        <w:rPr>
          <w:lang w:val="de-DE"/>
        </w:rPr>
        <w:t xml:space="preserve"> (Sharpe, 1994, S. 1 f.). Grundlage beider ist die Differenzrendite </w:t>
      </w:r>
      <m:oMath>
        <m:r>
          <w:rPr>
            <w:rFonts w:ascii="Cambria Math" w:hAnsi="Cambria Math"/>
          </w:rPr>
          <m:t>d</m:t>
        </m:r>
      </m:oMath>
      <w:r w:rsidRPr="009118F6">
        <w:rPr>
          <w:lang w:val="de-DE"/>
        </w:rPr>
        <w:t xml:space="preserve">, also die Differenz zwischen der Rendite des Portfolios und der einer Vergleichsgröße (Benchmark); ist die Benchmark eine risikofreie Anlage, entspricht </w:t>
      </w:r>
      <m:oMath>
        <m:r>
          <w:rPr>
            <w:rFonts w:ascii="Cambria Math" w:hAnsi="Cambria Math"/>
          </w:rPr>
          <m:t>d</m:t>
        </m:r>
      </m:oMath>
      <w:r w:rsidRPr="009118F6">
        <w:rPr>
          <w:lang w:val="de-DE"/>
        </w:rPr>
        <w:t xml:space="preserve"> der Überschussrendite (Sharpe, 1994, S. 5). Die ex-ante-Sharpe-Ratio ist als Quotient aus erwarteter Differenzrendite und deren prognostizierter Standardabweichung definiert und gibt damit die erwartete Differenzrendite je Einheit Risiko an (Sharpe, 1994, S. 2). Für die empirische Auswertung ist die ex-post-Variante maßgeblich; sie ersetzt Erwartungswert und Standardabweichung durch ihre historischen Schätzer, </w:t>
      </w:r>
      <m:oMath>
        <m:sSub>
          <m:sSubPr>
            <m:ctrlPr>
              <w:rPr>
                <w:rFonts w:ascii="Cambria Math" w:hAnsi="Cambria Math"/>
              </w:rPr>
            </m:ctrlPr>
          </m:sSubPr>
          <m:e>
            <m:r>
              <w:rPr>
                <w:rFonts w:ascii="Cambria Math" w:hAnsi="Cambria Math"/>
              </w:rPr>
              <m:t>S</m:t>
            </m:r>
          </m:e>
          <m:sub>
            <m:r>
              <w:rPr>
                <w:rFonts w:ascii="Cambria Math" w:hAnsi="Cambria Math"/>
                <w:lang w:val="de-DE"/>
              </w:rPr>
              <m:t>h</m:t>
            </m:r>
          </m:sub>
        </m:sSub>
        <m:r>
          <m:rPr>
            <m:sty m:val="p"/>
          </m:rPr>
          <w:rPr>
            <w:rFonts w:ascii="Cambria Math" w:hAnsi="Cambria Math"/>
            <w:lang w:val="de-DE"/>
          </w:rPr>
          <m:t>=</m:t>
        </m:r>
        <m:acc>
          <m:accPr>
            <m:chr m:val="‾"/>
            <m:ctrlPr>
              <w:rPr>
                <w:rFonts w:ascii="Cambria Math" w:hAnsi="Cambria Math"/>
              </w:rPr>
            </m:ctrlPr>
          </m:accPr>
          <m:e>
            <m:r>
              <w:rPr>
                <w:rFonts w:ascii="Cambria Math" w:hAnsi="Cambria Math"/>
              </w:rPr>
              <m:t>D</m:t>
            </m:r>
          </m:e>
        </m:acc>
        <m:r>
          <m:rPr>
            <m:sty m:val="p"/>
          </m:rPr>
          <w:rPr>
            <w:rFonts w:ascii="Cambria Math" w:hAnsi="Cambria Math"/>
            <w:lang w:val="de-DE"/>
          </w:rPr>
          <m:t>/</m:t>
        </m:r>
        <m:sSub>
          <m:sSubPr>
            <m:ctrlPr>
              <w:rPr>
                <w:rFonts w:ascii="Cambria Math" w:hAnsi="Cambria Math"/>
              </w:rPr>
            </m:ctrlPr>
          </m:sSubPr>
          <m:e>
            <m:r>
              <w:rPr>
                <w:rFonts w:ascii="Cambria Math" w:hAnsi="Cambria Math"/>
              </w:rPr>
              <m:t>σ</m:t>
            </m:r>
          </m:e>
          <m:sub>
            <m:r>
              <w:rPr>
                <w:rFonts w:ascii="Cambria Math" w:hAnsi="Cambria Math"/>
              </w:rPr>
              <m:t>D</m:t>
            </m:r>
          </m:sub>
        </m:sSub>
      </m:oMath>
      <w:r w:rsidRPr="009118F6">
        <w:rPr>
          <w:lang w:val="de-DE"/>
        </w:rPr>
        <w:t xml:space="preserve">, wobei </w:t>
      </w:r>
      <m:oMath>
        <m:acc>
          <m:accPr>
            <m:chr m:val="‾"/>
            <m:ctrlPr>
              <w:rPr>
                <w:rFonts w:ascii="Cambria Math" w:hAnsi="Cambria Math"/>
              </w:rPr>
            </m:ctrlPr>
          </m:accPr>
          <m:e>
            <m:r>
              <w:rPr>
                <w:rFonts w:ascii="Cambria Math" w:hAnsi="Cambria Math"/>
              </w:rPr>
              <m:t>D</m:t>
            </m:r>
          </m:e>
        </m:acc>
      </m:oMath>
      <w:r w:rsidRPr="009118F6">
        <w:rPr>
          <w:lang w:val="de-DE"/>
        </w:rPr>
        <w:t xml:space="preserve"> den Mittelwert und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009118F6">
        <w:rPr>
          <w:lang w:val="de-DE"/>
        </w:rPr>
        <w:t xml:space="preserve"> die Standardabweichung der realisierten Differenzrenditen über </w:t>
      </w:r>
      <m:oMath>
        <m:r>
          <w:rPr>
            <w:rFonts w:ascii="Cambria Math" w:hAnsi="Cambria Math"/>
          </w:rPr>
          <m:t>T</m:t>
        </m:r>
      </m:oMath>
      <w:r w:rsidRPr="009118F6">
        <w:rPr>
          <w:lang w:val="de-DE"/>
        </w:rPr>
        <w:t xml:space="preserve"> Perioden bezeichnen (Sharpe, 1994, S. 3). Sharpe </w:t>
      </w:r>
      <w:r w:rsidRPr="009118F6">
        <w:rPr>
          <w:lang w:val="de-DE"/>
        </w:rPr>
        <w:lastRenderedPageBreak/>
        <w:t xml:space="preserve">verweist auf den engen Zusammenhang zur </w:t>
      </w:r>
      <m:oMath>
        <m:r>
          <w:rPr>
            <w:rFonts w:ascii="Cambria Math" w:hAnsi="Cambria Math"/>
          </w:rPr>
          <m:t>t</m:t>
        </m:r>
      </m:oMath>
      <w:r w:rsidRPr="009118F6">
        <w:rPr>
          <w:lang w:val="de-DE"/>
        </w:rPr>
        <w:t xml:space="preserve">-Statistik: Der </w:t>
      </w:r>
      <m:oMath>
        <m:r>
          <w:rPr>
            <w:rFonts w:ascii="Cambria Math" w:hAnsi="Cambria Math"/>
          </w:rPr>
          <m:t>t</m:t>
        </m:r>
      </m:oMath>
      <w:r w:rsidRPr="009118F6">
        <w:rPr>
          <w:lang w:val="de-DE"/>
        </w:rPr>
        <w:t xml:space="preserve">-Wert des mittleren Differenzertrags ist gleich der Sharpe Ratio multipliziert mit der Wurzel aus der Beobachtungszahl, </w:t>
      </w:r>
      <m:oMath>
        <m:r>
          <w:rPr>
            <w:rFonts w:ascii="Cambria Math" w:hAnsi="Cambria Math"/>
          </w:rPr>
          <m:t>t</m:t>
        </m:r>
        <m:r>
          <m:rPr>
            <m:sty m:val="p"/>
          </m:rPr>
          <w:rPr>
            <w:rFonts w:ascii="Cambria Math" w:hAnsi="Cambria Math"/>
            <w:lang w:val="de-DE"/>
          </w:rPr>
          <m:t>=</m:t>
        </m:r>
        <m:sSub>
          <m:sSubPr>
            <m:ctrlPr>
              <w:rPr>
                <w:rFonts w:ascii="Cambria Math" w:hAnsi="Cambria Math"/>
              </w:rPr>
            </m:ctrlPr>
          </m:sSubPr>
          <m:e>
            <m:r>
              <w:rPr>
                <w:rFonts w:ascii="Cambria Math" w:hAnsi="Cambria Math"/>
              </w:rPr>
              <m:t>S</m:t>
            </m:r>
          </m:e>
          <m:sub>
            <m:r>
              <w:rPr>
                <w:rFonts w:ascii="Cambria Math" w:hAnsi="Cambria Math"/>
                <w:lang w:val="de-DE"/>
              </w:rPr>
              <m:t>h</m:t>
            </m:r>
          </m:sub>
        </m:sSub>
        <m:rad>
          <m:radPr>
            <m:degHide m:val="1"/>
            <m:ctrlPr>
              <w:rPr>
                <w:rFonts w:ascii="Cambria Math" w:hAnsi="Cambria Math"/>
              </w:rPr>
            </m:ctrlPr>
          </m:radPr>
          <m:deg/>
          <m:e>
            <m:r>
              <w:rPr>
                <w:rFonts w:ascii="Cambria Math" w:hAnsi="Cambria Math"/>
              </w:rPr>
              <m:t>T</m:t>
            </m:r>
          </m:e>
        </m:rad>
      </m:oMath>
      <w:r w:rsidRPr="009118F6">
        <w:rPr>
          <w:lang w:val="de-DE"/>
        </w:rPr>
        <w:t xml:space="preserve"> (Sharpe, 1994, S. 3). Bereits hieraus folgt, dass die Aussagekraft einer Sharpe Ratio von der Länge des Beobachtungszeitraums abhängt.</w:t>
      </w:r>
    </w:p>
    <w:p w14:paraId="21EB23FB" w14:textId="77777777" w:rsidR="00FA1406" w:rsidRPr="009118F6" w:rsidRDefault="00000000">
      <w:pPr>
        <w:pStyle w:val="Textkrper"/>
        <w:rPr>
          <w:lang w:val="de-DE"/>
        </w:rPr>
      </w:pPr>
      <w:r w:rsidRPr="009118F6">
        <w:rPr>
          <w:lang w:val="de-DE"/>
        </w:rPr>
        <w:t xml:space="preserve">Diese Zeitabhängigkeit betrifft auch die übliche </w:t>
      </w:r>
      <w:r w:rsidRPr="009118F6">
        <w:rPr>
          <w:b/>
          <w:bCs/>
          <w:lang w:val="de-DE"/>
        </w:rPr>
        <w:t>Annualisierung</w:t>
      </w:r>
      <w:r w:rsidRPr="009118F6">
        <w:rPr>
          <w:lang w:val="de-DE"/>
        </w:rPr>
        <w:t xml:space="preserve">. Werden </w:t>
      </w:r>
      <w:proofErr w:type="spellStart"/>
      <w:r w:rsidRPr="009118F6">
        <w:rPr>
          <w:lang w:val="de-DE"/>
        </w:rPr>
        <w:t>einperiodige</w:t>
      </w:r>
      <w:proofErr w:type="spellEnd"/>
      <w:r w:rsidRPr="009118F6">
        <w:rPr>
          <w:lang w:val="de-DE"/>
        </w:rPr>
        <w:t xml:space="preserve"> Differenzrenditen ohne serielle Korrelation aufsummiert, so wächst der Mittelwert proportional zu </w:t>
      </w:r>
      <m:oMath>
        <m:r>
          <w:rPr>
            <w:rFonts w:ascii="Cambria Math" w:hAnsi="Cambria Math"/>
          </w:rPr>
          <m:t>T</m:t>
        </m:r>
      </m:oMath>
      <w:r w:rsidRPr="009118F6">
        <w:rPr>
          <w:lang w:val="de-DE"/>
        </w:rPr>
        <w:t xml:space="preserve">, die Standardabweichung hingegen nur proportional zu </w:t>
      </w:r>
      <m:oMath>
        <m:rad>
          <m:radPr>
            <m:degHide m:val="1"/>
            <m:ctrlPr>
              <w:rPr>
                <w:rFonts w:ascii="Cambria Math" w:hAnsi="Cambria Math"/>
              </w:rPr>
            </m:ctrlPr>
          </m:radPr>
          <m:deg/>
          <m:e>
            <m:r>
              <w:rPr>
                <w:rFonts w:ascii="Cambria Math" w:hAnsi="Cambria Math"/>
              </w:rPr>
              <m:t>T</m:t>
            </m:r>
          </m:e>
        </m:rad>
      </m:oMath>
      <w:r w:rsidRPr="009118F6">
        <w:rPr>
          <w:lang w:val="de-DE"/>
        </w:rPr>
        <w:t xml:space="preserve">; folglich gilt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lang w:val="de-DE"/>
          </w:rPr>
          <m:t>=</m:t>
        </m:r>
        <m:sSub>
          <m:sSubPr>
            <m:ctrlPr>
              <w:rPr>
                <w:rFonts w:ascii="Cambria Math" w:hAnsi="Cambria Math"/>
              </w:rPr>
            </m:ctrlPr>
          </m:sSubPr>
          <m:e>
            <m:r>
              <w:rPr>
                <w:rFonts w:ascii="Cambria Math" w:hAnsi="Cambria Math"/>
              </w:rPr>
              <m:t>S</m:t>
            </m:r>
          </m:e>
          <m:sub>
            <m:r>
              <w:rPr>
                <w:rFonts w:ascii="Cambria Math" w:hAnsi="Cambria Math"/>
                <w:lang w:val="de-DE"/>
              </w:rPr>
              <m:t>1</m:t>
            </m:r>
          </m:sub>
        </m:sSub>
        <m:rad>
          <m:radPr>
            <m:degHide m:val="1"/>
            <m:ctrlPr>
              <w:rPr>
                <w:rFonts w:ascii="Cambria Math" w:hAnsi="Cambria Math"/>
              </w:rPr>
            </m:ctrlPr>
          </m:radPr>
          <m:deg/>
          <m:e>
            <m:r>
              <w:rPr>
                <w:rFonts w:ascii="Cambria Math" w:hAnsi="Cambria Math"/>
              </w:rPr>
              <m:t>T</m:t>
            </m:r>
          </m:e>
        </m:rad>
      </m:oMath>
      <w:r w:rsidRPr="009118F6">
        <w:rPr>
          <w:lang w:val="de-DE"/>
        </w:rPr>
        <w:t xml:space="preserve"> (Sharpe, 1994, S. 3 f.). Eine monatliche Sharpe Ratio wäre demnach mit </w:t>
      </w:r>
      <m:oMath>
        <m:rad>
          <m:radPr>
            <m:degHide m:val="1"/>
            <m:ctrlPr>
              <w:rPr>
                <w:rFonts w:ascii="Cambria Math" w:hAnsi="Cambria Math"/>
              </w:rPr>
            </m:ctrlPr>
          </m:radPr>
          <m:deg/>
          <m:e>
            <m:r>
              <w:rPr>
                <w:rFonts w:ascii="Cambria Math" w:hAnsi="Cambria Math"/>
                <w:lang w:val="de-DE"/>
              </w:rPr>
              <m:t>12</m:t>
            </m:r>
          </m:e>
        </m:rad>
      </m:oMath>
      <w:r w:rsidRPr="009118F6">
        <w:rPr>
          <w:lang w:val="de-DE"/>
        </w:rPr>
        <w:t xml:space="preserve"> zu multiplizieren. Sharpe selbst schränkt jedoch ein, dass diese Beziehung durch Zinseszinseffekte und durch serielle Korrelation der Renditen komplizierter wird (Sharpe, 1994, S. 4).</w:t>
      </w:r>
    </w:p>
    <w:p w14:paraId="54D02687" w14:textId="77777777" w:rsidR="00FA1406" w:rsidRPr="009118F6" w:rsidRDefault="00000000">
      <w:pPr>
        <w:pStyle w:val="Textkrper"/>
        <w:rPr>
          <w:lang w:val="de-DE"/>
        </w:rPr>
      </w:pPr>
      <w:r w:rsidRPr="009118F6">
        <w:rPr>
          <w:lang w:val="de-DE"/>
        </w:rPr>
        <w:t>Genau hier setzt Lo an. Er betont, dass die Bausteine der Sharpe Ratio – erwartete Rendite und Volatilität – unbekannte, statistisch zu schätzende und damit schätzfehlerbehaftete Größen sind (Lo, 2002, S. 36). Unter der Annahme unabhängig und identisch verteilter (</w:t>
      </w:r>
      <w:proofErr w:type="spellStart"/>
      <w:r w:rsidRPr="009118F6">
        <w:rPr>
          <w:lang w:val="de-DE"/>
        </w:rPr>
        <w:t>i.i.d</w:t>
      </w:r>
      <w:proofErr w:type="spellEnd"/>
      <w:r w:rsidRPr="009118F6">
        <w:rPr>
          <w:lang w:val="de-DE"/>
        </w:rPr>
        <w:t xml:space="preserve">.) Renditen leitet er den asymptotischen Standardfehler des Schätzers her; dieser wächst mit der Höhe der Sharpe Ratio selbst, sodass größere Sharpe </w:t>
      </w:r>
      <w:proofErr w:type="spellStart"/>
      <w:r w:rsidRPr="009118F6">
        <w:rPr>
          <w:lang w:val="de-DE"/>
        </w:rPr>
        <w:t>Ratios</w:t>
      </w:r>
      <w:proofErr w:type="spellEnd"/>
      <w:r w:rsidRPr="009118F6">
        <w:rPr>
          <w:lang w:val="de-DE"/>
        </w:rPr>
        <w:t xml:space="preserve"> unpräziser geschätzt werden (Lo, 2002, S. 38). Entscheidend für die vorliegende Arbeit ist sein Befund zur Annualisierung: Die Multiplikation mit </w:t>
      </w:r>
      <m:oMath>
        <m:rad>
          <m:radPr>
            <m:degHide m:val="1"/>
            <m:ctrlPr>
              <w:rPr>
                <w:rFonts w:ascii="Cambria Math" w:hAnsi="Cambria Math"/>
              </w:rPr>
            </m:ctrlPr>
          </m:radPr>
          <m:deg/>
          <m:e>
            <m:r>
              <w:rPr>
                <w:rFonts w:ascii="Cambria Math" w:hAnsi="Cambria Math"/>
                <w:lang w:val="de-DE"/>
              </w:rPr>
              <m:t>12</m:t>
            </m:r>
          </m:e>
        </m:rad>
      </m:oMath>
      <w:r w:rsidRPr="009118F6">
        <w:rPr>
          <w:lang w:val="de-DE"/>
        </w:rPr>
        <w:t xml:space="preserve"> ist nur unter der i.i.d.-Annahme korrekt (Lo, 2002, S. 36, 40). Bei autokorrelierten Renditen ist stattdessen ein Korrekturfaktor zu verwenden, der die Autokorrelationen berücksichtigt; bei einer monatlichen Autokorrelation erster Ordnung von 20 % etwa beträgt der korrekte Skalierungsfaktor 2,88 statt 3,46 (</w:t>
      </w:r>
      <m:oMath>
        <m:r>
          <m:rPr>
            <m:sty m:val="p"/>
          </m:rPr>
          <w:rPr>
            <w:rFonts w:ascii="Cambria Math" w:hAnsi="Cambria Math"/>
            <w:lang w:val="de-DE"/>
          </w:rPr>
          <m:t>=</m:t>
        </m:r>
        <m:rad>
          <m:radPr>
            <m:degHide m:val="1"/>
            <m:ctrlPr>
              <w:rPr>
                <w:rFonts w:ascii="Cambria Math" w:hAnsi="Cambria Math"/>
              </w:rPr>
            </m:ctrlPr>
          </m:radPr>
          <m:deg/>
          <m:e>
            <m:r>
              <w:rPr>
                <w:rFonts w:ascii="Cambria Math" w:hAnsi="Cambria Math"/>
                <w:lang w:val="de-DE"/>
              </w:rPr>
              <m:t>12</m:t>
            </m:r>
          </m:e>
        </m:rad>
      </m:oMath>
      <w:r w:rsidRPr="009118F6">
        <w:rPr>
          <w:lang w:val="de-DE"/>
        </w:rPr>
        <w:t>), womit die naive Annualisierung die wahre Sharpe Ratio überschätzt (Lo, 2002, S. 40 f.).</w:t>
      </w:r>
    </w:p>
    <w:p w14:paraId="5062FAC9" w14:textId="77777777" w:rsidR="00FA1406" w:rsidRPr="009118F6" w:rsidRDefault="00000000">
      <w:pPr>
        <w:pStyle w:val="Textkrper"/>
        <w:rPr>
          <w:lang w:val="de-DE"/>
        </w:rPr>
      </w:pPr>
      <w:r w:rsidRPr="009118F6">
        <w:rPr>
          <w:lang w:val="de-DE"/>
        </w:rPr>
        <w:t xml:space="preserve">Schließlich ist eine grundsätzliche Grenze zu beachten: Die Sharpe Ratio berücksichtigt nicht die Korrelation einer Strategie mit anderen Vermögenswerten und kann daher in bestimmten Konstellationen zu Fehlentscheidungen führen (Sharpe, 1994, S. 4, 13). Aus diesen Eigenschaften ergeben sich zwei methodische Konsequenzen für die vorliegende Untersuchung: Erstens dient die Sharpe Ratio als zentrales risikoadjustiertes Vergleichsmaß; zweitens dürfen beobachtete Unterschiede zwischen Strategien nicht als bloße </w:t>
      </w:r>
      <w:r w:rsidRPr="009118F6">
        <w:rPr>
          <w:lang w:val="de-DE"/>
        </w:rPr>
        <w:lastRenderedPageBreak/>
        <w:t>Punktschätzer gedeutet, sondern müssen – gerade wegen ihres Schätzfehlers – statistisch auf Signifikanz geprüft werden (vgl. Kapitel 5).</w:t>
      </w:r>
    </w:p>
    <w:p w14:paraId="003BC086" w14:textId="77777777" w:rsidR="00FA1406" w:rsidRPr="009118F6" w:rsidRDefault="00000000">
      <w:pPr>
        <w:pStyle w:val="berschrift2"/>
        <w:rPr>
          <w:lang w:val="de-DE"/>
        </w:rPr>
      </w:pPr>
      <w:bookmarkStart w:id="21" w:name="Xcbd7a3a6c1471d347e3a45c8a9cdc7941667962"/>
      <w:bookmarkStart w:id="22" w:name="_Toc234524385"/>
      <w:bookmarkEnd w:id="19"/>
      <w:r w:rsidRPr="009118F6">
        <w:rPr>
          <w:lang w:val="de-DE"/>
        </w:rPr>
        <w:t>2.6 Das Kernproblem: Schätzfehler in den Eingangsgrößen</w:t>
      </w:r>
      <w:bookmarkEnd w:id="22"/>
    </w:p>
    <w:p w14:paraId="0F557D72" w14:textId="77777777" w:rsidR="00FA1406" w:rsidRPr="009118F6" w:rsidRDefault="00000000">
      <w:pPr>
        <w:pStyle w:val="FirstParagraph"/>
        <w:rPr>
          <w:lang w:val="de-DE"/>
        </w:rPr>
      </w:pPr>
      <w:r w:rsidRPr="009118F6">
        <w:rPr>
          <w:lang w:val="de-DE"/>
        </w:rPr>
        <w:t xml:space="preserve">Markowitz benennt die Bestimmung der Eingangsgrößen selbst als die praktische Hürde des Verfahrens. Als vorläufige Wahl schlägt er vor, die beobachteten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9118F6">
        <w:rPr>
          <w:lang w:val="de-DE"/>
        </w:rPr>
        <w:t xml:space="preserve"> und </w:t>
      </w:r>
      <m:oMath>
        <m:sSub>
          <m:sSubPr>
            <m:ctrlPr>
              <w:rPr>
                <w:rFonts w:ascii="Cambria Math" w:hAnsi="Cambria Math"/>
              </w:rPr>
            </m:ctrlPr>
          </m:sSubPr>
          <m:e>
            <m:r>
              <w:rPr>
                <w:rFonts w:ascii="Cambria Math" w:hAnsi="Cambria Math"/>
              </w:rPr>
              <m:t>σ</m:t>
            </m:r>
          </m:e>
          <m:sub>
            <m:r>
              <w:rPr>
                <w:rFonts w:ascii="Cambria Math" w:hAnsi="Cambria Math"/>
              </w:rPr>
              <m:t>ij</m:t>
            </m:r>
          </m:sub>
        </m:sSub>
      </m:oMath>
      <w:r w:rsidRPr="009118F6">
        <w:rPr>
          <w:lang w:val="de-DE"/>
        </w:rPr>
        <w:t xml:space="preserve"> einer vergangenen Periode zu verwenden, hält jedoch bessere, mehr Information nutzende Methoden für möglich und nötig (Markowitz, 1952, S. 91). Genau an dieser Schätzung der unbekannten Zukunft entzündet sich die zentrale Kritik an der Mean-Variance-Optimierung.</w:t>
      </w:r>
    </w:p>
    <w:p w14:paraId="5DBA2AB2" w14:textId="77777777" w:rsidR="00FA1406" w:rsidRPr="009118F6" w:rsidRDefault="00000000">
      <w:pPr>
        <w:pStyle w:val="Textkrper"/>
        <w:rPr>
          <w:lang w:val="de-DE"/>
        </w:rPr>
      </w:pPr>
      <w:r w:rsidRPr="009118F6">
        <w:rPr>
          <w:lang w:val="de-DE"/>
        </w:rPr>
        <w:t xml:space="preserve">Michaud bringt sie auf den Punkt: Das Hauptproblem der MV-Optimierung sei ihre Tendenz, die Auswirkungen von Fehlern in den Eingangsannahmen zu </w:t>
      </w:r>
      <w:r w:rsidRPr="009118F6">
        <w:rPr>
          <w:i/>
          <w:iCs/>
          <w:lang w:val="de-DE"/>
        </w:rPr>
        <w:t>maximieren</w:t>
      </w:r>
      <w:r w:rsidRPr="009118F6">
        <w:rPr>
          <w:lang w:val="de-DE"/>
        </w:rPr>
        <w:t>; eine unbeschränkte MV-Optimierung könne sogar Ergebnisse liefern, die schlechter sind als einfache Gleichgewichtungsschemata (Michaud, 1989, S. 31). Anschaulich gesprochen überschätzt der Optimierer tendenziell jene Wertpapiere, deren Rendite zufällig zu hoch und deren Varianz zufällig zu niedrig geschätzt wurde, und konzentriert das Vermögen auf sie – er wirkt als „Fehler-</w:t>
      </w:r>
      <w:proofErr w:type="spellStart"/>
      <w:r w:rsidRPr="009118F6">
        <w:rPr>
          <w:lang w:val="de-DE"/>
        </w:rPr>
        <w:t>Maximierer</w:t>
      </w:r>
      <w:proofErr w:type="spellEnd"/>
      <w:r w:rsidRPr="009118F6">
        <w:rPr>
          <w:lang w:val="de-DE"/>
        </w:rPr>
        <w:t>”. Zugleich betont Michaud, dass sich der praktische Wert der MVO durch sinnvoll gewählte Beschränkungen (Constraints) steigern lässt (Michaud, 1989, S. 31).</w:t>
      </w:r>
    </w:p>
    <w:p w14:paraId="4A04E448" w14:textId="77777777" w:rsidR="00FA1406" w:rsidRPr="009118F6" w:rsidRDefault="00000000">
      <w:pPr>
        <w:pStyle w:val="Textkrper"/>
        <w:rPr>
          <w:lang w:val="de-DE"/>
        </w:rPr>
      </w:pPr>
      <w:r w:rsidRPr="009118F6">
        <w:rPr>
          <w:lang w:val="de-DE"/>
        </w:rPr>
        <w:t xml:space="preserve">Wie sich die Fehleranfälligkeit auf die einzelnen Eingangsgrößen verteilt, quantifizieren Chopra und Ziemba. Über den </w:t>
      </w:r>
      <w:r w:rsidRPr="009118F6">
        <w:rPr>
          <w:i/>
          <w:iCs/>
          <w:lang w:val="de-DE"/>
        </w:rPr>
        <w:t xml:space="preserve">Cash </w:t>
      </w:r>
      <w:proofErr w:type="spellStart"/>
      <w:r w:rsidRPr="009118F6">
        <w:rPr>
          <w:i/>
          <w:iCs/>
          <w:lang w:val="de-DE"/>
        </w:rPr>
        <w:t>Equivalent</w:t>
      </w:r>
      <w:proofErr w:type="spellEnd"/>
      <w:r w:rsidRPr="009118F6">
        <w:rPr>
          <w:i/>
          <w:iCs/>
          <w:lang w:val="de-DE"/>
        </w:rPr>
        <w:t xml:space="preserve"> Loss</w:t>
      </w:r>
      <w:r w:rsidRPr="009118F6">
        <w:rPr>
          <w:lang w:val="de-DE"/>
        </w:rPr>
        <w:t xml:space="preserve"> (CEL) messen sie den Nutzenverlust, der entsteht, wenn statt des optimalen ein fehlerbehaftetes Portfolio gehalten wird (Chopra &amp; Ziemba, 1993, S. 7). Ihr zentrales Ergebnis lautet, dass Fehler in den Erwartungswerten weit schwerer wiegen als Fehler in Varianzen und Kovarianzen und dass sich dieser Unterschied mit steigender Risikotoleranz noch vergrößert (Chopra &amp; Ziemba, 1993, S. 7). Quantitativ sind bei einer Risikotoleranz von 50 Fehler in den Mittelwerten rund elfmal so bedeutsam wie Fehler in den Varianzen und etwa 22-mal so bedeutsam wie Fehler in den Kovarianzen, während Fehler in den Varianzen rund doppelt so schwer wiegen wie solche in den Kovarianzen (Chopra &amp; Ziemba, 1993, S. 10, </w:t>
      </w:r>
      <w:proofErr w:type="spellStart"/>
      <w:r w:rsidRPr="009118F6">
        <w:rPr>
          <w:lang w:val="de-DE"/>
        </w:rPr>
        <w:t>Exhibit</w:t>
      </w:r>
      <w:proofErr w:type="spellEnd"/>
      <w:r w:rsidRPr="009118F6">
        <w:rPr>
          <w:lang w:val="de-DE"/>
        </w:rPr>
        <w:t xml:space="preserve"> 5). Daraus folgern die Autoren, dass die begrenzten Ressourcen zur Parameterschätzung vorrangig in möglichst gute Schätzungen der erwarteten Renditen fließen sollten (Chopra &amp; Ziemba, 1993, S. 10). Dass </w:t>
      </w:r>
      <w:r w:rsidRPr="009118F6">
        <w:rPr>
          <w:lang w:val="de-DE"/>
        </w:rPr>
        <w:lastRenderedPageBreak/>
        <w:t>die optimalen Portfoliogewichte tatsächlich „</w:t>
      </w:r>
      <w:proofErr w:type="gramStart"/>
      <w:r w:rsidRPr="009118F6">
        <w:rPr>
          <w:lang w:val="de-DE"/>
        </w:rPr>
        <w:t>extrem empfindlich</w:t>
      </w:r>
      <w:proofErr w:type="gramEnd"/>
      <w:r w:rsidRPr="009118F6">
        <w:rPr>
          <w:lang w:val="de-DE"/>
        </w:rPr>
        <w:t>” auf Änderungen der Mittelwert-Schätzungen reagieren, bestätigen Best und Grauer analytisch wie numerisch (Best &amp; Grauer, 1991, S. 315). Und warum gerade die Mittelwerte so schwer zu schätzen sind, zeigt Merton: Die Varianz lässt sich – insbesondere mithilfe höher frequenter Daten – weit genauer schätzen als die erwartete Rendite, die selbst über lange Zeiträume unpräzise bleibt (Merton, 1980, S. 14).</w:t>
      </w:r>
    </w:p>
    <w:p w14:paraId="38B6869B" w14:textId="77777777" w:rsidR="00FA1406" w:rsidRPr="009118F6" w:rsidRDefault="00000000">
      <w:pPr>
        <w:pStyle w:val="Textkrper"/>
        <w:rPr>
          <w:lang w:val="de-DE"/>
        </w:rPr>
      </w:pPr>
      <w:r w:rsidRPr="009118F6">
        <w:rPr>
          <w:lang w:val="de-DE"/>
        </w:rPr>
        <w:t>Dieser Befund ist für die vorliegende Arbeit grundlegend: Er erklärt erstens, warum die naive 1/N-Strategie eine ernstzunehmende Vergleichsgröße darstellt (Abschnitt 2.9), und motiviert zweitens den Einsatz eines Random Forest, der gezielt die schwierigste und folgenreichste Eingangsgröße – die erwartete Rendite – datengetrieben zu verbessern sucht (Kapitel 3).</w:t>
      </w:r>
    </w:p>
    <w:p w14:paraId="4D56CA17" w14:textId="77777777" w:rsidR="00FA1406" w:rsidRPr="009118F6" w:rsidRDefault="00000000">
      <w:pPr>
        <w:pStyle w:val="berschrift2"/>
        <w:rPr>
          <w:lang w:val="de-DE"/>
        </w:rPr>
      </w:pPr>
      <w:bookmarkStart w:id="23" w:name="Xfd0c67c42e22b408f8d7fe80925022d8f557447"/>
      <w:bookmarkStart w:id="24" w:name="_Toc234524386"/>
      <w:bookmarkEnd w:id="21"/>
      <w:r w:rsidRPr="009118F6">
        <w:rPr>
          <w:lang w:val="de-DE"/>
        </w:rPr>
        <w:t xml:space="preserve">2.7 Verbesserte </w:t>
      </w:r>
      <w:proofErr w:type="spellStart"/>
      <w:r w:rsidRPr="009118F6">
        <w:rPr>
          <w:lang w:val="de-DE"/>
        </w:rPr>
        <w:t>Kovarianzschätzung</w:t>
      </w:r>
      <w:proofErr w:type="spellEnd"/>
      <w:r w:rsidRPr="009118F6">
        <w:rPr>
          <w:lang w:val="de-DE"/>
        </w:rPr>
        <w:t xml:space="preserve">: </w:t>
      </w:r>
      <w:proofErr w:type="spellStart"/>
      <w:r w:rsidRPr="009118F6">
        <w:rPr>
          <w:lang w:val="de-DE"/>
        </w:rPr>
        <w:t>Ledoit</w:t>
      </w:r>
      <w:proofErr w:type="spellEnd"/>
      <w:r w:rsidRPr="009118F6">
        <w:rPr>
          <w:lang w:val="de-DE"/>
        </w:rPr>
        <w:t>-Wolf-</w:t>
      </w:r>
      <w:proofErr w:type="spellStart"/>
      <w:r w:rsidRPr="009118F6">
        <w:rPr>
          <w:lang w:val="de-DE"/>
        </w:rPr>
        <w:t>Shrinkage</w:t>
      </w:r>
      <w:bookmarkEnd w:id="24"/>
      <w:proofErr w:type="spellEnd"/>
    </w:p>
    <w:p w14:paraId="1593AFC5" w14:textId="77777777" w:rsidR="00FA1406" w:rsidRPr="009118F6" w:rsidRDefault="00000000">
      <w:pPr>
        <w:pStyle w:val="FirstParagraph"/>
        <w:rPr>
          <w:lang w:val="de-DE"/>
        </w:rPr>
      </w:pPr>
      <w:r w:rsidRPr="009118F6">
        <w:rPr>
          <w:lang w:val="de-DE"/>
        </w:rPr>
        <w:t xml:space="preserve">Da auch Fehler in der Kovarianzmatrix die Optimierung beeinträchtigen (Abschnitt 2.6), ist deren möglichst genaue und stabile Schätzung von Bedeutung. </w:t>
      </w:r>
      <w:proofErr w:type="spellStart"/>
      <w:r w:rsidRPr="009118F6">
        <w:rPr>
          <w:lang w:val="de-DE"/>
        </w:rPr>
        <w:t>Ledoit</w:t>
      </w:r>
      <w:proofErr w:type="spellEnd"/>
      <w:r w:rsidRPr="009118F6">
        <w:rPr>
          <w:lang w:val="de-DE"/>
        </w:rPr>
        <w:t xml:space="preserve"> und Wolf zeigen, dass die übliche </w:t>
      </w:r>
      <w:proofErr w:type="spellStart"/>
      <w:r w:rsidRPr="009118F6">
        <w:rPr>
          <w:lang w:val="de-DE"/>
        </w:rPr>
        <w:t>Stichprobenkovarianzmatrix</w:t>
      </w:r>
      <w:proofErr w:type="spellEnd"/>
      <w:r w:rsidRPr="009118F6">
        <w:rPr>
          <w:lang w:val="de-DE"/>
        </w:rPr>
        <w:t xml:space="preserve"> für hochdimensionale Probleme – </w:t>
      </w:r>
      <w:proofErr w:type="gramStart"/>
      <w:r w:rsidRPr="009118F6">
        <w:rPr>
          <w:lang w:val="de-DE"/>
        </w:rPr>
        <w:t>also</w:t>
      </w:r>
      <w:proofErr w:type="gramEnd"/>
      <w:r w:rsidRPr="009118F6">
        <w:rPr>
          <w:lang w:val="de-DE"/>
        </w:rPr>
        <w:t xml:space="preserve"> wenn die Zahl der Wertpapiere im Verhältnis zur Zahl der Beobachtungen groß ist – schlecht konditioniert ist und im Extremfall, bei mehr Wertpapieren als Beobachtungen, nicht einmal invertiert werden kann (</w:t>
      </w:r>
      <w:proofErr w:type="spellStart"/>
      <w:r w:rsidRPr="009118F6">
        <w:rPr>
          <w:lang w:val="de-DE"/>
        </w:rPr>
        <w:t>Ledoit</w:t>
      </w:r>
      <w:proofErr w:type="spellEnd"/>
      <w:r w:rsidRPr="009118F6">
        <w:rPr>
          <w:lang w:val="de-DE"/>
        </w:rPr>
        <w:t xml:space="preserve"> &amp; Wolf, 2004, S. 365). „Schlecht konditioniert” bedeutet dabei, dass die Invertierung der Matrix – die in die Portfoliooptimierung eingeht – Schätzfehler verstärkt (</w:t>
      </w:r>
      <w:proofErr w:type="spellStart"/>
      <w:r w:rsidRPr="009118F6">
        <w:rPr>
          <w:lang w:val="de-DE"/>
        </w:rPr>
        <w:t>Ledoit</w:t>
      </w:r>
      <w:proofErr w:type="spellEnd"/>
      <w:r w:rsidRPr="009118F6">
        <w:rPr>
          <w:lang w:val="de-DE"/>
        </w:rPr>
        <w:t xml:space="preserve"> &amp; Wolf, 2004, S. 365). Als Abhilfe schlagen sie einen Schätzer vor, der eine </w:t>
      </w:r>
      <w:r w:rsidRPr="009118F6">
        <w:rPr>
          <w:i/>
          <w:iCs/>
          <w:lang w:val="de-DE"/>
        </w:rPr>
        <w:t>konvexe Linearkombination</w:t>
      </w:r>
      <w:r w:rsidRPr="009118F6">
        <w:rPr>
          <w:lang w:val="de-DE"/>
        </w:rPr>
        <w:t xml:space="preserve"> (ein gewichtetes Mittel) aus der </w:t>
      </w:r>
      <w:proofErr w:type="spellStart"/>
      <w:r w:rsidRPr="009118F6">
        <w:rPr>
          <w:lang w:val="de-DE"/>
        </w:rPr>
        <w:t>Stichprobenkovarianzmatrix</w:t>
      </w:r>
      <w:proofErr w:type="spellEnd"/>
      <w:r w:rsidRPr="009118F6">
        <w:rPr>
          <w:lang w:val="de-DE"/>
        </w:rPr>
        <w:t xml:space="preserve"> und einer strukturierten Zielmatrix – einem Vielfachen der Einheitsmatrix – bildet; das Mischungsgewicht, die sogenannte </w:t>
      </w:r>
      <w:proofErr w:type="spellStart"/>
      <w:r w:rsidRPr="009118F6">
        <w:rPr>
          <w:lang w:val="de-DE"/>
        </w:rPr>
        <w:t>Shrinkage</w:t>
      </w:r>
      <w:proofErr w:type="spellEnd"/>
      <w:r w:rsidRPr="009118F6">
        <w:rPr>
          <w:lang w:val="de-DE"/>
        </w:rPr>
        <w:t>-Intensität, wird so gewählt, dass der erwartete quadratische Schätzfehler asymptotisch minimal wird (</w:t>
      </w:r>
      <w:proofErr w:type="spellStart"/>
      <w:r w:rsidRPr="009118F6">
        <w:rPr>
          <w:lang w:val="de-DE"/>
        </w:rPr>
        <w:t>Ledoit</w:t>
      </w:r>
      <w:proofErr w:type="spellEnd"/>
      <w:r w:rsidRPr="009118F6">
        <w:rPr>
          <w:lang w:val="de-DE"/>
        </w:rPr>
        <w:t xml:space="preserve"> &amp; Wolf, 2004, S. 365). Dieser </w:t>
      </w:r>
      <w:proofErr w:type="spellStart"/>
      <w:r w:rsidRPr="009118F6">
        <w:rPr>
          <w:lang w:val="de-DE"/>
        </w:rPr>
        <w:t>Shrinkage</w:t>
      </w:r>
      <w:proofErr w:type="spellEnd"/>
      <w:r w:rsidRPr="009118F6">
        <w:rPr>
          <w:lang w:val="de-DE"/>
        </w:rPr>
        <w:t>-Schätzer ist zugleich gut konditioniert und asymptotisch genauer als die reine Stichprobenkovarianz, verteilungsfrei und über eine einfache, geschlossene Formel berechenbar (</w:t>
      </w:r>
      <w:proofErr w:type="spellStart"/>
      <w:r w:rsidRPr="009118F6">
        <w:rPr>
          <w:lang w:val="de-DE"/>
        </w:rPr>
        <w:t>Ledoit</w:t>
      </w:r>
      <w:proofErr w:type="spellEnd"/>
      <w:r w:rsidRPr="009118F6">
        <w:rPr>
          <w:lang w:val="de-DE"/>
        </w:rPr>
        <w:t xml:space="preserve"> &amp; Wolf, 2004, S. 365). Die vorliegende Arbeit verwendet die </w:t>
      </w:r>
      <w:proofErr w:type="spellStart"/>
      <w:r w:rsidRPr="009118F6">
        <w:rPr>
          <w:lang w:val="de-DE"/>
        </w:rPr>
        <w:t>Ledoit</w:t>
      </w:r>
      <w:proofErr w:type="spellEnd"/>
      <w:r w:rsidRPr="009118F6">
        <w:rPr>
          <w:lang w:val="de-DE"/>
        </w:rPr>
        <w:t xml:space="preserve">-Wolf-Schätzung als </w:t>
      </w:r>
      <w:proofErr w:type="spellStart"/>
      <w:r w:rsidRPr="009118F6">
        <w:rPr>
          <w:lang w:val="de-DE"/>
        </w:rPr>
        <w:t>Kovarianzgrundlage</w:t>
      </w:r>
      <w:proofErr w:type="spellEnd"/>
      <w:r w:rsidRPr="009118F6">
        <w:rPr>
          <w:lang w:val="de-DE"/>
        </w:rPr>
        <w:t xml:space="preserve"> aller varianzbasierten Strategien.</w:t>
      </w:r>
    </w:p>
    <w:p w14:paraId="5DCAE31E" w14:textId="77777777" w:rsidR="00FA1406" w:rsidRPr="009118F6" w:rsidRDefault="00000000">
      <w:pPr>
        <w:pStyle w:val="berschrift2"/>
        <w:rPr>
          <w:lang w:val="de-DE"/>
        </w:rPr>
      </w:pPr>
      <w:bookmarkStart w:id="25" w:name="warum-beschränkungen-helfen"/>
      <w:bookmarkStart w:id="26" w:name="_Toc234524387"/>
      <w:bookmarkEnd w:id="23"/>
      <w:r w:rsidRPr="009118F6">
        <w:rPr>
          <w:lang w:val="de-DE"/>
        </w:rPr>
        <w:lastRenderedPageBreak/>
        <w:t>2.8 Warum Beschränkungen helfen</w:t>
      </w:r>
      <w:bookmarkEnd w:id="26"/>
    </w:p>
    <w:p w14:paraId="4B77EBD6" w14:textId="77777777" w:rsidR="00FA1406" w:rsidRPr="009118F6" w:rsidRDefault="00000000">
      <w:pPr>
        <w:pStyle w:val="FirstParagraph"/>
        <w:rPr>
          <w:lang w:val="de-DE"/>
        </w:rPr>
      </w:pPr>
      <w:r w:rsidRPr="009118F6">
        <w:rPr>
          <w:lang w:val="de-DE"/>
        </w:rPr>
        <w:t>Eine zweite, praktisch besonders wirksame Methode zur Stabilisierung der Optimierung sind Beschränkungen der Portfoliogewichte. Mean-</w:t>
      </w:r>
      <w:proofErr w:type="spellStart"/>
      <w:r w:rsidRPr="009118F6">
        <w:rPr>
          <w:lang w:val="de-DE"/>
        </w:rPr>
        <w:t>Variance</w:t>
      </w:r>
      <w:proofErr w:type="spellEnd"/>
      <w:r w:rsidRPr="009118F6">
        <w:rPr>
          <w:lang w:val="de-DE"/>
        </w:rPr>
        <w:t xml:space="preserve">-effiziente Portfolios auf Basis von Stichprobenmomenten weisen häufig extreme Long- und Short-Positionen auf, weshalb Praktiker Gewichtsbeschränkungen einführen (Jagannathan &amp; Ma, 2003, S. 1651). Auf den ersten Blick müsste eine „falsche” Beschränkung die Lösung verschlechtern; empirisch ist jedoch oft das Gegenteil zu beobachten. Jagannathan und Ma lösen diesen scheinbaren Widerspruch auf: Sie zeigen, dass das Verbot von Leerverkäufen (Nichtnegativitätsbeschränkung) äquivalent dazu ist, die großen Elemente der </w:t>
      </w:r>
      <w:proofErr w:type="spellStart"/>
      <w:r w:rsidRPr="009118F6">
        <w:rPr>
          <w:lang w:val="de-DE"/>
        </w:rPr>
        <w:t>Stichprobenkovarianzmatrix</w:t>
      </w:r>
      <w:proofErr w:type="spellEnd"/>
      <w:r w:rsidRPr="009118F6">
        <w:rPr>
          <w:lang w:val="de-DE"/>
        </w:rPr>
        <w:t xml:space="preserve"> zu verkleinern und anschließend ohne Beschränkung zu optimieren – die Beschränkung wirkt also wie eine </w:t>
      </w:r>
      <w:proofErr w:type="spellStart"/>
      <w:r w:rsidRPr="009118F6">
        <w:rPr>
          <w:lang w:val="de-DE"/>
        </w:rPr>
        <w:t>Shrinkage</w:t>
      </w:r>
      <w:proofErr w:type="spellEnd"/>
      <w:r w:rsidRPr="009118F6">
        <w:rPr>
          <w:lang w:val="de-DE"/>
        </w:rPr>
        <w:t xml:space="preserve"> der Kovarianzmatrix und senkt das Schätzrisiko (Jagannathan &amp; Ma, 2003, S. 1657). Bemerkenswerterweise schneiden mit Nichtnegativitätsbeschränkung gebildete Minimum-Varianz-Portfolios auf Basis der einfachen monatlichen Stichprobenkovarianz so gut ab wie solche, die aufwändigere Schätzverfahren – Faktormodelle, </w:t>
      </w:r>
      <w:proofErr w:type="spellStart"/>
      <w:r w:rsidRPr="009118F6">
        <w:rPr>
          <w:lang w:val="de-DE"/>
        </w:rPr>
        <w:t>Shrinkage</w:t>
      </w:r>
      <w:proofErr w:type="spellEnd"/>
      <w:r w:rsidRPr="009118F6">
        <w:rPr>
          <w:lang w:val="de-DE"/>
        </w:rPr>
        <w:t>-Schätzer oder Tagesdaten – verwenden (Jagannathan &amp; Ma, 2003, S. 1651). Dies begründet unmittelbar zwei Designentscheidungen der vorliegenden Arbeit: das Verbot von Leerverkäufen (Long-</w:t>
      </w:r>
      <w:proofErr w:type="spellStart"/>
      <w:r w:rsidRPr="009118F6">
        <w:rPr>
          <w:lang w:val="de-DE"/>
        </w:rPr>
        <w:t>only</w:t>
      </w:r>
      <w:proofErr w:type="spellEnd"/>
      <w:r w:rsidRPr="009118F6">
        <w:rPr>
          <w:lang w:val="de-DE"/>
        </w:rPr>
        <w:t>) sowie die Positionsobergrenze von 20 % je Titel.</w:t>
      </w:r>
    </w:p>
    <w:p w14:paraId="529F46D6" w14:textId="77777777" w:rsidR="00FA1406" w:rsidRPr="009118F6" w:rsidRDefault="00000000">
      <w:pPr>
        <w:pStyle w:val="berschrift2"/>
        <w:rPr>
          <w:lang w:val="de-DE"/>
        </w:rPr>
      </w:pPr>
      <w:bookmarkStart w:id="27" w:name="die-naive-1n-strategie-als-maßstab"/>
      <w:bookmarkStart w:id="28" w:name="_Toc234524388"/>
      <w:bookmarkEnd w:id="25"/>
      <w:r w:rsidRPr="009118F6">
        <w:rPr>
          <w:lang w:val="de-DE"/>
        </w:rPr>
        <w:t>2.9 Die naive 1/N-Strategie als Maßstab</w:t>
      </w:r>
      <w:bookmarkEnd w:id="28"/>
    </w:p>
    <w:p w14:paraId="436D4E44" w14:textId="77777777" w:rsidR="00FA1406" w:rsidRPr="009118F6" w:rsidRDefault="00000000">
      <w:pPr>
        <w:pStyle w:val="FirstParagraph"/>
        <w:rPr>
          <w:lang w:val="de-DE"/>
        </w:rPr>
      </w:pPr>
      <w:r w:rsidRPr="009118F6">
        <w:rPr>
          <w:lang w:val="de-DE"/>
        </w:rPr>
        <w:t xml:space="preserve">Die geschilderten Schätzprobleme werfen die grundsätzliche Frage auf, ob sich der Aufwand der Optimierung gegenüber der denkbar einfachsten Regel überhaupt lohnt: der naiven 1/N-Strategie, die jedem der </w:t>
      </w:r>
      <m:oMath>
        <m:r>
          <w:rPr>
            <w:rFonts w:ascii="Cambria Math" w:hAnsi="Cambria Math"/>
          </w:rPr>
          <m:t>N</m:t>
        </m:r>
      </m:oMath>
      <w:r w:rsidRPr="009118F6">
        <w:rPr>
          <w:lang w:val="de-DE"/>
        </w:rPr>
        <w:t xml:space="preserve"> Wertpapiere denselben Anteil zuweist. Diese Idee ist alt – bereits der Talmud empfiehlt, das Vermögen zu dritteln (DeMiguel et al., 2009, S. 1915). Schon in der Einleitung halten DeMiguel, Garlappi und Uppal fest, dass mit klassischen ökonometrischen Punktschätzern gebildete Portfolios extreme, über die Zeit stark schwankende Gewichte aufweisen, und ordnen die Gegenmittel ein – Bayes-</w:t>
      </w:r>
      <w:proofErr w:type="spellStart"/>
      <w:r w:rsidRPr="009118F6">
        <w:rPr>
          <w:lang w:val="de-DE"/>
        </w:rPr>
        <w:t>Shrinkage</w:t>
      </w:r>
      <w:proofErr w:type="spellEnd"/>
      <w:r w:rsidRPr="009118F6">
        <w:rPr>
          <w:lang w:val="de-DE"/>
        </w:rPr>
        <w:t>, Black-</w:t>
      </w:r>
      <w:proofErr w:type="spellStart"/>
      <w:r w:rsidRPr="009118F6">
        <w:rPr>
          <w:lang w:val="de-DE"/>
        </w:rPr>
        <w:t>Litterman</w:t>
      </w:r>
      <w:proofErr w:type="spellEnd"/>
      <w:r w:rsidRPr="009118F6">
        <w:rPr>
          <w:lang w:val="de-DE"/>
        </w:rPr>
        <w:t xml:space="preserve"> (Black &amp; </w:t>
      </w:r>
      <w:proofErr w:type="spellStart"/>
      <w:r w:rsidRPr="009118F6">
        <w:rPr>
          <w:lang w:val="de-DE"/>
        </w:rPr>
        <w:t>Litterman</w:t>
      </w:r>
      <w:proofErr w:type="spellEnd"/>
      <w:r w:rsidRPr="009118F6">
        <w:rPr>
          <w:lang w:val="de-DE"/>
        </w:rPr>
        <w:t xml:space="preserve">, 1992, S. 28) sowie Gewichtsbeschränkungen, die nach Jagannathan und Ma als </w:t>
      </w:r>
      <w:proofErr w:type="spellStart"/>
      <w:r w:rsidRPr="009118F6">
        <w:rPr>
          <w:lang w:val="de-DE"/>
        </w:rPr>
        <w:t>Shrinkage</w:t>
      </w:r>
      <w:proofErr w:type="spellEnd"/>
      <w:r w:rsidRPr="009118F6">
        <w:rPr>
          <w:lang w:val="de-DE"/>
        </w:rPr>
        <w:t xml:space="preserve"> der extremen </w:t>
      </w:r>
      <w:proofErr w:type="spellStart"/>
      <w:r w:rsidRPr="009118F6">
        <w:rPr>
          <w:lang w:val="de-DE"/>
        </w:rPr>
        <w:t>Kovarianzelemente</w:t>
      </w:r>
      <w:proofErr w:type="spellEnd"/>
      <w:r w:rsidRPr="009118F6">
        <w:rPr>
          <w:lang w:val="de-DE"/>
        </w:rPr>
        <w:t xml:space="preserve"> zu deuten sind (DeMiguel et al., 2009, S. 1916). Ihr zentrales Ergebnis </w:t>
      </w:r>
      <w:r w:rsidRPr="009118F6">
        <w:rPr>
          <w:lang w:val="de-DE"/>
        </w:rPr>
        <w:lastRenderedPageBreak/>
        <w:t xml:space="preserve">lautet, dass keines der vierzehn untersuchten Optimierungsmodelle die 1/N-Regel über sieben Datensätze hinweg konsistent schlägt – weder bei der Sharpe Ratio noch beim Sicherheitsäquivalent (CEQ) oder beim Umschlag (Turnover) (DeMiguel et al., 2009, S. 1915). Der Grund liegt im bereits bekannten Schätzfehler: Zwar erreichen die Optimierungsmodelle </w:t>
      </w:r>
      <w:r w:rsidRPr="009118F6">
        <w:rPr>
          <w:i/>
          <w:iCs/>
          <w:lang w:val="de-DE"/>
        </w:rPr>
        <w:t>in-sample</w:t>
      </w:r>
      <w:r w:rsidRPr="009118F6">
        <w:rPr>
          <w:lang w:val="de-DE"/>
        </w:rPr>
        <w:t xml:space="preserve"> eine höhere Sharpe Ratio, doch </w:t>
      </w:r>
      <w:r w:rsidRPr="009118F6">
        <w:rPr>
          <w:i/>
          <w:iCs/>
          <w:lang w:val="de-DE"/>
        </w:rPr>
        <w:t>out-</w:t>
      </w:r>
      <w:proofErr w:type="spellStart"/>
      <w:r w:rsidRPr="009118F6">
        <w:rPr>
          <w:i/>
          <w:iCs/>
          <w:lang w:val="de-DE"/>
        </w:rPr>
        <w:t>of</w:t>
      </w:r>
      <w:proofErr w:type="spellEnd"/>
      <w:r w:rsidRPr="009118F6">
        <w:rPr>
          <w:i/>
          <w:iCs/>
          <w:lang w:val="de-DE"/>
        </w:rPr>
        <w:t>-sample</w:t>
      </w:r>
      <w:r w:rsidRPr="009118F6">
        <w:rPr>
          <w:lang w:val="de-DE"/>
        </w:rPr>
        <w:t xml:space="preserve"> frisst der erhebliche Schätzfehler den Vorteil der „optimalen” gegenüber der naiven Diversifikation auf (DeMiguel et al., 2009, S. 1915). Wie schwerwiegend das Schätzproblem ist, verdeutlichen ihre analytischen und simulationsgestützten Ergebnisse: Damit die stichprobenbasierte Mean-</w:t>
      </w:r>
      <w:proofErr w:type="spellStart"/>
      <w:r w:rsidRPr="009118F6">
        <w:rPr>
          <w:lang w:val="de-DE"/>
        </w:rPr>
        <w:t>Variance</w:t>
      </w:r>
      <w:proofErr w:type="spellEnd"/>
      <w:r w:rsidRPr="009118F6">
        <w:rPr>
          <w:lang w:val="de-DE"/>
        </w:rPr>
        <w:t>-Strategie die 1/N-Regel im Mittel übertrifft, ist – kalibriert auf den US-Aktienmarkt – bei 25 Anlagen ein Schätzfenster von rund 3000 Monaten (etwa 250 Jahren) und bei 50 Anlagen von rund 6000 Monaten (etwa 500 Jahren) erforderlich (DeMiguel et al., 2009, S. 1915). In ihren Simulationen erreicht die stichprobenbasierte Optimierung bei 25 und 50 Anlagen selbst mit einem Schätzfenster von 6000 Monaten (500 Jahren) nicht einmal die Sharpe Ratio der 1/N-Regel (DeMiguel et al., 2009, S. 1942). Die 1/N-Strategie ist somit kein bloßer Strohmann, sondern ein anspruchsvoller Maßstab – und genau in dieser Funktion dient sie auch in der vorliegenden Arbeit als Benchmark (</w:t>
      </w:r>
      <w:proofErr w:type="spellStart"/>
      <w:r w:rsidRPr="009118F6">
        <w:rPr>
          <w:lang w:val="de-DE"/>
        </w:rPr>
        <w:t>Equal</w:t>
      </w:r>
      <w:proofErr w:type="spellEnd"/>
      <w:r w:rsidRPr="009118F6">
        <w:rPr>
          <w:lang w:val="de-DE"/>
        </w:rPr>
        <w:t xml:space="preserve"> Weight).</w:t>
      </w:r>
    </w:p>
    <w:p w14:paraId="53606E54" w14:textId="77777777" w:rsidR="00FA1406" w:rsidRPr="009118F6" w:rsidRDefault="00000000">
      <w:pPr>
        <w:pStyle w:val="berschrift2"/>
        <w:rPr>
          <w:lang w:val="de-DE"/>
        </w:rPr>
      </w:pPr>
      <w:bookmarkStart w:id="29" w:name="Xd2851ae61e417e64abc3e853315fa3af0eef789"/>
      <w:bookmarkStart w:id="30" w:name="_Toc234524389"/>
      <w:bookmarkEnd w:id="27"/>
      <w:r w:rsidRPr="009118F6">
        <w:rPr>
          <w:lang w:val="de-DE"/>
        </w:rPr>
        <w:t>2.10 Risk Parity als risikobasierte Alternative</w:t>
      </w:r>
      <w:bookmarkEnd w:id="30"/>
    </w:p>
    <w:p w14:paraId="35756E5F" w14:textId="77777777" w:rsidR="00FA1406" w:rsidRPr="009118F6" w:rsidRDefault="00000000">
      <w:pPr>
        <w:pStyle w:val="FirstParagraph"/>
        <w:rPr>
          <w:lang w:val="de-DE"/>
        </w:rPr>
      </w:pPr>
      <w:r w:rsidRPr="009118F6">
        <w:rPr>
          <w:lang w:val="de-DE"/>
        </w:rPr>
        <w:t xml:space="preserve">Eine dritte Vergleichsstrategie verzichtet – wie die 1/N-Regel – auf die fehleranfällige Schätzung erwarteter Renditen, verteilt aber nicht das Kapital, sondern das </w:t>
      </w:r>
      <w:r w:rsidRPr="009118F6">
        <w:rPr>
          <w:i/>
          <w:iCs/>
          <w:lang w:val="de-DE"/>
        </w:rPr>
        <w:t>Risiko</w:t>
      </w:r>
      <w:r w:rsidRPr="009118F6">
        <w:rPr>
          <w:lang w:val="de-DE"/>
        </w:rPr>
        <w:t xml:space="preserve"> gleichmäßig. Diese als </w:t>
      </w:r>
      <w:r w:rsidRPr="009118F6">
        <w:rPr>
          <w:i/>
          <w:iCs/>
          <w:lang w:val="de-DE"/>
        </w:rPr>
        <w:t>Risk Parity</w:t>
      </w:r>
      <w:r w:rsidRPr="009118F6">
        <w:rPr>
          <w:lang w:val="de-DE"/>
        </w:rPr>
        <w:t xml:space="preserve"> bzw. </w:t>
      </w:r>
      <w:proofErr w:type="spellStart"/>
      <w:r w:rsidRPr="009118F6">
        <w:rPr>
          <w:i/>
          <w:iCs/>
          <w:lang w:val="de-DE"/>
        </w:rPr>
        <w:t>Equal</w:t>
      </w:r>
      <w:proofErr w:type="spellEnd"/>
      <w:r w:rsidRPr="009118F6">
        <w:rPr>
          <w:i/>
          <w:iCs/>
          <w:lang w:val="de-DE"/>
        </w:rPr>
        <w:t xml:space="preserve"> Risk </w:t>
      </w:r>
      <w:proofErr w:type="spellStart"/>
      <w:r w:rsidRPr="009118F6">
        <w:rPr>
          <w:i/>
          <w:iCs/>
          <w:lang w:val="de-DE"/>
        </w:rPr>
        <w:t>Contribution</w:t>
      </w:r>
      <w:proofErr w:type="spellEnd"/>
      <w:r w:rsidRPr="009118F6">
        <w:rPr>
          <w:lang w:val="de-DE"/>
        </w:rPr>
        <w:t xml:space="preserve"> (ERC) bezeichnete Idee geht auf Qian zurück, der ein Portfolio anstrebt, das das Marktrisiko gleichmäßig auf die Anlagen verteilt und so eine „echte” Diversifikation erreicht (Qian, 2005, S. 1); formal ausgearbeitet wurde sie von Maillard, Roncalli und </w:t>
      </w:r>
      <w:proofErr w:type="spellStart"/>
      <w:r w:rsidRPr="009118F6">
        <w:rPr>
          <w:lang w:val="de-DE"/>
        </w:rPr>
        <w:t>Teïletche</w:t>
      </w:r>
      <w:proofErr w:type="spellEnd"/>
      <w:r w:rsidRPr="009118F6">
        <w:rPr>
          <w:lang w:val="de-DE"/>
        </w:rPr>
        <w:t xml:space="preserve"> (Maillard et al., 2009, S. 4).</w:t>
      </w:r>
    </w:p>
    <w:p w14:paraId="751814E4" w14:textId="77777777" w:rsidR="00FA1406" w:rsidRPr="009118F6" w:rsidRDefault="00000000">
      <w:pPr>
        <w:pStyle w:val="Textkrper"/>
        <w:rPr>
          <w:lang w:val="de-DE"/>
        </w:rPr>
      </w:pPr>
      <w:r w:rsidRPr="009118F6">
        <w:rPr>
          <w:lang w:val="de-DE"/>
        </w:rPr>
        <w:t xml:space="preserve">Ausgangspunkt ist die Zerlegung des Portfoliorisikos in die Beiträge der einzelnen Anlagen. Mit dem Portfoliorisiko </w:t>
      </w:r>
      <m:oMath>
        <m:r>
          <w:rPr>
            <w:rFonts w:ascii="Cambria Math" w:hAnsi="Cambria Math"/>
          </w:rPr>
          <m:t>σ</m:t>
        </m:r>
        <m:r>
          <m:rPr>
            <m:sty m:val="p"/>
          </m:rPr>
          <w:rPr>
            <w:rFonts w:ascii="Cambria Math" w:hAnsi="Cambria Math"/>
            <w:lang w:val="de-DE"/>
          </w:rPr>
          <m:t>(</m:t>
        </m:r>
        <m:r>
          <w:rPr>
            <w:rFonts w:ascii="Cambria Math" w:hAnsi="Cambria Math"/>
          </w:rPr>
          <m:t>x</m:t>
        </m:r>
        <m:r>
          <m:rPr>
            <m:sty m:val="p"/>
          </m:rPr>
          <w:rPr>
            <w:rFonts w:ascii="Cambria Math" w:hAnsi="Cambria Math"/>
            <w:lang w:val="de-DE"/>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m:rPr>
                    <m:sty m:val="p"/>
                  </m:rPr>
                  <w:rPr>
                    <w:rFonts w:ascii="Cambria Math" w:hAnsi="Cambria Math"/>
                    <w:lang w:val="de-DE"/>
                  </w:rPr>
                  <m:t>⊤</m:t>
                </m:r>
              </m:sup>
            </m:sSup>
            <m:r>
              <m:rPr>
                <m:sty m:val="p"/>
              </m:rPr>
              <w:rPr>
                <w:rFonts w:ascii="Cambria Math" w:hAnsi="Cambria Math"/>
              </w:rPr>
              <m:t>Σ</m:t>
            </m:r>
            <m:r>
              <w:rPr>
                <w:rFonts w:ascii="Cambria Math" w:hAnsi="Cambria Math"/>
              </w:rPr>
              <m:t>x</m:t>
            </m:r>
          </m:e>
        </m:rad>
      </m:oMath>
      <w:r w:rsidRPr="009118F6">
        <w:rPr>
          <w:lang w:val="de-DE"/>
        </w:rPr>
        <w:t xml:space="preserve"> ist der </w:t>
      </w:r>
      <w:r w:rsidRPr="009118F6">
        <w:rPr>
          <w:i/>
          <w:iCs/>
          <w:lang w:val="de-DE"/>
        </w:rPr>
        <w:t>marginale</w:t>
      </w:r>
      <w:r w:rsidRPr="009118F6">
        <w:rPr>
          <w:lang w:val="de-DE"/>
        </w:rPr>
        <w:t xml:space="preserve"> Risikobeitrag einer Anlage </w:t>
      </w:r>
      <m:oMath>
        <m:r>
          <w:rPr>
            <w:rFonts w:ascii="Cambria Math" w:hAnsi="Cambria Math"/>
          </w:rPr>
          <m:t>i</m:t>
        </m:r>
      </m:oMath>
      <w:r w:rsidRPr="009118F6">
        <w:rPr>
          <w:lang w:val="de-DE"/>
        </w:rPr>
        <w:t xml:space="preserve"> die partielle Ableitung</w:t>
      </w:r>
    </w:p>
    <w:p w14:paraId="37E65BA0" w14:textId="77777777" w:rsidR="00FA1406" w:rsidRDefault="00000000">
      <w:pPr>
        <w:pStyle w:val="Textkrper"/>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x</m:t>
                  </m:r>
                </m:e>
                <m:sub>
                  <m:r>
                    <w:rPr>
                      <w:rFonts w:ascii="Cambria Math" w:hAnsi="Cambria Math"/>
                    </w:rPr>
                    <m:t>i</m:t>
                  </m:r>
                </m:sub>
              </m:sSub>
            </m:sub>
          </m:sSub>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ij</m:t>
                  </m:r>
                </m:sub>
              </m:sSub>
            </m:num>
            <m:den>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den>
          </m:f>
          <m:r>
            <m:rPr>
              <m:sty m:val="p"/>
            </m:rPr>
            <w:rPr>
              <w:rFonts w:ascii="Cambria Math" w:hAnsi="Cambria Math"/>
            </w:rPr>
            <m:t>,</m:t>
          </m:r>
        </m:oMath>
      </m:oMathPara>
    </w:p>
    <w:p w14:paraId="1B55D913" w14:textId="77777777" w:rsidR="00FA1406" w:rsidRPr="009118F6" w:rsidRDefault="00000000">
      <w:pPr>
        <w:pStyle w:val="FirstParagraph"/>
        <w:rPr>
          <w:lang w:val="de-DE"/>
        </w:rPr>
      </w:pPr>
      <w:r w:rsidRPr="009118F6">
        <w:rPr>
          <w:lang w:val="de-DE"/>
        </w:rPr>
        <w:lastRenderedPageBreak/>
        <w:t xml:space="preserve">also die Änderung des Gesamtrisikos bei einer kleinen Erhöhung des Gewichts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118F6">
        <w:rPr>
          <w:lang w:val="de-DE"/>
        </w:rPr>
        <w:t xml:space="preserve"> (Maillard et al., 2009, S. 4). Der </w:t>
      </w:r>
      <w:r w:rsidRPr="009118F6">
        <w:rPr>
          <w:i/>
          <w:iCs/>
          <w:lang w:val="de-DE"/>
        </w:rPr>
        <w:t>(totale) Risikobeitrag</w:t>
      </w:r>
      <w:r w:rsidRPr="009118F6">
        <w:rPr>
          <w:lang w:val="de-DE"/>
        </w:rPr>
        <w:t xml:space="preserve"> der Anlage </w:t>
      </w:r>
      <m:oMath>
        <m:r>
          <w:rPr>
            <w:rFonts w:ascii="Cambria Math" w:hAnsi="Cambria Math"/>
          </w:rPr>
          <m:t>i</m:t>
        </m:r>
      </m:oMath>
      <w:r w:rsidRPr="009118F6">
        <w:rPr>
          <w:lang w:val="de-DE"/>
        </w:rPr>
        <w:t xml:space="preserve"> ist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lang w:val="de-DE"/>
          </w:rPr>
          <m:t>(</m:t>
        </m:r>
        <m:r>
          <w:rPr>
            <w:rFonts w:ascii="Cambria Math" w:hAnsi="Cambria Math"/>
          </w:rPr>
          <m:t>x</m:t>
        </m:r>
        <m:r>
          <m:rPr>
            <m:sty m:val="p"/>
          </m:rPr>
          <w:rPr>
            <w:rFonts w:ascii="Cambria Math" w:hAnsi="Cambria Math"/>
            <w:lang w:val="de-DE"/>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de-DE"/>
          </w:rPr>
          <m:t> </m:t>
        </m:r>
        <m:sSub>
          <m:sSubPr>
            <m:ctrlPr>
              <w:rPr>
                <w:rFonts w:ascii="Cambria Math" w:hAnsi="Cambria Math"/>
              </w:rPr>
            </m:ctrlPr>
          </m:sSubPr>
          <m:e>
            <m:r>
              <m:rPr>
                <m:sty m:val="p"/>
              </m:rPr>
              <w:rPr>
                <w:rFonts w:ascii="Cambria Math" w:hAnsi="Cambria Math"/>
                <w:lang w:val="de-DE"/>
              </w:rPr>
              <m:t>∂</m:t>
            </m:r>
          </m:e>
          <m:sub>
            <m:sSub>
              <m:sSubPr>
                <m:ctrlPr>
                  <w:rPr>
                    <w:rFonts w:ascii="Cambria Math" w:hAnsi="Cambria Math"/>
                  </w:rPr>
                </m:ctrlPr>
              </m:sSubPr>
              <m:e>
                <m:r>
                  <w:rPr>
                    <w:rFonts w:ascii="Cambria Math" w:hAnsi="Cambria Math"/>
                  </w:rPr>
                  <m:t>x</m:t>
                </m:r>
              </m:e>
              <m:sub>
                <m:r>
                  <w:rPr>
                    <w:rFonts w:ascii="Cambria Math" w:hAnsi="Cambria Math"/>
                  </w:rPr>
                  <m:t>i</m:t>
                </m:r>
              </m:sub>
            </m:sSub>
          </m:sub>
        </m:sSub>
        <m:r>
          <w:rPr>
            <w:rFonts w:ascii="Cambria Math" w:hAnsi="Cambria Math"/>
          </w:rPr>
          <m:t>σ</m:t>
        </m:r>
        <m:r>
          <m:rPr>
            <m:sty m:val="p"/>
          </m:rPr>
          <w:rPr>
            <w:rFonts w:ascii="Cambria Math" w:hAnsi="Cambria Math"/>
            <w:lang w:val="de-DE"/>
          </w:rPr>
          <m:t>(</m:t>
        </m:r>
        <m:r>
          <w:rPr>
            <w:rFonts w:ascii="Cambria Math" w:hAnsi="Cambria Math"/>
          </w:rPr>
          <m:t>x</m:t>
        </m:r>
        <m:r>
          <m:rPr>
            <m:sty m:val="p"/>
          </m:rPr>
          <w:rPr>
            <w:rFonts w:ascii="Cambria Math" w:hAnsi="Cambria Math"/>
            <w:lang w:val="de-DE"/>
          </w:rPr>
          <m:t>)</m:t>
        </m:r>
      </m:oMath>
      <w:r w:rsidRPr="009118F6">
        <w:rPr>
          <w:lang w:val="de-DE"/>
        </w:rPr>
        <w:t>, und das Gesamtrisiko zerfällt – wegen der Homogenität des Risikomaßes (Satz von Euler) – vollständig in diese Beiträge (Maillard et al., 2009, S. 4):</w:t>
      </w:r>
    </w:p>
    <w:p w14:paraId="47758079" w14:textId="77777777" w:rsidR="00FA1406" w:rsidRDefault="00000000">
      <w:pPr>
        <w:pStyle w:val="Textkrper"/>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σ</m:t>
                  </m:r>
                </m:e>
                <m:sub>
                  <m:r>
                    <w:rPr>
                      <w:rFonts w:ascii="Cambria Math" w:hAnsi="Cambria Math"/>
                    </w:rPr>
                    <m:t>i</m:t>
                  </m:r>
                </m:sub>
              </m:sSub>
            </m:e>
          </m:nary>
          <m:r>
            <m:rPr>
              <m:sty m:val="p"/>
            </m:rPr>
            <w:rPr>
              <w:rFonts w:ascii="Cambria Math" w:hAnsi="Cambria Math"/>
            </w:rPr>
            <m:t>(</m:t>
          </m:r>
          <m:r>
            <w:rPr>
              <w:rFonts w:ascii="Cambria Math" w:hAnsi="Cambria Math"/>
            </w:rPr>
            <m:t>x</m:t>
          </m:r>
          <m:r>
            <m:rPr>
              <m:sty m:val="p"/>
            </m:rPr>
            <w:rPr>
              <w:rFonts w:ascii="Cambria Math" w:hAnsi="Cambria Math"/>
            </w:rPr>
            <m:t>).</m:t>
          </m:r>
        </m:oMath>
      </m:oMathPara>
    </w:p>
    <w:p w14:paraId="01CE823E" w14:textId="77777777" w:rsidR="00FA1406" w:rsidRPr="009118F6" w:rsidRDefault="00000000">
      <w:pPr>
        <w:pStyle w:val="FirstParagraph"/>
        <w:rPr>
          <w:lang w:val="de-DE"/>
        </w:rPr>
      </w:pPr>
      <w:r w:rsidRPr="009118F6">
        <w:rPr>
          <w:lang w:val="de-DE"/>
        </w:rPr>
        <w:t>Das Risk-Parity- bzw. ERC-Portfolio ist dadurch definiert, dass alle Risikobeiträge gleich groß sind:</w:t>
      </w:r>
    </w:p>
    <w:p w14:paraId="6A6747A8" w14:textId="77777777" w:rsidR="00FA1406" w:rsidRPr="009118F6" w:rsidRDefault="00000000">
      <w:pPr>
        <w:pStyle w:val="Textkrper"/>
        <w:rPr>
          <w:lang w:val="de-DE"/>
        </w:rP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de-DE"/>
            </w:rPr>
            <m:t> </m:t>
          </m:r>
          <m:sSub>
            <m:sSubPr>
              <m:ctrlPr>
                <w:rPr>
                  <w:rFonts w:ascii="Cambria Math" w:hAnsi="Cambria Math"/>
                </w:rPr>
              </m:ctrlPr>
            </m:sSubPr>
            <m:e>
              <m:r>
                <m:rPr>
                  <m:sty m:val="p"/>
                </m:rPr>
                <w:rPr>
                  <w:rFonts w:ascii="Cambria Math" w:hAnsi="Cambria Math"/>
                  <w:lang w:val="de-DE"/>
                </w:rPr>
                <m:t>∂</m:t>
              </m:r>
            </m:e>
            <m:sub>
              <m:sSub>
                <m:sSubPr>
                  <m:ctrlPr>
                    <w:rPr>
                      <w:rFonts w:ascii="Cambria Math" w:hAnsi="Cambria Math"/>
                    </w:rPr>
                  </m:ctrlPr>
                </m:sSubPr>
                <m:e>
                  <m:r>
                    <w:rPr>
                      <w:rFonts w:ascii="Cambria Math" w:hAnsi="Cambria Math"/>
                    </w:rPr>
                    <m:t>x</m:t>
                  </m:r>
                </m:e>
                <m:sub>
                  <m:r>
                    <w:rPr>
                      <w:rFonts w:ascii="Cambria Math" w:hAnsi="Cambria Math"/>
                    </w:rPr>
                    <m:t>i</m:t>
                  </m:r>
                </m:sub>
              </m:sSub>
            </m:sub>
          </m:sSub>
          <m:r>
            <w:rPr>
              <w:rFonts w:ascii="Cambria Math" w:hAnsi="Cambria Math"/>
            </w:rPr>
            <m:t>σ</m:t>
          </m:r>
          <m:r>
            <m:rPr>
              <m:sty m:val="p"/>
            </m:rPr>
            <w:rPr>
              <w:rFonts w:ascii="Cambria Math" w:hAnsi="Cambria Math"/>
              <w:lang w:val="de-DE"/>
            </w:rPr>
            <m:t>(</m:t>
          </m:r>
          <m:r>
            <w:rPr>
              <w:rFonts w:ascii="Cambria Math" w:hAnsi="Cambria Math"/>
            </w:rPr>
            <m:t>x</m:t>
          </m:r>
          <m:r>
            <m:rPr>
              <m:sty m:val="p"/>
            </m:rPr>
            <w:rPr>
              <w:rFonts w:ascii="Cambria Math" w:hAnsi="Cambria Math"/>
              <w:lang w:val="de-DE"/>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lang w:val="de-DE"/>
            </w:rPr>
            <m:t> </m:t>
          </m:r>
          <m:sSub>
            <m:sSubPr>
              <m:ctrlPr>
                <w:rPr>
                  <w:rFonts w:ascii="Cambria Math" w:hAnsi="Cambria Math"/>
                </w:rPr>
              </m:ctrlPr>
            </m:sSubPr>
            <m:e>
              <m:r>
                <m:rPr>
                  <m:sty m:val="p"/>
                </m:rPr>
                <w:rPr>
                  <w:rFonts w:ascii="Cambria Math" w:hAnsi="Cambria Math"/>
                  <w:lang w:val="de-DE"/>
                </w:rPr>
                <m:t>∂</m:t>
              </m:r>
            </m:e>
            <m:sub>
              <m:sSub>
                <m:sSubPr>
                  <m:ctrlPr>
                    <w:rPr>
                      <w:rFonts w:ascii="Cambria Math" w:hAnsi="Cambria Math"/>
                    </w:rPr>
                  </m:ctrlPr>
                </m:sSubPr>
                <m:e>
                  <m:r>
                    <w:rPr>
                      <w:rFonts w:ascii="Cambria Math" w:hAnsi="Cambria Math"/>
                    </w:rPr>
                    <m:t>x</m:t>
                  </m:r>
                </m:e>
                <m:sub>
                  <m:r>
                    <w:rPr>
                      <w:rFonts w:ascii="Cambria Math" w:hAnsi="Cambria Math"/>
                    </w:rPr>
                    <m:t>j</m:t>
                  </m:r>
                </m:sub>
              </m:sSub>
            </m:sub>
          </m:sSub>
          <m:r>
            <w:rPr>
              <w:rFonts w:ascii="Cambria Math" w:hAnsi="Cambria Math"/>
            </w:rPr>
            <m:t>σ</m:t>
          </m:r>
          <m:r>
            <m:rPr>
              <m:sty m:val="p"/>
            </m:rPr>
            <w:rPr>
              <w:rFonts w:ascii="Cambria Math" w:hAnsi="Cambria Math"/>
              <w:lang w:val="de-DE"/>
            </w:rPr>
            <m:t>(</m:t>
          </m:r>
          <m:r>
            <w:rPr>
              <w:rFonts w:ascii="Cambria Math" w:hAnsi="Cambria Math"/>
            </w:rPr>
            <m:t>x</m:t>
          </m:r>
          <m:r>
            <m:rPr>
              <m:sty m:val="p"/>
            </m:rPr>
            <w:rPr>
              <w:rFonts w:ascii="Cambria Math" w:hAnsi="Cambria Math"/>
              <w:lang w:val="de-DE"/>
            </w:rPr>
            <m:t>)</m:t>
          </m:r>
          <m:r>
            <w:rPr>
              <w:rFonts w:ascii="Cambria Math" w:hAnsi="Cambria Math"/>
              <w:lang w:val="de-DE"/>
            </w:rPr>
            <m:t> </m:t>
          </m:r>
          <m:r>
            <m:rPr>
              <m:nor/>
            </m:rPr>
            <w:rPr>
              <w:lang w:val="de-DE"/>
            </w:rPr>
            <m:t xml:space="preserve">für alle </m:t>
          </m:r>
          <m:r>
            <w:rPr>
              <w:rFonts w:ascii="Cambria Math" w:hAnsi="Cambria Math"/>
            </w:rPr>
            <m:t>i</m:t>
          </m:r>
          <m:r>
            <m:rPr>
              <m:sty m:val="p"/>
            </m:rPr>
            <w:rPr>
              <w:rFonts w:ascii="Cambria Math" w:hAnsi="Cambria Math"/>
              <w:lang w:val="de-DE"/>
            </w:rPr>
            <m:t>,</m:t>
          </m:r>
          <m:r>
            <w:rPr>
              <w:rFonts w:ascii="Cambria Math" w:hAnsi="Cambria Math"/>
            </w:rPr>
            <m:t>j</m:t>
          </m:r>
          <m:r>
            <m:rPr>
              <m:sty m:val="p"/>
            </m:rPr>
            <w:rPr>
              <w:rFonts w:ascii="Cambria Math" w:hAnsi="Cambria Math"/>
              <w:lang w:val="de-DE"/>
            </w:rPr>
            <m:t>,</m:t>
          </m:r>
          <m:r>
            <w:rPr>
              <w:rFonts w:ascii="Cambria Math" w:hAnsi="Cambria Math"/>
              <w:lang w:val="de-DE"/>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lang w:val="de-DE"/>
            </w:rPr>
            <m:t>=</m:t>
          </m:r>
          <m:r>
            <w:rPr>
              <w:rFonts w:ascii="Cambria Math" w:hAnsi="Cambria Math"/>
              <w:lang w:val="de-DE"/>
            </w:rPr>
            <m:t>1</m:t>
          </m:r>
          <m:r>
            <m:rPr>
              <m:sty m:val="p"/>
            </m:rPr>
            <w:rPr>
              <w:rFonts w:ascii="Cambria Math" w:hAnsi="Cambria Math"/>
              <w:lang w:val="de-DE"/>
            </w:rPr>
            <m:t>,</m:t>
          </m:r>
          <m:r>
            <w:rPr>
              <w:rFonts w:ascii="Cambria Math" w:hAnsi="Cambria Math"/>
              <w:lang w:val="de-DE"/>
            </w:rPr>
            <m:t>  0</m:t>
          </m:r>
          <m:r>
            <m:rPr>
              <m:sty m:val="p"/>
            </m:rPr>
            <w:rPr>
              <w:rFonts w:ascii="Cambria Math" w:hAnsi="Cambria Math"/>
              <w:lang w:val="de-DE"/>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de-DE"/>
            </w:rPr>
            <m:t>≤</m:t>
          </m:r>
          <m:r>
            <w:rPr>
              <w:rFonts w:ascii="Cambria Math" w:hAnsi="Cambria Math"/>
              <w:lang w:val="de-DE"/>
            </w:rPr>
            <m:t>1</m:t>
          </m:r>
          <m:r>
            <m:rPr>
              <m:sty m:val="p"/>
            </m:rPr>
            <w:rPr>
              <w:rFonts w:ascii="Cambria Math" w:hAnsi="Cambria Math"/>
              <w:lang w:val="de-DE"/>
            </w:rPr>
            <m:t>.</m:t>
          </m:r>
        </m:oMath>
      </m:oMathPara>
    </w:p>
    <w:p w14:paraId="1734EEA6" w14:textId="77777777" w:rsidR="00FA1406" w:rsidRPr="009118F6" w:rsidRDefault="00000000">
      <w:pPr>
        <w:pStyle w:val="FirstParagraph"/>
        <w:rPr>
          <w:lang w:val="de-DE"/>
        </w:rPr>
      </w:pPr>
      <w:r w:rsidRPr="009118F6">
        <w:rPr>
          <w:lang w:val="de-DE"/>
        </w:rPr>
        <w:t>Jede Anlage trägt also denselben Anteil zum Gesamtrisiko bei (Maillard et al., 2009, S. 4). Anders als die 1/N-Regel berücksichtigt Risk Parity damit Volatilitäten und Korrelationen, anders als die Markowitz-Optimierung vermeidet es jedoch die fehleranfällige Renditeschätzung gänzlich. Die vorliegende Arbeit führt Risk Parity als zusätzliche, rein risikobasierte Vergleichsstrategie.</w:t>
      </w:r>
    </w:p>
    <w:p w14:paraId="64B40F06" w14:textId="77777777" w:rsidR="00FA1406" w:rsidRPr="009118F6" w:rsidRDefault="00000000">
      <w:pPr>
        <w:pStyle w:val="berschrift1"/>
        <w:rPr>
          <w:lang w:val="de-DE"/>
        </w:rPr>
      </w:pPr>
      <w:bookmarkStart w:id="31" w:name="random-forest-gestützte-renditeprognose"/>
      <w:bookmarkStart w:id="32" w:name="_Toc234524390"/>
      <w:bookmarkEnd w:id="9"/>
      <w:bookmarkEnd w:id="29"/>
      <w:r w:rsidRPr="009118F6">
        <w:rPr>
          <w:lang w:val="de-DE"/>
        </w:rPr>
        <w:t>3 Random-Forest-gestützte Renditeprognose</w:t>
      </w:r>
      <w:bookmarkEnd w:id="32"/>
    </w:p>
    <w:p w14:paraId="6AB14646" w14:textId="77777777" w:rsidR="00FA1406" w:rsidRPr="009118F6" w:rsidRDefault="00000000">
      <w:pPr>
        <w:pStyle w:val="berschrift2"/>
        <w:rPr>
          <w:lang w:val="de-DE"/>
        </w:rPr>
      </w:pPr>
      <w:bookmarkStart w:id="33" w:name="X0e9b36f9e64c501aa39a42e25ac51a14c97dc68"/>
      <w:bookmarkStart w:id="34" w:name="_Toc234524391"/>
      <w:r w:rsidRPr="009118F6">
        <w:rPr>
          <w:lang w:val="de-DE"/>
        </w:rPr>
        <w:t>3.1 Überwachtes Lernen und das Überanpassungsproblem</w:t>
      </w:r>
      <w:bookmarkEnd w:id="34"/>
    </w:p>
    <w:p w14:paraId="2DE1D741" w14:textId="77777777" w:rsidR="00FA1406" w:rsidRPr="009118F6" w:rsidRDefault="00000000">
      <w:pPr>
        <w:pStyle w:val="FirstParagraph"/>
        <w:rPr>
          <w:lang w:val="de-DE"/>
        </w:rPr>
      </w:pPr>
      <w:r w:rsidRPr="009118F6">
        <w:rPr>
          <w:lang w:val="de-DE"/>
        </w:rPr>
        <w:t>Der Random Forest soll in dieser Arbeit die schwierigste und folgenreichste Eingangsgröße der Mean-</w:t>
      </w:r>
      <w:proofErr w:type="spellStart"/>
      <w:r w:rsidRPr="009118F6">
        <w:rPr>
          <w:lang w:val="de-DE"/>
        </w:rPr>
        <w:t>Variance</w:t>
      </w:r>
      <w:proofErr w:type="spellEnd"/>
      <w:r w:rsidRPr="009118F6">
        <w:rPr>
          <w:lang w:val="de-DE"/>
        </w:rPr>
        <w:t xml:space="preserve">-Optimierung verbessern – die erwartete Rendite (vgl. Abschnitt 2.6). Methodisch handelt es sich um </w:t>
      </w:r>
      <w:r w:rsidRPr="009118F6">
        <w:rPr>
          <w:i/>
          <w:iCs/>
          <w:lang w:val="de-DE"/>
        </w:rPr>
        <w:t>überwachtes Lernen</w:t>
      </w:r>
      <w:r w:rsidRPr="009118F6">
        <w:rPr>
          <w:lang w:val="de-DE"/>
        </w:rPr>
        <w:t xml:space="preserve">: Aus Trainingsbeispielen, die Eingangsmerkmale </w:t>
      </w:r>
      <m:oMath>
        <m:r>
          <w:rPr>
            <w:rFonts w:ascii="Cambria Math" w:hAnsi="Cambria Math"/>
          </w:rPr>
          <m:t>X</m:t>
        </m:r>
      </m:oMath>
      <w:r w:rsidRPr="009118F6">
        <w:rPr>
          <w:lang w:val="de-DE"/>
        </w:rPr>
        <w:t xml:space="preserve"> mit einer Zielgröße </w:t>
      </w:r>
      <m:oMath>
        <m:r>
          <w:rPr>
            <w:rFonts w:ascii="Cambria Math" w:hAnsi="Cambria Math"/>
          </w:rPr>
          <m:t>Y</m:t>
        </m:r>
      </m:oMath>
      <w:r w:rsidRPr="009118F6">
        <w:rPr>
          <w:lang w:val="de-DE"/>
        </w:rPr>
        <w:t xml:space="preserve"> verknüpfen, wird eine Funktion </w:t>
      </w:r>
      <m:oMath>
        <m:r>
          <w:rPr>
            <w:rFonts w:ascii="Cambria Math" w:hAnsi="Cambria Math"/>
            <w:lang w:val="de-DE"/>
          </w:rPr>
          <m:t>h</m:t>
        </m:r>
        <m:r>
          <m:rPr>
            <m:sty m:val="p"/>
          </m:rPr>
          <w:rPr>
            <w:rFonts w:ascii="Cambria Math" w:hAnsi="Cambria Math"/>
            <w:lang w:val="de-DE"/>
          </w:rPr>
          <m:t>(</m:t>
        </m:r>
        <m:r>
          <w:rPr>
            <w:rFonts w:ascii="Cambria Math" w:hAnsi="Cambria Math"/>
          </w:rPr>
          <m:t>x</m:t>
        </m:r>
        <m:r>
          <m:rPr>
            <m:sty m:val="p"/>
          </m:rPr>
          <w:rPr>
            <w:rFonts w:ascii="Cambria Math" w:hAnsi="Cambria Math"/>
            <w:lang w:val="de-DE"/>
          </w:rPr>
          <m:t>)</m:t>
        </m:r>
      </m:oMath>
      <w:r w:rsidRPr="009118F6">
        <w:rPr>
          <w:lang w:val="de-DE"/>
        </w:rPr>
        <w:t xml:space="preserve"> gelernt, die für neue Eingaben einen Wert für </w:t>
      </w:r>
      <m:oMath>
        <m:r>
          <w:rPr>
            <w:rFonts w:ascii="Cambria Math" w:hAnsi="Cambria Math"/>
          </w:rPr>
          <m:t>Y</m:t>
        </m:r>
      </m:oMath>
      <w:r w:rsidRPr="009118F6">
        <w:rPr>
          <w:lang w:val="de-DE"/>
        </w:rPr>
        <w:t xml:space="preserve"> prognostiziert. Bei numerischer Zielgröße – hier die Rendite des Folgemonats – spricht man von Regression; ihre Güte misst Breiman über den mittleren quadratischen Generalisierungsfehler </w:t>
      </w:r>
      <m:oMath>
        <m:sSub>
          <m:sSubPr>
            <m:ctrlPr>
              <w:rPr>
                <w:rFonts w:ascii="Cambria Math" w:hAnsi="Cambria Math"/>
              </w:rPr>
            </m:ctrlPr>
          </m:sSubPr>
          <m:e>
            <m:r>
              <w:rPr>
                <w:rFonts w:ascii="Cambria Math" w:hAnsi="Cambria Math"/>
              </w:rPr>
              <m:t>E</m:t>
            </m:r>
          </m:e>
          <m:sub>
            <m:r>
              <w:rPr>
                <w:rFonts w:ascii="Cambria Math" w:hAnsi="Cambria Math"/>
              </w:rPr>
              <m:t>X</m:t>
            </m:r>
            <m:r>
              <m:rPr>
                <m:sty m:val="p"/>
              </m:rPr>
              <w:rPr>
                <w:rFonts w:ascii="Cambria Math" w:hAnsi="Cambria Math"/>
                <w:lang w:val="de-DE"/>
              </w:rPr>
              <m:t>,</m:t>
            </m:r>
            <m:r>
              <w:rPr>
                <w:rFonts w:ascii="Cambria Math" w:hAnsi="Cambria Math"/>
              </w:rPr>
              <m:t>Y</m:t>
            </m:r>
          </m:sub>
        </m:sSub>
        <m:r>
          <m:rPr>
            <m:sty m:val="p"/>
          </m:rPr>
          <w:rPr>
            <w:rFonts w:ascii="Cambria Math" w:hAnsi="Cambria Math"/>
            <w:lang w:val="de-DE"/>
          </w:rPr>
          <m:t>(</m:t>
        </m:r>
        <m:r>
          <w:rPr>
            <w:rFonts w:ascii="Cambria Math" w:hAnsi="Cambria Math"/>
          </w:rPr>
          <m:t>Y</m:t>
        </m:r>
        <m:r>
          <m:rPr>
            <m:sty m:val="p"/>
          </m:rPr>
          <w:rPr>
            <w:rFonts w:ascii="Cambria Math" w:hAnsi="Cambria Math"/>
            <w:lang w:val="de-DE"/>
          </w:rPr>
          <m:t>-</m:t>
        </m:r>
        <m:r>
          <w:rPr>
            <w:rFonts w:ascii="Cambria Math" w:hAnsi="Cambria Math"/>
            <w:lang w:val="de-DE"/>
          </w:rPr>
          <m:t>h</m:t>
        </m:r>
        <m:r>
          <m:rPr>
            <m:sty m:val="p"/>
          </m:rPr>
          <w:rPr>
            <w:rFonts w:ascii="Cambria Math" w:hAnsi="Cambria Math"/>
            <w:lang w:val="de-DE"/>
          </w:rPr>
          <m:t>(</m:t>
        </m:r>
        <m:r>
          <w:rPr>
            <w:rFonts w:ascii="Cambria Math" w:hAnsi="Cambria Math"/>
          </w:rPr>
          <m:t>X</m:t>
        </m:r>
        <m:r>
          <m:rPr>
            <m:sty m:val="p"/>
          </m:rPr>
          <w:rPr>
            <w:rFonts w:ascii="Cambria Math" w:hAnsi="Cambria Math"/>
            <w:lang w:val="de-DE"/>
          </w:rPr>
          <m:t>)</m:t>
        </m:r>
        <m:sSup>
          <m:sSupPr>
            <m:ctrlPr>
              <w:rPr>
                <w:rFonts w:ascii="Cambria Math" w:hAnsi="Cambria Math"/>
              </w:rPr>
            </m:ctrlPr>
          </m:sSupPr>
          <m:e>
            <m:r>
              <m:rPr>
                <m:sty m:val="p"/>
              </m:rPr>
              <w:rPr>
                <w:rFonts w:ascii="Cambria Math" w:hAnsi="Cambria Math"/>
                <w:lang w:val="de-DE"/>
              </w:rPr>
              <m:t>)</m:t>
            </m:r>
          </m:e>
          <m:sup>
            <m:r>
              <w:rPr>
                <w:rFonts w:ascii="Cambria Math" w:hAnsi="Cambria Math"/>
                <w:lang w:val="de-DE"/>
              </w:rPr>
              <m:t>2</m:t>
            </m:r>
          </m:sup>
        </m:sSup>
      </m:oMath>
      <w:r w:rsidRPr="009118F6">
        <w:rPr>
          <w:lang w:val="de-DE"/>
        </w:rPr>
        <w:t xml:space="preserve"> (Breiman, 2001, S. 26). Die eigentliche Schwierigkeit liegt in der </w:t>
      </w:r>
      <w:r w:rsidRPr="009118F6">
        <w:rPr>
          <w:i/>
          <w:iCs/>
          <w:lang w:val="de-DE"/>
        </w:rPr>
        <w:t>Generalisierung</w:t>
      </w:r>
      <w:r w:rsidRPr="009118F6">
        <w:rPr>
          <w:lang w:val="de-DE"/>
        </w:rPr>
        <w:t xml:space="preserve">: Ein Modell, das die Trainingsdaten zu genau nachbildet, lernt deren Zufallsrauschen mit und sagt neue Daten </w:t>
      </w:r>
      <w:r w:rsidRPr="009118F6">
        <w:rPr>
          <w:lang w:val="de-DE"/>
        </w:rPr>
        <w:lastRenderedPageBreak/>
        <w:t>schlecht vorher (Überanpassung). Genau dieses Problem adressiert der Random Forest auf konstruktive Weise.</w:t>
      </w:r>
    </w:p>
    <w:p w14:paraId="4C0B9AB3" w14:textId="77777777" w:rsidR="00FA1406" w:rsidRPr="009118F6" w:rsidRDefault="00000000">
      <w:pPr>
        <w:pStyle w:val="berschrift2"/>
        <w:rPr>
          <w:lang w:val="de-DE"/>
        </w:rPr>
      </w:pPr>
      <w:bookmarkStart w:id="35" w:name="entscheidungsbäume-als-bausteine"/>
      <w:bookmarkStart w:id="36" w:name="_Toc234524392"/>
      <w:bookmarkEnd w:id="33"/>
      <w:r w:rsidRPr="009118F6">
        <w:rPr>
          <w:lang w:val="de-DE"/>
        </w:rPr>
        <w:t>3.2 Entscheidungsbäume als Bausteine</w:t>
      </w:r>
      <w:bookmarkEnd w:id="36"/>
    </w:p>
    <w:p w14:paraId="743AA6CE" w14:textId="77777777" w:rsidR="00FA1406" w:rsidRPr="009118F6" w:rsidRDefault="00000000">
      <w:pPr>
        <w:pStyle w:val="FirstParagraph"/>
        <w:rPr>
          <w:lang w:val="de-DE"/>
        </w:rPr>
      </w:pPr>
      <w:r w:rsidRPr="009118F6">
        <w:rPr>
          <w:lang w:val="de-DE"/>
        </w:rPr>
        <w:t>Grundbaustein ist der Entscheidungsbaum (</w:t>
      </w:r>
      <w:proofErr w:type="spellStart"/>
      <w:r w:rsidRPr="009118F6">
        <w:rPr>
          <w:i/>
          <w:iCs/>
          <w:lang w:val="de-DE"/>
        </w:rPr>
        <w:t>tree</w:t>
      </w:r>
      <w:proofErr w:type="spellEnd"/>
      <w:r w:rsidRPr="009118F6">
        <w:rPr>
          <w:i/>
          <w:iCs/>
          <w:lang w:val="de-DE"/>
        </w:rPr>
        <w:t xml:space="preserve"> </w:t>
      </w:r>
      <w:proofErr w:type="spellStart"/>
      <w:r w:rsidRPr="009118F6">
        <w:rPr>
          <w:i/>
          <w:iCs/>
          <w:lang w:val="de-DE"/>
        </w:rPr>
        <w:t>predictor</w:t>
      </w:r>
      <w:proofErr w:type="spellEnd"/>
      <w:r w:rsidRPr="009118F6">
        <w:rPr>
          <w:lang w:val="de-DE"/>
        </w:rPr>
        <w:t>): Er teilt den Merkmalsraum durch eine Folge von Verzweigungen rekursiv auf und ordnet jeder entstehenden Region einen Vorhersagewert zu – bei Regression einen numerischen Wert (Breiman, 2001, S. 26). Ein einzelner Baum ist allerdings instabil und für sich genommen oft nur wenig besser als eine zufällige Wahl, gerade wenn viele Eingangsvariablen jeweils nur wenig Information tragen (Breiman, 2001, S. 6). Erst die Kombination vieler Bäume macht das Verfahren leistungsfähig.</w:t>
      </w:r>
    </w:p>
    <w:p w14:paraId="091E2E9E" w14:textId="77777777" w:rsidR="00FA1406" w:rsidRPr="009118F6" w:rsidRDefault="00000000">
      <w:pPr>
        <w:pStyle w:val="berschrift2"/>
        <w:rPr>
          <w:lang w:val="de-DE"/>
        </w:rPr>
      </w:pPr>
      <w:bookmarkStart w:id="37" w:name="Xa3aecce1af409174a88ace5cb9e880da6bb7e3a"/>
      <w:bookmarkStart w:id="38" w:name="_Toc234524393"/>
      <w:bookmarkEnd w:id="35"/>
      <w:r w:rsidRPr="009118F6">
        <w:rPr>
          <w:lang w:val="de-DE"/>
        </w:rPr>
        <w:t xml:space="preserve">3.3 Vom Baum zum Wald: </w:t>
      </w:r>
      <w:proofErr w:type="spellStart"/>
      <w:r w:rsidRPr="009118F6">
        <w:rPr>
          <w:lang w:val="de-DE"/>
        </w:rPr>
        <w:t>Bagging</w:t>
      </w:r>
      <w:proofErr w:type="spellEnd"/>
      <w:r w:rsidRPr="009118F6">
        <w:rPr>
          <w:lang w:val="de-DE"/>
        </w:rPr>
        <w:t xml:space="preserve"> und Random Forest</w:t>
      </w:r>
      <w:bookmarkEnd w:id="38"/>
    </w:p>
    <w:p w14:paraId="65EF0796" w14:textId="77777777" w:rsidR="00FA1406" w:rsidRPr="009118F6" w:rsidRDefault="00000000">
      <w:pPr>
        <w:pStyle w:val="FirstParagraph"/>
        <w:rPr>
          <w:lang w:val="de-DE"/>
        </w:rPr>
      </w:pPr>
      <w:r w:rsidRPr="009118F6">
        <w:rPr>
          <w:lang w:val="de-DE"/>
        </w:rPr>
        <w:t xml:space="preserve">Ein Random Forest ist nach Breiman eine Sammlung baumstrukturierter Prädiktoren </w:t>
      </w:r>
      <m:oMath>
        <m:r>
          <m:rPr>
            <m:sty m:val="p"/>
          </m:rPr>
          <w:rPr>
            <w:rFonts w:ascii="Cambria Math" w:hAnsi="Cambria Math"/>
            <w:lang w:val="de-DE"/>
          </w:rPr>
          <m:t>{</m:t>
        </m:r>
        <m:r>
          <w:rPr>
            <w:rFonts w:ascii="Cambria Math" w:hAnsi="Cambria Math"/>
            <w:lang w:val="de-DE"/>
          </w:rPr>
          <m:t>h</m:t>
        </m:r>
        <m:r>
          <m:rPr>
            <m:sty m:val="p"/>
          </m:rPr>
          <w:rPr>
            <w:rFonts w:ascii="Cambria Math" w:hAnsi="Cambria Math"/>
            <w:lang w:val="de-DE"/>
          </w:rPr>
          <m:t>(</m:t>
        </m:r>
        <m:r>
          <w:rPr>
            <w:rFonts w:ascii="Cambria Math" w:hAnsi="Cambria Math"/>
          </w:rPr>
          <m:t>x</m:t>
        </m:r>
        <m:r>
          <m:rPr>
            <m:sty m:val="p"/>
          </m:rPr>
          <w:rPr>
            <w:rFonts w:ascii="Cambria Math" w:hAnsi="Cambria Math"/>
            <w:lang w:val="de-DE"/>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m:rPr>
            <m:sty m:val="p"/>
          </m:rPr>
          <w:rPr>
            <w:rFonts w:ascii="Cambria Math" w:hAnsi="Cambria Math"/>
            <w:lang w:val="de-DE"/>
          </w:rPr>
          <m:t>)}</m:t>
        </m:r>
      </m:oMath>
      <w:r w:rsidRPr="009118F6">
        <w:rPr>
          <w:lang w:val="de-DE"/>
        </w:rPr>
        <w:t xml:space="preserve">, wobei die </w:t>
      </w:r>
      <m:oMath>
        <m:sSub>
          <m:sSubPr>
            <m:ctrlPr>
              <w:rPr>
                <w:rFonts w:ascii="Cambria Math" w:hAnsi="Cambria Math"/>
              </w:rPr>
            </m:ctrlPr>
          </m:sSubPr>
          <m:e>
            <m:r>
              <m:rPr>
                <m:sty m:val="p"/>
              </m:rPr>
              <w:rPr>
                <w:rFonts w:ascii="Cambria Math" w:hAnsi="Cambria Math"/>
              </w:rPr>
              <m:t>Θ</m:t>
            </m:r>
          </m:e>
          <m:sub>
            <m:r>
              <w:rPr>
                <w:rFonts w:ascii="Cambria Math" w:hAnsi="Cambria Math"/>
              </w:rPr>
              <m:t>k</m:t>
            </m:r>
          </m:sub>
        </m:sSub>
      </m:oMath>
      <w:r w:rsidRPr="009118F6">
        <w:rPr>
          <w:lang w:val="de-DE"/>
        </w:rPr>
        <w:t xml:space="preserve"> unabhängige, identisch verteilte Zufallsvektoren sind; für die Regression bildet der Wald den Durchschnitt über alle Bäume (Breiman, 2001, S. 6, 26). Die Zufallsvektoren </w:t>
      </w:r>
      <m:oMath>
        <m:sSub>
          <m:sSubPr>
            <m:ctrlPr>
              <w:rPr>
                <w:rFonts w:ascii="Cambria Math" w:hAnsi="Cambria Math"/>
              </w:rPr>
            </m:ctrlPr>
          </m:sSubPr>
          <m:e>
            <m:r>
              <m:rPr>
                <m:sty m:val="p"/>
              </m:rPr>
              <w:rPr>
                <w:rFonts w:ascii="Cambria Math" w:hAnsi="Cambria Math"/>
              </w:rPr>
              <m:t>Θ</m:t>
            </m:r>
          </m:e>
          <m:sub>
            <m:r>
              <w:rPr>
                <w:rFonts w:ascii="Cambria Math" w:hAnsi="Cambria Math"/>
              </w:rPr>
              <m:t>k</m:t>
            </m:r>
          </m:sub>
        </m:sSub>
      </m:oMath>
      <w:r w:rsidRPr="009118F6">
        <w:rPr>
          <w:lang w:val="de-DE"/>
        </w:rPr>
        <w:t xml:space="preserve"> steuern den Aufbau jedes Baumes und sorgen dafür, dass sich die Bäume voneinander unterscheiden. Zwei Quellen der Zufälligkeit kommen zum Einsatz: das </w:t>
      </w:r>
      <w:proofErr w:type="spellStart"/>
      <w:r w:rsidRPr="009118F6">
        <w:rPr>
          <w:i/>
          <w:iCs/>
          <w:lang w:val="de-DE"/>
        </w:rPr>
        <w:t>Bagging</w:t>
      </w:r>
      <w:proofErr w:type="spellEnd"/>
      <w:r w:rsidRPr="009118F6">
        <w:rPr>
          <w:lang w:val="de-DE"/>
        </w:rPr>
        <w:t xml:space="preserve">, bei dem jeder Baum aus einer zufälligen (Bootstrap-)Stichprobe der Trainingsdaten wächst (Breiman, 2001, S. 5 f.), und die zufällige </w:t>
      </w:r>
      <w:r w:rsidRPr="009118F6">
        <w:rPr>
          <w:i/>
          <w:iCs/>
          <w:lang w:val="de-DE"/>
        </w:rPr>
        <w:t>Merkmalsauswahl</w:t>
      </w:r>
      <w:r w:rsidRPr="009118F6">
        <w:rPr>
          <w:lang w:val="de-DE"/>
        </w:rPr>
        <w:t>, bei der an jedem Knoten nur eine zufällige Teilmenge der Merkmale für die Aufteilung in Betracht gezogen wird (Breiman, 2001, S. 5 f.).</w:t>
      </w:r>
    </w:p>
    <w:p w14:paraId="1E02FB6F" w14:textId="77777777" w:rsidR="00FA1406" w:rsidRPr="009118F6" w:rsidRDefault="00000000">
      <w:pPr>
        <w:pStyle w:val="Textkrper"/>
        <w:rPr>
          <w:lang w:val="de-DE"/>
        </w:rPr>
      </w:pPr>
      <w:r w:rsidRPr="009118F6">
        <w:rPr>
          <w:lang w:val="de-DE"/>
        </w:rPr>
        <w:t xml:space="preserve">Der entscheidende theoretische Vorzug liegt in zwei Resultaten. Erstens konvergiert der Generalisierungsfehler mit wachsender </w:t>
      </w:r>
      <w:proofErr w:type="spellStart"/>
      <w:r w:rsidRPr="009118F6">
        <w:rPr>
          <w:lang w:val="de-DE"/>
        </w:rPr>
        <w:t>Baumzahl</w:t>
      </w:r>
      <w:proofErr w:type="spellEnd"/>
      <w:r w:rsidRPr="009118F6">
        <w:rPr>
          <w:lang w:val="de-DE"/>
        </w:rPr>
        <w:t xml:space="preserve"> nach dem starken Gesetz der großen Zahl gegen einen Grenzwert; eine Überanpassung allein durch zu viele Bäume ist somit ausgeschlossen (Breiman, 2001, S. 6, 26). Zweitens beziffert Breiman für die Regression, wovon die Genauigkeit abhängt: Der Fehler des Waldes ist höchstens das Produkt aus der mittleren Korrelation </w:t>
      </w:r>
      <m:oMath>
        <m:acc>
          <m:accPr>
            <m:chr m:val="‾"/>
            <m:ctrlPr>
              <w:rPr>
                <w:rFonts w:ascii="Cambria Math" w:hAnsi="Cambria Math"/>
              </w:rPr>
            </m:ctrlPr>
          </m:accPr>
          <m:e>
            <m:r>
              <w:rPr>
                <w:rFonts w:ascii="Cambria Math" w:hAnsi="Cambria Math"/>
              </w:rPr>
              <m:t>ρ</m:t>
            </m:r>
          </m:e>
        </m:acc>
      </m:oMath>
      <w:r w:rsidRPr="009118F6">
        <w:rPr>
          <w:lang w:val="de-DE"/>
        </w:rPr>
        <w:t xml:space="preserve"> der Baum-Residuen und dem mittleren Fehler der Einzelbäume, </w:t>
      </w:r>
      <m:oMath>
        <m:r>
          <w:rPr>
            <w:rFonts w:ascii="Cambria Math" w:hAnsi="Cambria Math"/>
          </w:rPr>
          <m:t>P</m:t>
        </m:r>
        <m:sSup>
          <m:sSupPr>
            <m:ctrlPr>
              <w:rPr>
                <w:rFonts w:ascii="Cambria Math" w:hAnsi="Cambria Math"/>
              </w:rPr>
            </m:ctrlPr>
          </m:sSupPr>
          <m:e>
            <m:r>
              <w:rPr>
                <w:rFonts w:ascii="Cambria Math" w:hAnsi="Cambria Math"/>
              </w:rPr>
              <m:t>E</m:t>
            </m:r>
          </m:e>
          <m:sup>
            <m:r>
              <m:rPr>
                <m:sty m:val="p"/>
              </m:rPr>
              <w:rPr>
                <w:rFonts w:ascii="Cambria Math" w:hAnsi="Cambria Math"/>
                <w:lang w:val="de-DE"/>
              </w:rPr>
              <m:t>*</m:t>
            </m:r>
          </m:sup>
        </m:sSup>
        <m:r>
          <m:rPr>
            <m:sty m:val="p"/>
          </m:rPr>
          <w:rPr>
            <w:rFonts w:ascii="Cambria Math" w:hAnsi="Cambria Math"/>
            <w:lang w:val="de-DE"/>
          </w:rPr>
          <m:t>(</m:t>
        </m:r>
        <m:r>
          <m:rPr>
            <m:nor/>
          </m:rPr>
          <w:rPr>
            <w:lang w:val="de-DE"/>
          </w:rPr>
          <m:t>Wald</m:t>
        </m:r>
        <m:r>
          <m:rPr>
            <m:sty m:val="p"/>
          </m:rPr>
          <w:rPr>
            <w:rFonts w:ascii="Cambria Math" w:hAnsi="Cambria Math"/>
            <w:lang w:val="de-DE"/>
          </w:rPr>
          <m:t>)≤</m:t>
        </m:r>
        <m:acc>
          <m:accPr>
            <m:chr m:val="‾"/>
            <m:ctrlPr>
              <w:rPr>
                <w:rFonts w:ascii="Cambria Math" w:hAnsi="Cambria Math"/>
              </w:rPr>
            </m:ctrlPr>
          </m:accPr>
          <m:e>
            <m:r>
              <w:rPr>
                <w:rFonts w:ascii="Cambria Math" w:hAnsi="Cambria Math"/>
              </w:rPr>
              <m:t>ρ</m:t>
            </m:r>
          </m:e>
        </m:acc>
        <m:r>
          <w:rPr>
            <w:rFonts w:ascii="Cambria Math" w:hAnsi="Cambria Math"/>
            <w:lang w:val="de-DE"/>
          </w:rPr>
          <m:t> </m:t>
        </m:r>
        <m:r>
          <w:rPr>
            <w:rFonts w:ascii="Cambria Math" w:hAnsi="Cambria Math"/>
          </w:rPr>
          <m:t>P</m:t>
        </m:r>
        <m:sSup>
          <m:sSupPr>
            <m:ctrlPr>
              <w:rPr>
                <w:rFonts w:ascii="Cambria Math" w:hAnsi="Cambria Math"/>
              </w:rPr>
            </m:ctrlPr>
          </m:sSupPr>
          <m:e>
            <m:r>
              <w:rPr>
                <w:rFonts w:ascii="Cambria Math" w:hAnsi="Cambria Math"/>
              </w:rPr>
              <m:t>E</m:t>
            </m:r>
          </m:e>
          <m:sup>
            <m:r>
              <m:rPr>
                <m:sty m:val="p"/>
              </m:rPr>
              <w:rPr>
                <w:rFonts w:ascii="Cambria Math" w:hAnsi="Cambria Math"/>
                <w:lang w:val="de-DE"/>
              </w:rPr>
              <m:t>*</m:t>
            </m:r>
          </m:sup>
        </m:sSup>
        <m:r>
          <m:rPr>
            <m:sty m:val="p"/>
          </m:rPr>
          <w:rPr>
            <w:rFonts w:ascii="Cambria Math" w:hAnsi="Cambria Math"/>
            <w:lang w:val="de-DE"/>
          </w:rPr>
          <m:t>(</m:t>
        </m:r>
        <m:r>
          <m:rPr>
            <m:nor/>
          </m:rPr>
          <w:rPr>
            <w:lang w:val="de-DE"/>
          </w:rPr>
          <m:t>Baum</m:t>
        </m:r>
        <m:r>
          <m:rPr>
            <m:sty m:val="p"/>
          </m:rPr>
          <w:rPr>
            <w:rFonts w:ascii="Cambria Math" w:hAnsi="Cambria Math"/>
            <w:lang w:val="de-DE"/>
          </w:rPr>
          <m:t>)</m:t>
        </m:r>
      </m:oMath>
      <w:r w:rsidRPr="009118F6">
        <w:rPr>
          <w:lang w:val="de-DE"/>
        </w:rPr>
        <w:t xml:space="preserve"> (Breiman, 2001, S. 26). Daraus folgt unmittelbar das Konstruktionsprinzip: Genaue Wälder erfordern </w:t>
      </w:r>
      <w:r w:rsidRPr="009118F6">
        <w:rPr>
          <w:i/>
          <w:iCs/>
          <w:lang w:val="de-DE"/>
        </w:rPr>
        <w:t>fehlerarme</w:t>
      </w:r>
      <w:r w:rsidRPr="009118F6">
        <w:rPr>
          <w:lang w:val="de-DE"/>
        </w:rPr>
        <w:t xml:space="preserve"> und zugleich </w:t>
      </w:r>
      <w:r w:rsidRPr="009118F6">
        <w:rPr>
          <w:i/>
          <w:iCs/>
          <w:lang w:val="de-DE"/>
        </w:rPr>
        <w:t xml:space="preserve">möglichst </w:t>
      </w:r>
      <w:r w:rsidRPr="009118F6">
        <w:rPr>
          <w:i/>
          <w:iCs/>
          <w:lang w:val="de-DE"/>
        </w:rPr>
        <w:lastRenderedPageBreak/>
        <w:t>unkorrelierte</w:t>
      </w:r>
      <w:r w:rsidRPr="009118F6">
        <w:rPr>
          <w:lang w:val="de-DE"/>
        </w:rPr>
        <w:t xml:space="preserve"> Bäume; die Randomisierung dient gerade dazu, die Korrelation zu senken (Breiman, 2001, S. 27). Der Random Forest verringert den Vorhersagefehler eines einzelnen Baumes also um den Faktor </w:t>
      </w:r>
      <m:oMath>
        <m:acc>
          <m:accPr>
            <m:chr m:val="‾"/>
            <m:ctrlPr>
              <w:rPr>
                <w:rFonts w:ascii="Cambria Math" w:hAnsi="Cambria Math"/>
              </w:rPr>
            </m:ctrlPr>
          </m:accPr>
          <m:e>
            <m:r>
              <w:rPr>
                <w:rFonts w:ascii="Cambria Math" w:hAnsi="Cambria Math"/>
              </w:rPr>
              <m:t>ρ</m:t>
            </m:r>
          </m:e>
        </m:acc>
      </m:oMath>
      <w:r w:rsidRPr="009118F6">
        <w:rPr>
          <w:lang w:val="de-DE"/>
        </w:rPr>
        <w:t xml:space="preserve"> – er stabilisiert die instabile Einzelprognose, ohne in Überanpassung zu verfallen. Eben diese Eigenschaft macht ihn zu einem Kandidaten für die stark verrauschte Aufgabe der Renditeprognose (Abschnitt 3.4).</w:t>
      </w:r>
    </w:p>
    <w:p w14:paraId="7374810D" w14:textId="77777777" w:rsidR="00FA1406" w:rsidRPr="009118F6" w:rsidRDefault="00000000">
      <w:pPr>
        <w:pStyle w:val="berschrift2"/>
        <w:rPr>
          <w:lang w:val="de-DE"/>
        </w:rPr>
      </w:pPr>
      <w:bookmarkStart w:id="39" w:name="X726823064c99e540c40bd3ffa34a3d44b732c78"/>
      <w:bookmarkStart w:id="40" w:name="_Toc234524394"/>
      <w:bookmarkEnd w:id="37"/>
      <w:r w:rsidRPr="009118F6">
        <w:rPr>
          <w:lang w:val="de-DE"/>
        </w:rPr>
        <w:t>3.4 Random Forests in der empirischen Renditeprognose</w:t>
      </w:r>
      <w:bookmarkEnd w:id="40"/>
    </w:p>
    <w:p w14:paraId="5787C49C" w14:textId="77777777" w:rsidR="00FA1406" w:rsidRPr="009118F6" w:rsidRDefault="00000000">
      <w:pPr>
        <w:pStyle w:val="FirstParagraph"/>
        <w:rPr>
          <w:lang w:val="de-DE"/>
        </w:rPr>
      </w:pPr>
      <w:r w:rsidRPr="009118F6">
        <w:rPr>
          <w:lang w:val="de-DE"/>
        </w:rPr>
        <w:t xml:space="preserve">Ob sich maschinelles Lernen überhaupt eignet, um die schwer schätzbaren erwarteten Renditen zu verbessern, untersuchen </w:t>
      </w:r>
      <w:proofErr w:type="spellStart"/>
      <w:r w:rsidRPr="009118F6">
        <w:rPr>
          <w:lang w:val="de-DE"/>
        </w:rPr>
        <w:t>Gu</w:t>
      </w:r>
      <w:proofErr w:type="spellEnd"/>
      <w:r w:rsidRPr="009118F6">
        <w:rPr>
          <w:lang w:val="de-DE"/>
        </w:rPr>
        <w:t>, Kelly und Xiu in einer großangelegten Vergleichsstudie. Sie wenden zahlreiche ML-Verfahren auf die Messung von Risikoprämien – also erwarteten Überschussrenditen – an und stellen fest, dass gerade die baum- und netzbasierten Verfahren (darunter der Random Forest) am besten abschneiden; ihren Vorsprung führen die Autoren darauf zurück, dass diese Methoden nichtlineare Wechselwirkungen zwischen den Prädiktoren zulassen, die einfachere Verfahren übersehen (</w:t>
      </w:r>
      <w:proofErr w:type="spellStart"/>
      <w:r w:rsidRPr="009118F6">
        <w:rPr>
          <w:lang w:val="de-DE"/>
        </w:rPr>
        <w:t>Gu</w:t>
      </w:r>
      <w:proofErr w:type="spellEnd"/>
      <w:r w:rsidRPr="009118F6">
        <w:rPr>
          <w:lang w:val="de-DE"/>
        </w:rPr>
        <w:t xml:space="preserve"> et al., 2020, S. 2223). Zu den informativsten Signalen zählen dabei Varianten von Momentum, Liquidität und Volatilität (</w:t>
      </w:r>
      <w:proofErr w:type="spellStart"/>
      <w:r w:rsidRPr="009118F6">
        <w:rPr>
          <w:lang w:val="de-DE"/>
        </w:rPr>
        <w:t>Gu</w:t>
      </w:r>
      <w:proofErr w:type="spellEnd"/>
      <w:r w:rsidRPr="009118F6">
        <w:rPr>
          <w:lang w:val="de-DE"/>
        </w:rPr>
        <w:t xml:space="preserve"> et al., 2020, S. 2223) – Merkmalstypen, die auch in der vorliegenden Arbeit als Eingangsgrößen dienen (Abschnitt 4.2).</w:t>
      </w:r>
    </w:p>
    <w:p w14:paraId="0E8E7C4D" w14:textId="77777777" w:rsidR="00FA1406" w:rsidRPr="009118F6" w:rsidRDefault="00000000">
      <w:pPr>
        <w:pStyle w:val="Textkrper"/>
        <w:rPr>
          <w:lang w:val="de-DE"/>
        </w:rPr>
      </w:pPr>
      <w:r w:rsidRPr="009118F6">
        <w:rPr>
          <w:lang w:val="de-DE"/>
        </w:rPr>
        <w:t>Bedeutsam ist jedoch die Größenordnung der Prognosegüte. Auf Einzelaktienebene erreichen die besten Verfahren ein monatliches Out-</w:t>
      </w:r>
      <w:proofErr w:type="spellStart"/>
      <w:r w:rsidRPr="009118F6">
        <w:rPr>
          <w:lang w:val="de-DE"/>
        </w:rPr>
        <w:t>of</w:t>
      </w:r>
      <w:proofErr w:type="spellEnd"/>
      <w:r w:rsidRPr="009118F6">
        <w:rPr>
          <w:lang w:val="de-DE"/>
        </w:rPr>
        <w:t>-Sample-Bestimmtheitsmaß (</w:t>
      </w:r>
      <m:oMath>
        <m:sSup>
          <m:sSupPr>
            <m:ctrlPr>
              <w:rPr>
                <w:rFonts w:ascii="Cambria Math" w:hAnsi="Cambria Math"/>
              </w:rPr>
            </m:ctrlPr>
          </m:sSupPr>
          <m:e>
            <m:r>
              <w:rPr>
                <w:rFonts w:ascii="Cambria Math" w:hAnsi="Cambria Math"/>
              </w:rPr>
              <m:t>R</m:t>
            </m:r>
          </m:e>
          <m:sup>
            <m:r>
              <w:rPr>
                <w:rFonts w:ascii="Cambria Math" w:hAnsi="Cambria Math"/>
                <w:lang w:val="de-DE"/>
              </w:rPr>
              <m:t>2</m:t>
            </m:r>
          </m:sup>
        </m:sSup>
      </m:oMath>
      <w:r w:rsidRPr="009118F6">
        <w:rPr>
          <w:lang w:val="de-DE"/>
        </w:rPr>
        <w:t>) zwischen lediglich 0,33 % und 0,40 % (Gu et al., 2020, S. 2227). Diese sehr kleinen Werte spiegeln das „notorisch niedrige” Signal-Rausch-Verhältnis der Renditeprognose wider (Gu et al., 2020, S. 2234). Trotz dieser geringen statistischen Erklärungskraft können die Prognosen ökonomisch wertvoll sein; die Autoren weisen erhebliche Performancegewinne für Anleger nach, die ML-Prognosen nutzen (Gu et al., 2020, S. 2228). Zugleich warnen sie, dass die hohe Flexibilität dieser Modelle die Gefahr der Überanpassu</w:t>
      </w:r>
      <w:proofErr w:type="spellStart"/>
      <w:r w:rsidRPr="009118F6">
        <w:rPr>
          <w:lang w:val="de-DE"/>
        </w:rPr>
        <w:t>ng</w:t>
      </w:r>
      <w:proofErr w:type="spellEnd"/>
      <w:r w:rsidRPr="009118F6">
        <w:rPr>
          <w:lang w:val="de-DE"/>
        </w:rPr>
        <w:t xml:space="preserve"> erhöht und nur durch Regularisierung sowie einen konsequenten Fokus auf stabile Out-</w:t>
      </w:r>
      <w:proofErr w:type="spellStart"/>
      <w:r w:rsidRPr="009118F6">
        <w:rPr>
          <w:lang w:val="de-DE"/>
        </w:rPr>
        <w:t>of</w:t>
      </w:r>
      <w:proofErr w:type="spellEnd"/>
      <w:r w:rsidRPr="009118F6">
        <w:rPr>
          <w:lang w:val="de-DE"/>
        </w:rPr>
        <w:t>-Sample-Performance beherrschbar bleibt (</w:t>
      </w:r>
      <w:proofErr w:type="spellStart"/>
      <w:r w:rsidRPr="009118F6">
        <w:rPr>
          <w:lang w:val="de-DE"/>
        </w:rPr>
        <w:t>Gu</w:t>
      </w:r>
      <w:proofErr w:type="spellEnd"/>
      <w:r w:rsidRPr="009118F6">
        <w:rPr>
          <w:lang w:val="de-DE"/>
        </w:rPr>
        <w:t xml:space="preserve"> et al., 2020, S. 2225).</w:t>
      </w:r>
    </w:p>
    <w:p w14:paraId="0B435178" w14:textId="77777777" w:rsidR="00FA1406" w:rsidRPr="009118F6" w:rsidRDefault="00000000">
      <w:pPr>
        <w:pStyle w:val="Textkrper"/>
        <w:rPr>
          <w:lang w:val="de-DE"/>
        </w:rPr>
      </w:pPr>
      <w:r w:rsidRPr="009118F6">
        <w:rPr>
          <w:lang w:val="de-DE"/>
        </w:rPr>
        <w:t xml:space="preserve">Für die vorliegende Arbeit ergeben sich daraus klare Erwartungen: Der Random Forest kann die Renditeschätzung allenfalls geringfügig verbessern, und sein Mehrwert ist keineswegs garantiert, sondern muss – gerade angesichts der Überanpassungsgefahr – </w:t>
      </w:r>
      <w:r w:rsidRPr="009118F6">
        <w:rPr>
          <w:lang w:val="de-DE"/>
        </w:rPr>
        <w:lastRenderedPageBreak/>
        <w:t>sorgfältig gegen die einfacheren Strategien und gegen den Zufall geprüft werden (Kapitel 5).</w:t>
      </w:r>
    </w:p>
    <w:p w14:paraId="3099249D" w14:textId="77777777" w:rsidR="00FA1406" w:rsidRPr="009118F6" w:rsidRDefault="00000000">
      <w:pPr>
        <w:pStyle w:val="berschrift1"/>
        <w:rPr>
          <w:lang w:val="de-DE"/>
        </w:rPr>
      </w:pPr>
      <w:bookmarkStart w:id="41" w:name="methodik-des-empirischen-vergleichs"/>
      <w:bookmarkStart w:id="42" w:name="_Toc234524395"/>
      <w:bookmarkEnd w:id="31"/>
      <w:bookmarkEnd w:id="39"/>
      <w:r w:rsidRPr="009118F6">
        <w:rPr>
          <w:lang w:val="de-DE"/>
        </w:rPr>
        <w:t>4 Methodik des empirischen Vergleichs</w:t>
      </w:r>
      <w:bookmarkEnd w:id="42"/>
    </w:p>
    <w:p w14:paraId="7E1E6177" w14:textId="77777777" w:rsidR="00FA1406" w:rsidRPr="009118F6" w:rsidRDefault="00000000">
      <w:pPr>
        <w:pStyle w:val="berschrift2"/>
        <w:rPr>
          <w:lang w:val="de-DE"/>
        </w:rPr>
      </w:pPr>
      <w:bookmarkStart w:id="43" w:name="datengrundlage-und-untersuchungsdesign"/>
      <w:bookmarkStart w:id="44" w:name="_Toc234524396"/>
      <w:r w:rsidRPr="009118F6">
        <w:rPr>
          <w:lang w:val="de-DE"/>
        </w:rPr>
        <w:t>4.1 Datengrundlage und Untersuchungsdesign</w:t>
      </w:r>
      <w:bookmarkEnd w:id="44"/>
    </w:p>
    <w:p w14:paraId="6E8E088A" w14:textId="77777777" w:rsidR="00FA1406" w:rsidRPr="009118F6" w:rsidRDefault="00000000">
      <w:pPr>
        <w:pStyle w:val="FirstParagraph"/>
        <w:rPr>
          <w:lang w:val="de-DE"/>
        </w:rPr>
      </w:pPr>
      <w:r w:rsidRPr="009118F6">
        <w:rPr>
          <w:lang w:val="de-DE"/>
        </w:rPr>
        <w:t xml:space="preserve">Der empirische Vergleich beruht auf den täglichen Kursdaten von fünfzehn US-amerikanischen Large-Cap-Aktien, die über verschiedene Branchen – Technologie, Gesundheit, Finanzen, Konsum, Energie, Industrie, Telekommunikation, Immobilien und Grundstoffe – gestreut sind. Die Daten werden über die Schnittstelle von Yahoo Finance bezogen und umfassen den Zeitraum 2015 bis 2024, wobei die Jahre ab 2013 als Vorlauf zur Berechnung der Indikatoren dienen. Als Marktreferenz dient der S&amp;P-500-ETF (SPY). Aus den dividendenbereinigten Schlusskursen werden </w:t>
      </w:r>
      <w:r w:rsidRPr="009118F6">
        <w:rPr>
          <w:i/>
          <w:iCs/>
          <w:lang w:val="de-DE"/>
        </w:rPr>
        <w:t>einfache</w:t>
      </w:r>
      <w:r w:rsidRPr="009118F6">
        <w:rPr>
          <w:lang w:val="de-DE"/>
        </w:rPr>
        <w:t xml:space="preserve"> (arithmetische) Renditen berechnet,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lang w:val="de-DE"/>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lang w:val="de-DE"/>
          </w:rPr>
          <m:t>/</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lang w:val="de-DE"/>
              </w:rPr>
              <m:t>-</m:t>
            </m:r>
            <m:r>
              <w:rPr>
                <w:rFonts w:ascii="Cambria Math" w:hAnsi="Cambria Math"/>
                <w:lang w:val="de-DE"/>
              </w:rPr>
              <m:t>1</m:t>
            </m:r>
          </m:sub>
        </m:sSub>
        <m:r>
          <m:rPr>
            <m:sty m:val="p"/>
          </m:rPr>
          <w:rPr>
            <w:rFonts w:ascii="Cambria Math" w:hAnsi="Cambria Math"/>
            <w:lang w:val="de-DE"/>
          </w:rPr>
          <m:t>-</m:t>
        </m:r>
        <m:r>
          <w:rPr>
            <w:rFonts w:ascii="Cambria Math" w:hAnsi="Cambria Math"/>
            <w:lang w:val="de-DE"/>
          </w:rPr>
          <m:t>1</m:t>
        </m:r>
      </m:oMath>
      <w:r w:rsidRPr="009118F6">
        <w:rPr>
          <w:lang w:val="de-DE"/>
        </w:rPr>
        <w:t>. Diese Wahl ist bewusst: Nur bei einfachen Renditen ist die Portfoliorendite exakt die gewichtete Summe der Einzelrenditen (vgl. Abschnitt 2.3) – eine Eigenschaft, die logarithmische Renditen über mehrere Anlagen hinweg nicht besitzen. Da das Universum ausschließlich aus heute noch existierenden Titeln besteht, unterliegt die Untersuchung einem Survivorship Bias, der in Kapitel 8 ausführlich gewürdigt wird.</w:t>
      </w:r>
    </w:p>
    <w:p w14:paraId="59EA8F24" w14:textId="77777777" w:rsidR="00FA1406" w:rsidRPr="009118F6" w:rsidRDefault="00000000">
      <w:pPr>
        <w:pStyle w:val="berschrift2"/>
        <w:rPr>
          <w:lang w:val="de-DE"/>
        </w:rPr>
      </w:pPr>
      <w:bookmarkStart w:id="45" w:name="merkmalsbildung-feature-engineering"/>
      <w:bookmarkStart w:id="46" w:name="_Toc234524397"/>
      <w:bookmarkEnd w:id="43"/>
      <w:r w:rsidRPr="009118F6">
        <w:rPr>
          <w:lang w:val="de-DE"/>
        </w:rPr>
        <w:t>4.2 Merkmalsbildung (Feature Engineering)</w:t>
      </w:r>
      <w:bookmarkEnd w:id="46"/>
    </w:p>
    <w:p w14:paraId="16823F68" w14:textId="77777777" w:rsidR="00FA1406" w:rsidRPr="009118F6" w:rsidRDefault="00000000">
      <w:pPr>
        <w:pStyle w:val="FirstParagraph"/>
        <w:rPr>
          <w:lang w:val="de-DE"/>
        </w:rPr>
      </w:pPr>
      <w:r w:rsidRPr="009118F6">
        <w:rPr>
          <w:lang w:val="de-DE"/>
        </w:rPr>
        <w:t xml:space="preserve">Für den Random Forest wird jede Aktie monatlich durch einen Satz von Merkmalen beschrieben, die aus ihrer Kurshistorie berechnet werden: technische Indikatoren (RSI, MACD, Bollinger-Bänder), </w:t>
      </w:r>
      <w:proofErr w:type="spellStart"/>
      <w:r w:rsidRPr="009118F6">
        <w:rPr>
          <w:lang w:val="de-DE"/>
        </w:rPr>
        <w:t>Preismomentum</w:t>
      </w:r>
      <w:proofErr w:type="spellEnd"/>
      <w:r w:rsidRPr="009118F6">
        <w:rPr>
          <w:lang w:val="de-DE"/>
        </w:rPr>
        <w:t xml:space="preserve"> über ein, drei, sechs und zwölf Monate, die realisierte Volatilität über ein und drei Monate sowie das rollierende Alpha und Beta gegenüber dem Markt (geschätzt über eine gleitende Kleinste-Quadrate-Regression). Ergänzend erfassen </w:t>
      </w:r>
      <w:proofErr w:type="spellStart"/>
      <w:r w:rsidRPr="009118F6">
        <w:rPr>
          <w:i/>
          <w:iCs/>
          <w:lang w:val="de-DE"/>
        </w:rPr>
        <w:t>cross-sektionale</w:t>
      </w:r>
      <w:proofErr w:type="spellEnd"/>
      <w:r w:rsidRPr="009118F6">
        <w:rPr>
          <w:lang w:val="de-DE"/>
        </w:rPr>
        <w:t xml:space="preserve"> Perzentil-Ränge – etwa der Momentum- oder der RSI-Rang – die relative Stellung einer Aktie unter allen anderen im jeweiligen Monat. Die täglich berechneten Indikatoren werden zu Monatswerten verdichtet (Monatsendwerte für Niveau-Indikatoren, Durchschnitte für Momentum und Volatilität); Prognoseziel ist die Rendite des Folgemonats. Die Konzentration auf </w:t>
      </w:r>
      <w:proofErr w:type="spellStart"/>
      <w:r w:rsidRPr="009118F6">
        <w:rPr>
          <w:lang w:val="de-DE"/>
        </w:rPr>
        <w:t>momentum</w:t>
      </w:r>
      <w:proofErr w:type="spellEnd"/>
      <w:r w:rsidRPr="009118F6">
        <w:rPr>
          <w:lang w:val="de-DE"/>
        </w:rPr>
        <w:t xml:space="preserve">- und volatilitätsbasierte Merkmale ist literaturgestützt: </w:t>
      </w:r>
      <w:proofErr w:type="spellStart"/>
      <w:r w:rsidRPr="009118F6">
        <w:rPr>
          <w:lang w:val="de-DE"/>
        </w:rPr>
        <w:t>Gu</w:t>
      </w:r>
      <w:proofErr w:type="spellEnd"/>
      <w:r w:rsidRPr="009118F6">
        <w:rPr>
          <w:lang w:val="de-DE"/>
        </w:rPr>
        <w:t xml:space="preserve">, Kelly und Xiu identifizieren gerade solche Signale als </w:t>
      </w:r>
      <w:r w:rsidRPr="009118F6">
        <w:rPr>
          <w:lang w:val="de-DE"/>
        </w:rPr>
        <w:lastRenderedPageBreak/>
        <w:t>zu den informativsten für die Renditeprognose (</w:t>
      </w:r>
      <w:proofErr w:type="spellStart"/>
      <w:r w:rsidRPr="009118F6">
        <w:rPr>
          <w:lang w:val="de-DE"/>
        </w:rPr>
        <w:t>Gu</w:t>
      </w:r>
      <w:proofErr w:type="spellEnd"/>
      <w:r w:rsidRPr="009118F6">
        <w:rPr>
          <w:lang w:val="de-DE"/>
        </w:rPr>
        <w:t xml:space="preserve"> et al., 2020, S. 2223). Das </w:t>
      </w:r>
      <w:proofErr w:type="spellStart"/>
      <w:r w:rsidRPr="009118F6">
        <w:rPr>
          <w:lang w:val="de-DE"/>
        </w:rPr>
        <w:t>Preismomentum</w:t>
      </w:r>
      <w:proofErr w:type="spellEnd"/>
      <w:r w:rsidRPr="009118F6">
        <w:rPr>
          <w:lang w:val="de-DE"/>
        </w:rPr>
        <w:t xml:space="preserve"> insbesondere beruht auf dem von Jegadeesh und Titman dokumentierten Effekt, dass Aktien mit guter Vergangenheitsentwicklung über Halteperioden von drei bis zwölf Monaten signifikant positive Überschussrenditen erzielen – und umgekehrt schlechte Vergangenheits</w:t>
      </w:r>
      <w:proofErr w:type="gramStart"/>
      <w:r w:rsidRPr="009118F6">
        <w:rPr>
          <w:lang w:val="de-DE"/>
        </w:rPr>
        <w:t>-„</w:t>
      </w:r>
      <w:proofErr w:type="gramEnd"/>
      <w:r w:rsidRPr="009118F6">
        <w:rPr>
          <w:lang w:val="de-DE"/>
        </w:rPr>
        <w:t>Verlierer” weiter unterdurchschnittlich abschneiden (Jegadeesh &amp; Titman, 1993, S. 65). Die konkreten Berechnungsformeln der übrigen Indikatoren (RSI, MACD, Bollinger-Bänder) folgen der etablierten technischen Analyse und werden hier nicht im Einzelnen hergeleitet. Die im Backtest ermittelte Bedeutung der Merkmale (Feature-</w:t>
      </w:r>
      <w:proofErr w:type="spellStart"/>
      <w:r w:rsidRPr="009118F6">
        <w:rPr>
          <w:lang w:val="de-DE"/>
        </w:rPr>
        <w:t>Importance</w:t>
      </w:r>
      <w:proofErr w:type="spellEnd"/>
      <w:r w:rsidRPr="009118F6">
        <w:rPr>
          <w:lang w:val="de-DE"/>
        </w:rPr>
        <w:t>) bestätigt diese literaturgestützte Auswahl: Die einflussreichsten Prädiktoren des Random Forest sind durchweg Momentum- und Volatilitätsvarianten (Abbildung 1).</w:t>
      </w:r>
    </w:p>
    <w:p w14:paraId="1DC73EC4" w14:textId="77777777" w:rsidR="00FA1406" w:rsidRDefault="00000000">
      <w:pPr>
        <w:pStyle w:val="CaptionedFigure"/>
      </w:pPr>
      <w:r>
        <w:rPr>
          <w:noProof/>
        </w:rPr>
        <w:drawing>
          <wp:inline distT="0" distB="0" distL="0" distR="0" wp14:anchorId="77C1FE58" wp14:editId="684769CE">
            <wp:extent cx="4319999" cy="3816486"/>
            <wp:effectExtent l="0" t="0" r="0" b="0"/>
            <wp:docPr id="31" name="Picture" descr="Abbildung 1: Feature-Importance des Random Forest (mittlere Verringerung der Knoten-Unreinheit, letzter Trainingsschritt). Die einflussreichsten Prädiktoren sind Momentum- und Volatilitätsmerkmale – im Einklang mit der literaturgestützten Merkmalswahl."/>
            <wp:cNvGraphicFramePr/>
            <a:graphic xmlns:a="http://schemas.openxmlformats.org/drawingml/2006/main">
              <a:graphicData uri="http://schemas.openxmlformats.org/drawingml/2006/picture">
                <pic:pic xmlns:pic="http://schemas.openxmlformats.org/drawingml/2006/picture">
                  <pic:nvPicPr>
                    <pic:cNvPr id="32" name="Picture" descr="output1.6/07_feature_importance.png"/>
                    <pic:cNvPicPr>
                      <a:picLocks noChangeAspect="1" noChangeArrowheads="1"/>
                    </pic:cNvPicPr>
                  </pic:nvPicPr>
                  <pic:blipFill>
                    <a:blip r:embed="rId8"/>
                    <a:stretch>
                      <a:fillRect/>
                    </a:stretch>
                  </pic:blipFill>
                  <pic:spPr bwMode="auto">
                    <a:xfrm>
                      <a:off x="0" y="0"/>
                      <a:ext cx="4319999" cy="3816486"/>
                    </a:xfrm>
                    <a:prstGeom prst="rect">
                      <a:avLst/>
                    </a:prstGeom>
                    <a:noFill/>
                    <a:ln w="9525">
                      <a:noFill/>
                      <a:headEnd/>
                      <a:tailEnd/>
                    </a:ln>
                  </pic:spPr>
                </pic:pic>
              </a:graphicData>
            </a:graphic>
          </wp:inline>
        </w:drawing>
      </w:r>
    </w:p>
    <w:p w14:paraId="7FBFB1B4" w14:textId="77777777" w:rsidR="00FA1406" w:rsidRPr="009118F6" w:rsidRDefault="00000000">
      <w:pPr>
        <w:pStyle w:val="ImageCaption"/>
        <w:rPr>
          <w:lang w:val="de-DE"/>
        </w:rPr>
      </w:pPr>
      <w:r w:rsidRPr="009118F6">
        <w:rPr>
          <w:lang w:val="de-DE"/>
        </w:rPr>
        <w:t>Abbildung 1: Feature-</w:t>
      </w:r>
      <w:proofErr w:type="spellStart"/>
      <w:r w:rsidRPr="009118F6">
        <w:rPr>
          <w:lang w:val="de-DE"/>
        </w:rPr>
        <w:t>Importance</w:t>
      </w:r>
      <w:proofErr w:type="spellEnd"/>
      <w:r w:rsidRPr="009118F6">
        <w:rPr>
          <w:lang w:val="de-DE"/>
        </w:rPr>
        <w:t xml:space="preserve"> des Random Forest (mittlere Verringerung der Knoten-Unreinheit, letzter Trainingsschritt). Die einflussreichsten Prädiktoren sind Momentum- und Volatilitätsmerkmale – im Einklang mit der literaturgestützten Merkmalswahl.</w:t>
      </w:r>
    </w:p>
    <w:p w14:paraId="781131AF" w14:textId="77777777" w:rsidR="00FA1406" w:rsidRPr="009118F6" w:rsidRDefault="00000000">
      <w:pPr>
        <w:pStyle w:val="berschrift2"/>
        <w:rPr>
          <w:lang w:val="de-DE"/>
        </w:rPr>
      </w:pPr>
      <w:bookmarkStart w:id="47" w:name="Xd1064583cdbb989eaeca054847607609a27e3b5"/>
      <w:bookmarkStart w:id="48" w:name="_Toc234524398"/>
      <w:bookmarkEnd w:id="45"/>
      <w:r w:rsidRPr="009118F6">
        <w:rPr>
          <w:lang w:val="de-DE"/>
        </w:rPr>
        <w:lastRenderedPageBreak/>
        <w:t>4.3 Walk-Forward-Backtesting und die Vermeidung von Look-</w:t>
      </w:r>
      <w:proofErr w:type="spellStart"/>
      <w:r w:rsidRPr="009118F6">
        <w:rPr>
          <w:lang w:val="de-DE"/>
        </w:rPr>
        <w:t>Ahead</w:t>
      </w:r>
      <w:proofErr w:type="spellEnd"/>
      <w:r w:rsidRPr="009118F6">
        <w:rPr>
          <w:lang w:val="de-DE"/>
        </w:rPr>
        <w:t>-Bias</w:t>
      </w:r>
      <w:bookmarkEnd w:id="48"/>
    </w:p>
    <w:p w14:paraId="46AC0AF9" w14:textId="77777777" w:rsidR="00FA1406" w:rsidRPr="009118F6" w:rsidRDefault="00000000">
      <w:pPr>
        <w:pStyle w:val="FirstParagraph"/>
        <w:rPr>
          <w:lang w:val="de-DE"/>
        </w:rPr>
      </w:pPr>
      <w:r w:rsidRPr="009118F6">
        <w:rPr>
          <w:lang w:val="de-DE"/>
        </w:rPr>
        <w:t xml:space="preserve">Die Strategien werden in einem rollierenden </w:t>
      </w:r>
      <w:r w:rsidRPr="009118F6">
        <w:rPr>
          <w:i/>
          <w:iCs/>
          <w:lang w:val="de-DE"/>
        </w:rPr>
        <w:t>Walk-Forward-Backtest</w:t>
      </w:r>
      <w:r w:rsidRPr="009118F6">
        <w:rPr>
          <w:lang w:val="de-DE"/>
        </w:rPr>
        <w:t xml:space="preserve"> bewertet. Zu jedem Monatsende von 2015 bis 2024 werden ausschließlich die vorangehenden drei Jahre an Daten verwendet, um die Parameter zu schätzen und die Portfoliogewichte zu bestimmen; diese Gewichte werden anschließend über den folgenden Monat gehalten, dessen realisierte Renditen festgehalten werden. Danach wird das Fenster um einen Monat weitergeschoben und das Verfahren wiederholt. Dieses Vorgehen bildet einen realen Anleger nach, der zu jedem Zeitpunkt nur die Vergangenheit kennt. Eine zentrale methodische Gefahr ist dabei der </w:t>
      </w:r>
      <w:r w:rsidRPr="009118F6">
        <w:rPr>
          <w:i/>
          <w:iCs/>
          <w:lang w:val="de-DE"/>
        </w:rPr>
        <w:t>Look-</w:t>
      </w:r>
      <w:proofErr w:type="spellStart"/>
      <w:r w:rsidRPr="009118F6">
        <w:rPr>
          <w:i/>
          <w:iCs/>
          <w:lang w:val="de-DE"/>
        </w:rPr>
        <w:t>Ahead</w:t>
      </w:r>
      <w:proofErr w:type="spellEnd"/>
      <w:r w:rsidRPr="009118F6">
        <w:rPr>
          <w:i/>
          <w:iCs/>
          <w:lang w:val="de-DE"/>
        </w:rPr>
        <w:t>-Bias</w:t>
      </w:r>
      <w:r w:rsidRPr="009118F6">
        <w:rPr>
          <w:lang w:val="de-DE"/>
        </w:rPr>
        <w:t xml:space="preserve"> – die unbeabsichtigte Verwendung von Zukunftsinformation. Die Untersuchung begegnet ihm auf zwei Ebenen: Die Gewichte eines Monats nutzen nur Daten bis zum vorangehenden Monatsende, und für den Random Forest wird zusätzlich der letzte Trainingsmonat ausgeschlossen, weil dessen Prognoseziel – die Rendite des Folgemonats – sonst in die Halteperiode hineinreichen würde.</w:t>
      </w:r>
    </w:p>
    <w:p w14:paraId="512DCACC" w14:textId="77777777" w:rsidR="00FA1406" w:rsidRPr="009118F6" w:rsidRDefault="00000000">
      <w:pPr>
        <w:pStyle w:val="berschrift2"/>
        <w:rPr>
          <w:lang w:val="de-DE"/>
        </w:rPr>
      </w:pPr>
      <w:bookmarkStart w:id="49" w:name="transaktionskosten-und-umschlag"/>
      <w:bookmarkStart w:id="50" w:name="_Toc234524399"/>
      <w:bookmarkEnd w:id="47"/>
      <w:r w:rsidRPr="009118F6">
        <w:rPr>
          <w:lang w:val="de-DE"/>
        </w:rPr>
        <w:t>4.4 Transaktionskosten und Umschlag</w:t>
      </w:r>
      <w:bookmarkEnd w:id="50"/>
    </w:p>
    <w:p w14:paraId="64C9D3DE" w14:textId="77777777" w:rsidR="00FA1406" w:rsidRPr="009118F6" w:rsidRDefault="00000000">
      <w:pPr>
        <w:pStyle w:val="FirstParagraph"/>
        <w:rPr>
          <w:lang w:val="de-DE"/>
        </w:rPr>
      </w:pPr>
      <w:r w:rsidRPr="009118F6">
        <w:rPr>
          <w:lang w:val="de-DE"/>
        </w:rPr>
        <w:t>Jede Umschichtung verursacht Transaktionskosten, die mit 0,10 % des gehandelten Umschlags (</w:t>
      </w:r>
      <w:r w:rsidRPr="009118F6">
        <w:rPr>
          <w:i/>
          <w:iCs/>
          <w:lang w:val="de-DE"/>
        </w:rPr>
        <w:t>Turnover</w:t>
      </w:r>
      <w:r w:rsidRPr="009118F6">
        <w:rPr>
          <w:lang w:val="de-DE"/>
        </w:rPr>
        <w:t xml:space="preserve">) angesetzt werden, wobei der Turnover als </w:t>
      </w:r>
      <m:oMath>
        <m:f>
          <m:fPr>
            <m:type m:val="lin"/>
            <m:ctrlPr>
              <w:rPr>
                <w:rFonts w:ascii="Cambria Math" w:hAnsi="Cambria Math"/>
              </w:rPr>
            </m:ctrlPr>
          </m:fPr>
          <m:num>
            <m:r>
              <w:rPr>
                <w:rFonts w:ascii="Cambria Math" w:hAnsi="Cambria Math"/>
                <w:lang w:val="de-DE"/>
              </w:rPr>
              <m:t>1</m:t>
            </m:r>
          </m:num>
          <m:den>
            <m:r>
              <w:rPr>
                <w:rFonts w:ascii="Cambria Math" w:hAnsi="Cambria Math"/>
                <w:lang w:val="de-DE"/>
              </w:rPr>
              <m:t>2</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r>
              <m:rPr>
                <m:sty m:val="p"/>
              </m:rPr>
              <w:rPr>
                <w:rFonts w:ascii="Cambria Math" w:hAnsi="Cambria Math"/>
                <w:lang w:val="de-DE"/>
              </w:rPr>
              <m:t>|</m:t>
            </m:r>
          </m:e>
        </m:nary>
        <m:sSubSup>
          <m:sSubSupPr>
            <m:ctrlPr>
              <w:rPr>
                <w:rFonts w:ascii="Cambria Math" w:hAnsi="Cambria Math"/>
              </w:rPr>
            </m:ctrlPr>
          </m:sSubSupPr>
          <m:e>
            <m:r>
              <w:rPr>
                <w:rFonts w:ascii="Cambria Math" w:hAnsi="Cambria Math"/>
              </w:rPr>
              <m:t>w</m:t>
            </m:r>
          </m:e>
          <m:sub>
            <m:r>
              <w:rPr>
                <w:rFonts w:ascii="Cambria Math" w:hAnsi="Cambria Math"/>
              </w:rPr>
              <m:t>i</m:t>
            </m:r>
          </m:sub>
          <m:sup>
            <m:r>
              <m:rPr>
                <m:nor/>
              </m:rPr>
              <w:rPr>
                <w:lang w:val="de-DE"/>
              </w:rPr>
              <m:t>neu</m:t>
            </m:r>
          </m:sup>
        </m:sSubSup>
        <m:r>
          <m:rPr>
            <m:sty m:val="p"/>
          </m:rPr>
          <w:rPr>
            <w:rFonts w:ascii="Cambria Math" w:hAnsi="Cambria Math"/>
            <w:lang w:val="de-DE"/>
          </w:rPr>
          <m:t>-</m:t>
        </m:r>
        <m:sSubSup>
          <m:sSubSupPr>
            <m:ctrlPr>
              <w:rPr>
                <w:rFonts w:ascii="Cambria Math" w:hAnsi="Cambria Math"/>
              </w:rPr>
            </m:ctrlPr>
          </m:sSubSupPr>
          <m:e>
            <m:r>
              <w:rPr>
                <w:rFonts w:ascii="Cambria Math" w:hAnsi="Cambria Math"/>
              </w:rPr>
              <m:t>w</m:t>
            </m:r>
          </m:e>
          <m:sub>
            <m:r>
              <w:rPr>
                <w:rFonts w:ascii="Cambria Math" w:hAnsi="Cambria Math"/>
              </w:rPr>
              <m:t>i</m:t>
            </m:r>
          </m:sub>
          <m:sup>
            <m:r>
              <m:rPr>
                <m:nor/>
              </m:rPr>
              <w:rPr>
                <w:lang w:val="de-DE"/>
              </w:rPr>
              <m:t>alt</m:t>
            </m:r>
          </m:sup>
        </m:sSubSup>
        <m:r>
          <m:rPr>
            <m:sty m:val="p"/>
          </m:rPr>
          <w:rPr>
            <w:rFonts w:ascii="Cambria Math" w:hAnsi="Cambria Math"/>
            <w:lang w:val="de-DE"/>
          </w:rPr>
          <m:t>|</m:t>
        </m:r>
      </m:oMath>
      <w:r w:rsidRPr="009118F6">
        <w:rPr>
          <w:lang w:val="de-DE"/>
        </w:rPr>
        <w:t xml:space="preserve"> definiert ist. Um nicht systematisch umschlagsarme Strategien zu bevorzugen, wird der Turnover </w:t>
      </w:r>
      <w:r w:rsidRPr="009118F6">
        <w:rPr>
          <w:i/>
          <w:iCs/>
          <w:lang w:val="de-DE"/>
        </w:rPr>
        <w:t>driftbewusst</w:t>
      </w:r>
      <w:r w:rsidRPr="009118F6">
        <w:rPr>
          <w:lang w:val="de-DE"/>
        </w:rPr>
        <w:t xml:space="preserve"> berechnet: Die alten Gewichte werden zunächst um die Kursdrift der Halteperiode angepasst, bevor sie mit den neuen Zielgewichten verglichen werden. Der pauschale Kostensatz ist eine Vereinfachung, die Geld-Brief-Spannen und Markteinfluss vernachlässigt; diese Limitation wird in Kapitel 8 erörtert.</w:t>
      </w:r>
    </w:p>
    <w:p w14:paraId="2DD1CABC" w14:textId="77777777" w:rsidR="00FA1406" w:rsidRPr="009118F6" w:rsidRDefault="00000000">
      <w:pPr>
        <w:pStyle w:val="berschrift2"/>
        <w:rPr>
          <w:lang w:val="de-DE"/>
        </w:rPr>
      </w:pPr>
      <w:bookmarkStart w:id="51" w:name="performance-kennzahlen"/>
      <w:bookmarkStart w:id="52" w:name="_Toc234524400"/>
      <w:bookmarkEnd w:id="49"/>
      <w:r w:rsidRPr="009118F6">
        <w:rPr>
          <w:lang w:val="de-DE"/>
        </w:rPr>
        <w:t>4.5 Performance-Kennzahlen</w:t>
      </w:r>
      <w:bookmarkEnd w:id="52"/>
    </w:p>
    <w:p w14:paraId="645B5507" w14:textId="77777777" w:rsidR="00FA1406" w:rsidRPr="009118F6" w:rsidRDefault="00000000">
      <w:pPr>
        <w:pStyle w:val="FirstParagraph"/>
        <w:rPr>
          <w:lang w:val="de-DE"/>
        </w:rPr>
      </w:pPr>
      <w:r w:rsidRPr="009118F6">
        <w:rPr>
          <w:lang w:val="de-DE"/>
        </w:rPr>
        <w:t xml:space="preserve">Die Strategien werden </w:t>
      </w:r>
      <w:proofErr w:type="gramStart"/>
      <w:r w:rsidRPr="009118F6">
        <w:rPr>
          <w:lang w:val="de-DE"/>
        </w:rPr>
        <w:t>anhand mehrerer risikoadjustierter Kennzahlen</w:t>
      </w:r>
      <w:proofErr w:type="gramEnd"/>
      <w:r w:rsidRPr="009118F6">
        <w:rPr>
          <w:lang w:val="de-DE"/>
        </w:rPr>
        <w:t xml:space="preserve"> beurteilt. Die zentrale Größe ist die Sharpe Ratio (Abschnitt 2.5). Ergänzend dienen die durchschnittliche jährliche Wachstumsrate (CAGR), die annualisierte Volatilität, die Sortino Ratio – die im Unterschied zur Sharpe Ratio nur die Abwärtsschwankungen ins Verhältnis setzt –, der maximale </w:t>
      </w:r>
      <w:proofErr w:type="spellStart"/>
      <w:r w:rsidRPr="009118F6">
        <w:rPr>
          <w:lang w:val="de-DE"/>
        </w:rPr>
        <w:t>Drawdown</w:t>
      </w:r>
      <w:proofErr w:type="spellEnd"/>
      <w:r w:rsidRPr="009118F6">
        <w:rPr>
          <w:lang w:val="de-DE"/>
        </w:rPr>
        <w:t xml:space="preserve"> (der größte zwischenzeitliche Verlust vom Hoch zum Tief) sowie die </w:t>
      </w:r>
      <w:proofErr w:type="spellStart"/>
      <w:r w:rsidRPr="009118F6">
        <w:rPr>
          <w:lang w:val="de-DE"/>
        </w:rPr>
        <w:t>Calmar</w:t>
      </w:r>
      <w:proofErr w:type="spellEnd"/>
      <w:r w:rsidRPr="009118F6">
        <w:rPr>
          <w:lang w:val="de-DE"/>
        </w:rPr>
        <w:t xml:space="preserve"> Ratio (CAGR im Verhältnis zum maximalen </w:t>
      </w:r>
      <w:proofErr w:type="spellStart"/>
      <w:r w:rsidRPr="009118F6">
        <w:rPr>
          <w:lang w:val="de-DE"/>
        </w:rPr>
        <w:t>Drawdown</w:t>
      </w:r>
      <w:proofErr w:type="spellEnd"/>
      <w:r w:rsidRPr="009118F6">
        <w:rPr>
          <w:lang w:val="de-DE"/>
        </w:rPr>
        <w:t xml:space="preserve">). Durchgängig wird ein </w:t>
      </w:r>
      <w:r w:rsidRPr="009118F6">
        <w:rPr>
          <w:lang w:val="de-DE"/>
        </w:rPr>
        <w:lastRenderedPageBreak/>
        <w:t>risikofreier Zins von 4 % p. a. unterstellt; die Annahme eines konstanten Satzes über den gesamten Zeitraum ist eine Vereinfachung (Kapitel 8).</w:t>
      </w:r>
    </w:p>
    <w:p w14:paraId="1ED9D95E" w14:textId="77777777" w:rsidR="00FA1406" w:rsidRPr="009118F6" w:rsidRDefault="00000000">
      <w:pPr>
        <w:pStyle w:val="berschrift2"/>
        <w:rPr>
          <w:lang w:val="de-DE"/>
        </w:rPr>
      </w:pPr>
      <w:bookmarkStart w:id="53" w:name="die-vier-verglichenen-strategien"/>
      <w:bookmarkStart w:id="54" w:name="_Toc234524401"/>
      <w:bookmarkEnd w:id="51"/>
      <w:r w:rsidRPr="009118F6">
        <w:rPr>
          <w:lang w:val="de-DE"/>
        </w:rPr>
        <w:t>4.6 Die vier verglichenen Strategien</w:t>
      </w:r>
      <w:bookmarkEnd w:id="54"/>
    </w:p>
    <w:p w14:paraId="2674AD3D" w14:textId="77777777" w:rsidR="00FA1406" w:rsidRPr="009118F6" w:rsidRDefault="00000000">
      <w:pPr>
        <w:pStyle w:val="FirstParagraph"/>
        <w:rPr>
          <w:lang w:val="de-DE"/>
        </w:rPr>
      </w:pPr>
      <w:r w:rsidRPr="009118F6">
        <w:rPr>
          <w:lang w:val="de-DE"/>
        </w:rPr>
        <w:t xml:space="preserve">Verglichen werden vier Strategien, die sich aus den Kapiteln 2 und 3 ergeben. Die </w:t>
      </w:r>
      <w:r w:rsidRPr="009118F6">
        <w:rPr>
          <w:b/>
          <w:bCs/>
          <w:lang w:val="de-DE"/>
        </w:rPr>
        <w:t>Markowitz-MVO</w:t>
      </w:r>
      <w:r w:rsidRPr="009118F6">
        <w:rPr>
          <w:lang w:val="de-DE"/>
        </w:rPr>
        <w:t xml:space="preserve"> schätzt die Kovarianzmatrix nach </w:t>
      </w:r>
      <w:proofErr w:type="spellStart"/>
      <w:r w:rsidRPr="009118F6">
        <w:rPr>
          <w:lang w:val="de-DE"/>
        </w:rPr>
        <w:t>Ledoit</w:t>
      </w:r>
      <w:proofErr w:type="spellEnd"/>
      <w:r w:rsidRPr="009118F6">
        <w:rPr>
          <w:lang w:val="de-DE"/>
        </w:rPr>
        <w:t xml:space="preserve">-Wolf (Abschnitt 2.7) und bestimmt </w:t>
      </w:r>
      <w:proofErr w:type="spellStart"/>
      <w:r w:rsidRPr="009118F6">
        <w:rPr>
          <w:lang w:val="de-DE"/>
        </w:rPr>
        <w:t>long-only</w:t>
      </w:r>
      <w:proofErr w:type="spellEnd"/>
      <w:r w:rsidRPr="009118F6">
        <w:rPr>
          <w:lang w:val="de-DE"/>
        </w:rPr>
        <w:t xml:space="preserve"> sowie mit einer Positionsobergrenze von 20 % je Titel das Sharpe-maximale Portfolio (Abschnitt 2.4). Der </w:t>
      </w:r>
      <w:r w:rsidRPr="009118F6">
        <w:rPr>
          <w:b/>
          <w:bCs/>
          <w:lang w:val="de-DE"/>
        </w:rPr>
        <w:t>Random Forest</w:t>
      </w:r>
      <w:r w:rsidRPr="009118F6">
        <w:rPr>
          <w:lang w:val="de-DE"/>
        </w:rPr>
        <w:t xml:space="preserve"> prognostiziert die Renditen des Folgemonats und speist diese als erwartete Renditen in dieselbe Sharpe-Maximierung ein. </w:t>
      </w:r>
      <w:proofErr w:type="spellStart"/>
      <w:r w:rsidRPr="009118F6">
        <w:rPr>
          <w:b/>
          <w:bCs/>
          <w:lang w:val="de-DE"/>
        </w:rPr>
        <w:t>Equal</w:t>
      </w:r>
      <w:proofErr w:type="spellEnd"/>
      <w:r w:rsidRPr="009118F6">
        <w:rPr>
          <w:b/>
          <w:bCs/>
          <w:lang w:val="de-DE"/>
        </w:rPr>
        <w:t xml:space="preserve"> Weight</w:t>
      </w:r>
      <w:r w:rsidRPr="009118F6">
        <w:rPr>
          <w:lang w:val="de-DE"/>
        </w:rPr>
        <w:t xml:space="preserve"> verteilt das Vermögen gleichmäßig auf alle Titel (1/N) und dient als Benchmark (Abschnitt 2.9). </w:t>
      </w:r>
      <w:r w:rsidRPr="009118F6">
        <w:rPr>
          <w:b/>
          <w:bCs/>
          <w:lang w:val="de-DE"/>
        </w:rPr>
        <w:t>Risk Parity</w:t>
      </w:r>
      <w:r w:rsidRPr="009118F6">
        <w:rPr>
          <w:lang w:val="de-DE"/>
        </w:rPr>
        <w:t xml:space="preserve"> schließlich gewichtet so, dass jede Anlage denselben Beitrag zum Gesamtrisiko leistet (Abschnitt 2.10), und dient als zusätzliche, rein risikobasierte Vergleichsstrategie.</w:t>
      </w:r>
    </w:p>
    <w:p w14:paraId="6526B894" w14:textId="77777777" w:rsidR="00FA1406" w:rsidRPr="009118F6" w:rsidRDefault="00000000">
      <w:pPr>
        <w:pStyle w:val="berschrift1"/>
        <w:rPr>
          <w:lang w:val="de-DE"/>
        </w:rPr>
      </w:pPr>
      <w:bookmarkStart w:id="55" w:name="statistische-signifikanz-und-robustheit"/>
      <w:bookmarkStart w:id="56" w:name="_Toc234524402"/>
      <w:bookmarkEnd w:id="41"/>
      <w:bookmarkEnd w:id="53"/>
      <w:r w:rsidRPr="009118F6">
        <w:rPr>
          <w:lang w:val="de-DE"/>
        </w:rPr>
        <w:t>5 Statistische Signifikanz und Robustheit</w:t>
      </w:r>
      <w:bookmarkEnd w:id="56"/>
    </w:p>
    <w:p w14:paraId="1983E12E" w14:textId="77777777" w:rsidR="00FA1406" w:rsidRPr="009118F6" w:rsidRDefault="00000000">
      <w:pPr>
        <w:pStyle w:val="berschrift2"/>
        <w:rPr>
          <w:lang w:val="de-DE"/>
        </w:rPr>
      </w:pPr>
      <w:bookmarkStart w:id="57" w:name="das-grundproblem-zufall-oder-können"/>
      <w:bookmarkStart w:id="58" w:name="_Toc234524403"/>
      <w:r w:rsidRPr="009118F6">
        <w:rPr>
          <w:lang w:val="de-DE"/>
        </w:rPr>
        <w:t>5.1 Das Grundproblem: Zufall oder Können?</w:t>
      </w:r>
      <w:bookmarkEnd w:id="58"/>
    </w:p>
    <w:p w14:paraId="73626C43" w14:textId="77777777" w:rsidR="00FA1406" w:rsidRPr="009118F6" w:rsidRDefault="00000000">
      <w:pPr>
        <w:pStyle w:val="FirstParagraph"/>
        <w:rPr>
          <w:lang w:val="de-DE"/>
        </w:rPr>
      </w:pPr>
      <w:r w:rsidRPr="009118F6">
        <w:rPr>
          <w:lang w:val="de-DE"/>
        </w:rPr>
        <w:t>Der gesamte empirische Vergleich beruht auf einem einzigen historischen Pfad (2015–2024). Bereits Sharpe betont, dass historische (ex-post-)Sharpe-</w:t>
      </w:r>
      <w:proofErr w:type="spellStart"/>
      <w:r w:rsidRPr="009118F6">
        <w:rPr>
          <w:lang w:val="de-DE"/>
        </w:rPr>
        <w:t>Ratios</w:t>
      </w:r>
      <w:proofErr w:type="spellEnd"/>
      <w:r w:rsidRPr="009118F6">
        <w:rPr>
          <w:lang w:val="de-DE"/>
        </w:rPr>
        <w:t xml:space="preserve"> nur eingeschränkt als Schätzer der wahren (ex-ante-)Werte taugen (Sharpe, 1994, S. 13), und Lo zeigt, dass Sharpe Ratios als Schätzer einen Standardfehler besitzen (Abschnitt 2.5) (Lo, 2002, S. 36). Stellt man also fest, dass eine Strategie eine höhere Sharpe Ratio erzielt als eine andere, so ist zu klären, ob dieser Unterschied </w:t>
      </w:r>
      <w:r w:rsidRPr="009118F6">
        <w:rPr>
          <w:i/>
          <w:iCs/>
          <w:lang w:val="de-DE"/>
        </w:rPr>
        <w:t>real</w:t>
      </w:r>
      <w:r w:rsidRPr="009118F6">
        <w:rPr>
          <w:lang w:val="de-DE"/>
        </w:rPr>
        <w:t xml:space="preserve"> ist oder bloß ein </w:t>
      </w:r>
      <w:r w:rsidRPr="009118F6">
        <w:rPr>
          <w:i/>
          <w:iCs/>
          <w:lang w:val="de-DE"/>
        </w:rPr>
        <w:t>Zufall</w:t>
      </w:r>
      <w:r w:rsidRPr="009118F6">
        <w:rPr>
          <w:lang w:val="de-DE"/>
        </w:rPr>
        <w:t xml:space="preserve"> des betrachteten Zeitraums.</w:t>
      </w:r>
    </w:p>
    <w:p w14:paraId="21E03C47" w14:textId="77777777" w:rsidR="00FA1406" w:rsidRPr="009118F6" w:rsidRDefault="00000000">
      <w:pPr>
        <w:pStyle w:val="Textkrper"/>
        <w:rPr>
          <w:lang w:val="de-DE"/>
        </w:rPr>
      </w:pPr>
      <w:r w:rsidRPr="009118F6">
        <w:rPr>
          <w:lang w:val="de-DE"/>
        </w:rPr>
        <w:t xml:space="preserve">Der naheliegende formale Test auf Gleichheit zweier Sharpe </w:t>
      </w:r>
      <w:proofErr w:type="spellStart"/>
      <w:r w:rsidRPr="009118F6">
        <w:rPr>
          <w:lang w:val="de-DE"/>
        </w:rPr>
        <w:t>Ratios</w:t>
      </w:r>
      <w:proofErr w:type="spellEnd"/>
      <w:r w:rsidRPr="009118F6">
        <w:rPr>
          <w:lang w:val="de-DE"/>
        </w:rPr>
        <w:t xml:space="preserve"> ist jener von Jobson und </w:t>
      </w:r>
      <w:proofErr w:type="spellStart"/>
      <w:r w:rsidRPr="009118F6">
        <w:rPr>
          <w:lang w:val="de-DE"/>
        </w:rPr>
        <w:t>Korkie</w:t>
      </w:r>
      <w:proofErr w:type="spellEnd"/>
      <w:r w:rsidRPr="009118F6">
        <w:rPr>
          <w:lang w:val="de-DE"/>
        </w:rPr>
        <w:t xml:space="preserve"> (1981) in der durch Memmel (2003) korrigierten Fassung. </w:t>
      </w:r>
      <w:proofErr w:type="spellStart"/>
      <w:r w:rsidRPr="009118F6">
        <w:rPr>
          <w:lang w:val="de-DE"/>
        </w:rPr>
        <w:t>Ledoit</w:t>
      </w:r>
      <w:proofErr w:type="spellEnd"/>
      <w:r w:rsidRPr="009118F6">
        <w:rPr>
          <w:lang w:val="de-DE"/>
        </w:rPr>
        <w:t xml:space="preserve"> und Wolf zeigen jedoch, dass dieser Test ungültig wird, sobald die Renditen schwerere Ränder als die Normalverteilung aufweisen oder zeitlich abhängig sind (</w:t>
      </w:r>
      <w:proofErr w:type="spellStart"/>
      <w:r w:rsidRPr="009118F6">
        <w:rPr>
          <w:lang w:val="de-DE"/>
        </w:rPr>
        <w:t>Ledoit</w:t>
      </w:r>
      <w:proofErr w:type="spellEnd"/>
      <w:r w:rsidRPr="009118F6">
        <w:rPr>
          <w:lang w:val="de-DE"/>
        </w:rPr>
        <w:t xml:space="preserve"> &amp; Wolf, 2008, S. 850). Beides ist bei Finanzrenditen die Regel: Schwere Ränder sind eine bekannte Eigenschaft, und selbst Aktien- und Fondsrenditen zeigen häufig eine Korrelation der quadrierten Renditen, also Volatilitäts-Clustering (</w:t>
      </w:r>
      <w:proofErr w:type="spellStart"/>
      <w:r w:rsidRPr="009118F6">
        <w:rPr>
          <w:lang w:val="de-DE"/>
        </w:rPr>
        <w:t>Ledoit</w:t>
      </w:r>
      <w:proofErr w:type="spellEnd"/>
      <w:r w:rsidRPr="009118F6">
        <w:rPr>
          <w:lang w:val="de-DE"/>
        </w:rPr>
        <w:t xml:space="preserve"> &amp; Wolf, 2008, S. 850). Der Grund für die Ungültigkeit liegt darin, dass die klassische Formel für die asymptotische Kovarianz der </w:t>
      </w:r>
      <w:r w:rsidRPr="009118F6">
        <w:rPr>
          <w:lang w:val="de-DE"/>
        </w:rPr>
        <w:lastRenderedPageBreak/>
        <w:t>Momente entscheidend auf unabhängig und normalverteilten Daten beruht (</w:t>
      </w:r>
      <w:proofErr w:type="spellStart"/>
      <w:r w:rsidRPr="009118F6">
        <w:rPr>
          <w:lang w:val="de-DE"/>
        </w:rPr>
        <w:t>Ledoit</w:t>
      </w:r>
      <w:proofErr w:type="spellEnd"/>
      <w:r w:rsidRPr="009118F6">
        <w:rPr>
          <w:lang w:val="de-DE"/>
        </w:rPr>
        <w:t xml:space="preserve"> &amp; Wolf, 2008, S. 851). Ein belastbarer Vergleich erfordert daher ein robusteres Verfahren.</w:t>
      </w:r>
    </w:p>
    <w:p w14:paraId="327545E3" w14:textId="77777777" w:rsidR="00FA1406" w:rsidRPr="009118F6" w:rsidRDefault="00000000">
      <w:pPr>
        <w:pStyle w:val="berschrift2"/>
        <w:rPr>
          <w:lang w:val="de-DE"/>
        </w:rPr>
      </w:pPr>
      <w:bookmarkStart w:id="59" w:name="der-robuste-sharpe-differenz-test"/>
      <w:bookmarkStart w:id="60" w:name="_Toc234524404"/>
      <w:bookmarkEnd w:id="57"/>
      <w:r w:rsidRPr="009118F6">
        <w:rPr>
          <w:lang w:val="de-DE"/>
        </w:rPr>
        <w:t>5.2 Der robuste Sharpe-Differenz-Test</w:t>
      </w:r>
      <w:bookmarkEnd w:id="60"/>
    </w:p>
    <w:p w14:paraId="5806E3FD" w14:textId="77777777" w:rsidR="00FA1406" w:rsidRPr="009118F6" w:rsidRDefault="00000000">
      <w:pPr>
        <w:pStyle w:val="FirstParagraph"/>
        <w:rPr>
          <w:lang w:val="de-DE"/>
        </w:rPr>
      </w:pPr>
      <w:proofErr w:type="spellStart"/>
      <w:r w:rsidRPr="009118F6">
        <w:rPr>
          <w:lang w:val="de-DE"/>
        </w:rPr>
        <w:t>Ledoit</w:t>
      </w:r>
      <w:proofErr w:type="spellEnd"/>
      <w:r w:rsidRPr="009118F6">
        <w:rPr>
          <w:lang w:val="de-DE"/>
        </w:rPr>
        <w:t xml:space="preserve"> und Wolf schlagen vor, die Differenz der beiden Sharpe </w:t>
      </w:r>
      <w:proofErr w:type="spellStart"/>
      <w:r w:rsidRPr="009118F6">
        <w:rPr>
          <w:lang w:val="de-DE"/>
        </w:rPr>
        <w:t>Ratios</w:t>
      </w:r>
      <w:proofErr w:type="spellEnd"/>
      <w:r w:rsidRPr="009118F6">
        <w:rPr>
          <w:lang w:val="de-DE"/>
        </w:rPr>
        <w:t xml:space="preserve">, </w:t>
      </w:r>
      <m:oMath>
        <m:r>
          <m:rPr>
            <m:sty m:val="p"/>
          </m:rPr>
          <w:rPr>
            <w:rFonts w:ascii="Cambria Math" w:hAnsi="Cambria Math"/>
          </w:rPr>
          <m:t>Δ</m:t>
        </m:r>
        <m:r>
          <m:rPr>
            <m:sty m:val="p"/>
          </m:rPr>
          <w:rPr>
            <w:rFonts w:ascii="Cambria Math" w:hAnsi="Cambria Math"/>
            <w:lang w:val="de-DE"/>
          </w:rPr>
          <m:t>=</m:t>
        </m:r>
        <m:r>
          <w:rPr>
            <w:rFonts w:ascii="Cambria Math" w:hAnsi="Cambria Math"/>
          </w:rPr>
          <m:t>S</m:t>
        </m:r>
        <m:sSub>
          <m:sSubPr>
            <m:ctrlPr>
              <w:rPr>
                <w:rFonts w:ascii="Cambria Math" w:hAnsi="Cambria Math"/>
              </w:rPr>
            </m:ctrlPr>
          </m:sSubPr>
          <m:e>
            <m:r>
              <w:rPr>
                <w:rFonts w:ascii="Cambria Math" w:hAnsi="Cambria Math"/>
                <w:lang w:val="de-DE"/>
              </w:rPr>
              <m:t>h</m:t>
            </m:r>
          </m:e>
          <m:sub>
            <m:r>
              <w:rPr>
                <w:rFonts w:ascii="Cambria Math" w:hAnsi="Cambria Math"/>
              </w:rPr>
              <m:t>i</m:t>
            </m:r>
          </m:sub>
        </m:sSub>
        <m:r>
          <m:rPr>
            <m:sty m:val="p"/>
          </m:rPr>
          <w:rPr>
            <w:rFonts w:ascii="Cambria Math" w:hAnsi="Cambria Math"/>
            <w:lang w:val="de-DE"/>
          </w:rPr>
          <m:t>-</m:t>
        </m:r>
        <m:r>
          <w:rPr>
            <w:rFonts w:ascii="Cambria Math" w:hAnsi="Cambria Math"/>
          </w:rPr>
          <m:t>S</m:t>
        </m:r>
        <m:sSub>
          <m:sSubPr>
            <m:ctrlPr>
              <w:rPr>
                <w:rFonts w:ascii="Cambria Math" w:hAnsi="Cambria Math"/>
              </w:rPr>
            </m:ctrlPr>
          </m:sSubPr>
          <m:e>
            <m:r>
              <w:rPr>
                <w:rFonts w:ascii="Cambria Math" w:hAnsi="Cambria Math"/>
                <w:lang w:val="de-DE"/>
              </w:rPr>
              <m:t>h</m:t>
            </m:r>
          </m:e>
          <m:sub>
            <m:r>
              <w:rPr>
                <w:rFonts w:ascii="Cambria Math" w:hAnsi="Cambria Math"/>
              </w:rPr>
              <m:t>n</m:t>
            </m:r>
          </m:sub>
        </m:sSub>
      </m:oMath>
      <w:r w:rsidRPr="009118F6">
        <w:rPr>
          <w:lang w:val="de-DE"/>
        </w:rPr>
        <w:t xml:space="preserve">, mit robusten Inferenzmethoden zu prüfen (Ledoit &amp; Wolf, 2008, S. 850). Da sich </w:t>
      </w:r>
      <m:oMath>
        <m:r>
          <m:rPr>
            <m:sty m:val="p"/>
          </m:rPr>
          <w:rPr>
            <w:rFonts w:ascii="Cambria Math" w:hAnsi="Cambria Math"/>
          </w:rPr>
          <m:t>Δ</m:t>
        </m:r>
      </m:oMath>
      <w:r w:rsidRPr="009118F6">
        <w:rPr>
          <w:lang w:val="de-DE"/>
        </w:rPr>
        <w:t xml:space="preserve"> als glatte Funktion der Momentvektoren schreiben lässt, ergibt die Delta-Methode ihre asymptotische Verteilung und einen Standardfehler </w:t>
      </w:r>
      <m:oMath>
        <m:r>
          <w:rPr>
            <w:rFonts w:ascii="Cambria Math" w:hAnsi="Cambria Math"/>
          </w:rPr>
          <m:t>s</m:t>
        </m:r>
        <m:r>
          <m:rPr>
            <m:sty m:val="p"/>
          </m:rPr>
          <w:rPr>
            <w:rFonts w:ascii="Cambria Math" w:hAnsi="Cambria Math"/>
            <w:lang w:val="de-DE"/>
          </w:rPr>
          <m:t>(</m:t>
        </m:r>
        <m:acc>
          <m:accPr>
            <m:ctrlPr>
              <w:rPr>
                <w:rFonts w:ascii="Cambria Math" w:hAnsi="Cambria Math"/>
              </w:rPr>
            </m:ctrlPr>
          </m:accPr>
          <m:e>
            <m:r>
              <m:rPr>
                <m:sty m:val="p"/>
              </m:rPr>
              <w:rPr>
                <w:rFonts w:ascii="Cambria Math" w:hAnsi="Cambria Math"/>
              </w:rPr>
              <m:t>Δ</m:t>
            </m:r>
          </m:e>
        </m:acc>
        <m:r>
          <m:rPr>
            <m:sty m:val="p"/>
          </m:rPr>
          <w:rPr>
            <w:rFonts w:ascii="Cambria Math" w:hAnsi="Cambria Math"/>
            <w:lang w:val="de-DE"/>
          </w:rPr>
          <m:t>)</m:t>
        </m:r>
      </m:oMath>
      <w:r w:rsidRPr="009118F6">
        <w:rPr>
          <w:lang w:val="de-DE"/>
        </w:rPr>
        <w:t xml:space="preserve"> (</w:t>
      </w:r>
      <w:proofErr w:type="spellStart"/>
      <w:r w:rsidRPr="009118F6">
        <w:rPr>
          <w:lang w:val="de-DE"/>
        </w:rPr>
        <w:t>Ledoit</w:t>
      </w:r>
      <w:proofErr w:type="spellEnd"/>
      <w:r w:rsidRPr="009118F6">
        <w:rPr>
          <w:lang w:val="de-DE"/>
        </w:rPr>
        <w:t xml:space="preserve"> &amp; Wolf, 2008, S. 851 f.). Weil die Renditen zeitlich abhängig sind, wird die hierfür benötigte langfristige Kovarianzmatrix mit einem </w:t>
      </w:r>
      <w:proofErr w:type="spellStart"/>
      <w:r w:rsidRPr="009118F6">
        <w:rPr>
          <w:lang w:val="de-DE"/>
        </w:rPr>
        <w:t>heteroskedastie</w:t>
      </w:r>
      <w:proofErr w:type="spellEnd"/>
      <w:r w:rsidRPr="009118F6">
        <w:rPr>
          <w:lang w:val="de-DE"/>
        </w:rPr>
        <w:t>- und autokorrelationsrobusten (HAC-)Kernschätzer bestimmt (</w:t>
      </w:r>
      <w:proofErr w:type="spellStart"/>
      <w:r w:rsidRPr="009118F6">
        <w:rPr>
          <w:lang w:val="de-DE"/>
        </w:rPr>
        <w:t>Ledoit</w:t>
      </w:r>
      <w:proofErr w:type="spellEnd"/>
      <w:r w:rsidRPr="009118F6">
        <w:rPr>
          <w:lang w:val="de-DE"/>
        </w:rPr>
        <w:t xml:space="preserve"> &amp; Wolf, 2008, S. 852).</w:t>
      </w:r>
    </w:p>
    <w:p w14:paraId="1B65488A" w14:textId="77777777" w:rsidR="00FA1406" w:rsidRPr="009118F6" w:rsidRDefault="00000000">
      <w:pPr>
        <w:pStyle w:val="Textkrper"/>
        <w:rPr>
          <w:lang w:val="de-DE"/>
        </w:rPr>
      </w:pPr>
      <w:r w:rsidRPr="009118F6">
        <w:rPr>
          <w:lang w:val="de-DE"/>
        </w:rPr>
        <w:t>Da rein asymptotische HAC-Inferenz bei kleinen bis mittleren Stichproben dazu neigt, eine wahre Nullhypothese zu häufig abzulehnen (</w:t>
      </w:r>
      <w:proofErr w:type="spellStart"/>
      <w:r w:rsidRPr="009118F6">
        <w:rPr>
          <w:lang w:val="de-DE"/>
        </w:rPr>
        <w:t>Ledoit</w:t>
      </w:r>
      <w:proofErr w:type="spellEnd"/>
      <w:r w:rsidRPr="009118F6">
        <w:rPr>
          <w:lang w:val="de-DE"/>
        </w:rPr>
        <w:t xml:space="preserve"> &amp; Wolf, 2008, S. 853), empfehlen </w:t>
      </w:r>
      <w:proofErr w:type="spellStart"/>
      <w:r w:rsidRPr="009118F6">
        <w:rPr>
          <w:lang w:val="de-DE"/>
        </w:rPr>
        <w:t>Ledoit</w:t>
      </w:r>
      <w:proofErr w:type="spellEnd"/>
      <w:r w:rsidRPr="009118F6">
        <w:rPr>
          <w:lang w:val="de-DE"/>
        </w:rPr>
        <w:t xml:space="preserve"> und Wolf ein verbessertes Verfahren: einen </w:t>
      </w:r>
      <w:proofErr w:type="spellStart"/>
      <w:r w:rsidRPr="009118F6">
        <w:rPr>
          <w:i/>
          <w:iCs/>
          <w:lang w:val="de-DE"/>
        </w:rPr>
        <w:t>studentisierten</w:t>
      </w:r>
      <w:proofErr w:type="spellEnd"/>
      <w:r w:rsidRPr="009118F6">
        <w:rPr>
          <w:i/>
          <w:iCs/>
          <w:lang w:val="de-DE"/>
        </w:rPr>
        <w:t xml:space="preserve"> Time-Series-Bootstrap</w:t>
      </w:r>
      <w:r w:rsidRPr="009118F6">
        <w:rPr>
          <w:lang w:val="de-DE"/>
        </w:rPr>
        <w:t xml:space="preserve">. Getestet wird, indem ein zweiseitiges Bootstrap-Konfidenzintervall für </w:t>
      </w:r>
      <m:oMath>
        <m:r>
          <m:rPr>
            <m:sty m:val="p"/>
          </m:rPr>
          <w:rPr>
            <w:rFonts w:ascii="Cambria Math" w:hAnsi="Cambria Math"/>
          </w:rPr>
          <m:t>Δ</m:t>
        </m:r>
      </m:oMath>
      <w:r w:rsidRPr="009118F6">
        <w:rPr>
          <w:lang w:val="de-DE"/>
        </w:rPr>
        <w:t xml:space="preserve"> konstruiert wird; enthält es die Null nicht, gilt der Unterschied als signifikant (Ledoit &amp; Wolf, 2008, S. 853). Der Vorzug dieses indirekten Vorgehens besteht darin, dass man einfach aus den beobachteten Daten ziehen kann, statt aus künstlich an die Nullhypothese angepassten Daten (Ledoit &amp; Wolf, 2008, S. 853). Für die zeitabhängigen Finanzdaten verwenden Ledoit und Wolf den </w:t>
      </w:r>
      <w:proofErr w:type="spellStart"/>
      <w:r w:rsidRPr="009118F6">
        <w:rPr>
          <w:i/>
          <w:iCs/>
          <w:lang w:val="de-DE"/>
        </w:rPr>
        <w:t>Circular</w:t>
      </w:r>
      <w:proofErr w:type="spellEnd"/>
      <w:r w:rsidRPr="009118F6">
        <w:rPr>
          <w:i/>
          <w:iCs/>
          <w:lang w:val="de-DE"/>
        </w:rPr>
        <w:t xml:space="preserve"> Block Bootstrap</w:t>
      </w:r>
      <w:r w:rsidRPr="009118F6">
        <w:rPr>
          <w:lang w:val="de-DE"/>
        </w:rPr>
        <w:t>, der nicht einzelne Beobachtungen, sondern ganze Blöcke fester Länge mit Zurücklegen zieht und so die zeitliche Abhängigkeitsstruktur – etwa das Volatilitäts-Clustering – erhält (</w:t>
      </w:r>
      <w:proofErr w:type="spellStart"/>
      <w:r w:rsidRPr="009118F6">
        <w:rPr>
          <w:lang w:val="de-DE"/>
        </w:rPr>
        <w:t>Ledoit</w:t>
      </w:r>
      <w:proofErr w:type="spellEnd"/>
      <w:r w:rsidRPr="009118F6">
        <w:rPr>
          <w:lang w:val="de-DE"/>
        </w:rPr>
        <w:t xml:space="preserve"> &amp; Wolf, 2008, S. 854). Solche Block-</w:t>
      </w:r>
      <w:proofErr w:type="spellStart"/>
      <w:r w:rsidRPr="009118F6">
        <w:rPr>
          <w:lang w:val="de-DE"/>
        </w:rPr>
        <w:t>Resampling</w:t>
      </w:r>
      <w:proofErr w:type="spellEnd"/>
      <w:r w:rsidRPr="009118F6">
        <w:rPr>
          <w:lang w:val="de-DE"/>
        </w:rPr>
        <w:t>-Verfahren wurden von Politis und Romano für schwach abhängige, stationäre Zeitreihen entwickelt, bei denen das gewöhnliche Bootstrap-Ziehen einzelner Beobachtungen die Abhängigkeitsstruktur zerstören würde (Politis &amp; Romano, 1994, S. 1303). Bei schweren Rändern oder Zeitreihenstruktur liefert dieses Verfahren vorsichtigere (konservativere) Schlüsse als die naive Normalverteilungsannahme (</w:t>
      </w:r>
      <w:proofErr w:type="spellStart"/>
      <w:r w:rsidRPr="009118F6">
        <w:rPr>
          <w:lang w:val="de-DE"/>
        </w:rPr>
        <w:t>Ledoit</w:t>
      </w:r>
      <w:proofErr w:type="spellEnd"/>
      <w:r w:rsidRPr="009118F6">
        <w:rPr>
          <w:lang w:val="de-DE"/>
        </w:rPr>
        <w:t xml:space="preserve"> &amp; Wolf, 2008, S. 853). Genau dieser Test bildet das zentrale Signifikanzwerkzeug der vorliegenden Arbeit.</w:t>
      </w:r>
    </w:p>
    <w:p w14:paraId="179C91A1" w14:textId="77777777" w:rsidR="00FA1406" w:rsidRPr="009118F6" w:rsidRDefault="00000000">
      <w:pPr>
        <w:pStyle w:val="berschrift2"/>
        <w:rPr>
          <w:lang w:val="de-DE"/>
        </w:rPr>
      </w:pPr>
      <w:bookmarkStart w:id="61" w:name="das-problem-des-multiplen-testens"/>
      <w:bookmarkStart w:id="62" w:name="_Toc234524405"/>
      <w:bookmarkEnd w:id="59"/>
      <w:r w:rsidRPr="009118F6">
        <w:rPr>
          <w:lang w:val="de-DE"/>
        </w:rPr>
        <w:lastRenderedPageBreak/>
        <w:t>5.3 Das Problem des multiplen Testens</w:t>
      </w:r>
      <w:bookmarkEnd w:id="62"/>
    </w:p>
    <w:p w14:paraId="6C8B8981" w14:textId="77777777" w:rsidR="00FA1406" w:rsidRPr="009118F6" w:rsidRDefault="00000000">
      <w:pPr>
        <w:pStyle w:val="FirstParagraph"/>
        <w:rPr>
          <w:lang w:val="de-DE"/>
        </w:rPr>
      </w:pPr>
      <w:r w:rsidRPr="009118F6">
        <w:rPr>
          <w:lang w:val="de-DE"/>
        </w:rPr>
        <w:t xml:space="preserve">Der robuste Einzeltest aus Abschnitt 5.2 löst ein weiteres Problem noch nicht: In dieser Arbeit werden mehrere Strategien zugleich verglichen, sodass nicht ein einzelner, sondern mehrere paarweise Tests durchgeführt werden. Harvey, Liu und Zhu zeigen, dass dies die Gefahr von Fehlschlüssen erhöht – wer hinreichend viele Hypothesen prüft, findet irgendwann </w:t>
      </w:r>
      <w:r w:rsidRPr="009118F6">
        <w:rPr>
          <w:i/>
          <w:iCs/>
          <w:lang w:val="de-DE"/>
        </w:rPr>
        <w:t>zufällig</w:t>
      </w:r>
      <w:r w:rsidRPr="009118F6">
        <w:rPr>
          <w:lang w:val="de-DE"/>
        </w:rPr>
        <w:t xml:space="preserve"> ein „signifikantes” Ergebnis, weshalb die üblichen Signifikanzschwellen beim multiplen Testen zu großzügig sind (Harvey et al., 2014, S. 5). Für die Entdeckung eines neuen Faktors fordern sie deshalb eine deutlich höhere Hürde – einen t-Wert über 3,0 statt der konventionellen 2,0 – und folgern, dass die meisten in der Finanzökonomie behaupteten Befunde wahrscheinlich falsch sind (Harvey et al., 2014, S. 1).</w:t>
      </w:r>
    </w:p>
    <w:p w14:paraId="402706A9" w14:textId="77777777" w:rsidR="00FA1406" w:rsidRPr="009118F6" w:rsidRDefault="00000000">
      <w:pPr>
        <w:pStyle w:val="Textkrper"/>
        <w:rPr>
          <w:lang w:val="de-DE"/>
        </w:rPr>
      </w:pPr>
      <w:r w:rsidRPr="009118F6">
        <w:rPr>
          <w:lang w:val="de-DE"/>
        </w:rPr>
        <w:t xml:space="preserve">Um dem zu begegnen, kontrolliert man die </w:t>
      </w:r>
      <w:r w:rsidRPr="009118F6">
        <w:rPr>
          <w:i/>
          <w:iCs/>
          <w:lang w:val="de-DE"/>
        </w:rPr>
        <w:t>familienweise Fehlerrate</w:t>
      </w:r>
      <w:r w:rsidRPr="009118F6">
        <w:rPr>
          <w:lang w:val="de-DE"/>
        </w:rPr>
        <w:t xml:space="preserve"> (FWER), also die Wahrscheinlichkeit für mindestens einen falschen Befund über alle Tests hinweg (Harvey et al., 2014, S. 9). Harvey, Liu und Zhu stellen hierfür unter anderem die </w:t>
      </w:r>
      <w:proofErr w:type="spellStart"/>
      <w:r w:rsidRPr="009118F6">
        <w:rPr>
          <w:lang w:val="de-DE"/>
        </w:rPr>
        <w:t>Bonferroni</w:t>
      </w:r>
      <w:proofErr w:type="spellEnd"/>
      <w:r w:rsidRPr="009118F6">
        <w:rPr>
          <w:lang w:val="de-DE"/>
        </w:rPr>
        <w:t xml:space="preserve">- und die Holm-Korrektur vor, die beide sicherstellen, dass die FWER ein vorgegebenes Niveau </w:t>
      </w:r>
      <m:oMath>
        <m:r>
          <w:rPr>
            <w:rFonts w:ascii="Cambria Math" w:hAnsi="Cambria Math"/>
          </w:rPr>
          <m:t>α</m:t>
        </m:r>
      </m:oMath>
      <w:r w:rsidRPr="009118F6">
        <w:rPr>
          <w:lang w:val="de-DE"/>
        </w:rPr>
        <w:t xml:space="preserve"> nicht überschreitet (Harvey et al., 2014, S. 9). Während Bonferroni ein </w:t>
      </w:r>
      <w:r w:rsidRPr="009118F6">
        <w:rPr>
          <w:i/>
          <w:iCs/>
          <w:lang w:val="de-DE"/>
        </w:rPr>
        <w:t>Single-</w:t>
      </w:r>
      <w:proofErr w:type="spellStart"/>
      <w:r w:rsidRPr="009118F6">
        <w:rPr>
          <w:i/>
          <w:iCs/>
          <w:lang w:val="de-DE"/>
        </w:rPr>
        <w:t>Step</w:t>
      </w:r>
      <w:proofErr w:type="spellEnd"/>
      <w:r w:rsidRPr="009118F6">
        <w:rPr>
          <w:i/>
          <w:iCs/>
          <w:lang w:val="de-DE"/>
        </w:rPr>
        <w:t>-Verfahren</w:t>
      </w:r>
      <w:r w:rsidRPr="009118F6">
        <w:rPr>
          <w:lang w:val="de-DE"/>
        </w:rPr>
        <w:t xml:space="preserve"> ist, das jeden p-Wert in gleicher Weise anpasst, handelt es sich bei der Holm-Korrektur um ein </w:t>
      </w:r>
      <w:r w:rsidRPr="009118F6">
        <w:rPr>
          <w:i/>
          <w:iCs/>
          <w:lang w:val="de-DE"/>
        </w:rPr>
        <w:t>sequenzielles</w:t>
      </w:r>
      <w:r w:rsidRPr="009118F6">
        <w:rPr>
          <w:lang w:val="de-DE"/>
        </w:rPr>
        <w:t xml:space="preserve"> (adaptives) Verfahren, das die gesamte Verteilung der p-Werte berücksichtigt und dadurch trennschärfer ist (Harvey et al., 2014, S. 11). Holm hat dieses sequenziell ablehnende Verfahren eingeführt; es hält das multiple Signifikanzniveau </w:t>
      </w:r>
      <m:oMath>
        <m:r>
          <w:rPr>
            <w:rFonts w:ascii="Cambria Math" w:hAnsi="Cambria Math"/>
          </w:rPr>
          <m:t>α</m:t>
        </m:r>
      </m:oMath>
      <w:r w:rsidRPr="009118F6">
        <w:rPr>
          <w:lang w:val="de-DE"/>
        </w:rPr>
        <w:t xml:space="preserve"> ein und besitzt eine deutlich höhere Trennschärfe als klassische Verfahren wie Bonferroni (Holm, 1979, S. 65). Die vorliegende Arbeit wendet die Holm-Korrektur auf ihre fünf paarweisen Strategievergleiche an, sodass ein als signifikant ausgewiesener Unterschied auch der Korrektur für multiples Testen standhält.</w:t>
      </w:r>
    </w:p>
    <w:p w14:paraId="34375158" w14:textId="77777777" w:rsidR="00FA1406" w:rsidRPr="009118F6" w:rsidRDefault="00000000">
      <w:pPr>
        <w:pStyle w:val="berschrift2"/>
        <w:rPr>
          <w:lang w:val="de-DE"/>
        </w:rPr>
      </w:pPr>
      <w:bookmarkStart w:id="63" w:name="X4977f6fab2ab33ba270d7c6eec7285dacd7883a"/>
      <w:bookmarkStart w:id="64" w:name="_Toc234524406"/>
      <w:bookmarkEnd w:id="61"/>
      <w:r w:rsidRPr="009118F6">
        <w:rPr>
          <w:lang w:val="de-DE"/>
        </w:rPr>
        <w:t>5.4 Backtest-</w:t>
      </w:r>
      <w:proofErr w:type="spellStart"/>
      <w:r w:rsidRPr="009118F6">
        <w:rPr>
          <w:lang w:val="de-DE"/>
        </w:rPr>
        <w:t>Overfitting</w:t>
      </w:r>
      <w:proofErr w:type="spellEnd"/>
      <w:r w:rsidRPr="009118F6">
        <w:rPr>
          <w:lang w:val="de-DE"/>
        </w:rPr>
        <w:t xml:space="preserve"> und die </w:t>
      </w:r>
      <w:proofErr w:type="spellStart"/>
      <w:r w:rsidRPr="009118F6">
        <w:rPr>
          <w:lang w:val="de-DE"/>
        </w:rPr>
        <w:t>Deflated</w:t>
      </w:r>
      <w:proofErr w:type="spellEnd"/>
      <w:r w:rsidRPr="009118F6">
        <w:rPr>
          <w:lang w:val="de-DE"/>
        </w:rPr>
        <w:t xml:space="preserve"> Sharpe Ratio</w:t>
      </w:r>
      <w:bookmarkEnd w:id="64"/>
    </w:p>
    <w:p w14:paraId="49386F8A" w14:textId="77777777" w:rsidR="00FA1406" w:rsidRPr="009118F6" w:rsidRDefault="00000000">
      <w:pPr>
        <w:pStyle w:val="FirstParagraph"/>
        <w:rPr>
          <w:lang w:val="de-DE"/>
        </w:rPr>
      </w:pPr>
      <w:r w:rsidRPr="009118F6">
        <w:rPr>
          <w:lang w:val="de-DE"/>
        </w:rPr>
        <w:t xml:space="preserve">Die Holm-Korrektur berücksichtigt die wenigen explizit durchgeführten paarweisen Vergleiche. Eine subtilere Gefahr ist jedoch die </w:t>
      </w:r>
      <w:r w:rsidRPr="009118F6">
        <w:rPr>
          <w:i/>
          <w:iCs/>
          <w:lang w:val="de-DE"/>
        </w:rPr>
        <w:t>Selektionsverzerrung</w:t>
      </w:r>
      <w:r w:rsidRPr="009118F6">
        <w:rPr>
          <w:lang w:val="de-DE"/>
        </w:rPr>
        <w:t xml:space="preserve"> über alle im Verlauf der Strategieentwicklung erprobten Varianten hinweg. Bailey und López de Prado betonen, dass das Verschweigen der Anzahl der Versuche zu überoptimistischen Erwartungen führt; </w:t>
      </w:r>
      <w:r w:rsidRPr="009118F6">
        <w:rPr>
          <w:lang w:val="de-DE"/>
        </w:rPr>
        <w:lastRenderedPageBreak/>
        <w:t xml:space="preserve">das </w:t>
      </w:r>
      <w:r w:rsidRPr="009118F6">
        <w:rPr>
          <w:i/>
          <w:iCs/>
          <w:lang w:val="de-DE"/>
        </w:rPr>
        <w:t>Backtest-</w:t>
      </w:r>
      <w:proofErr w:type="spellStart"/>
      <w:r w:rsidRPr="009118F6">
        <w:rPr>
          <w:i/>
          <w:iCs/>
          <w:lang w:val="de-DE"/>
        </w:rPr>
        <w:t>Overfitting</w:t>
      </w:r>
      <w:proofErr w:type="spellEnd"/>
      <w:r w:rsidRPr="009118F6">
        <w:rPr>
          <w:lang w:val="de-DE"/>
        </w:rPr>
        <w:t xml:space="preserve"> sei dabei eine besonders teure Form der Selektionsverzerrung (Bailey &amp; López de Prado, 2014, S. 2, 6). In einer eigenen Arbeit quantifizieren Bailey, </w:t>
      </w:r>
      <w:proofErr w:type="spellStart"/>
      <w:r w:rsidRPr="009118F6">
        <w:rPr>
          <w:lang w:val="de-DE"/>
        </w:rPr>
        <w:t>Borwein</w:t>
      </w:r>
      <w:proofErr w:type="spellEnd"/>
      <w:r w:rsidRPr="009118F6">
        <w:rPr>
          <w:lang w:val="de-DE"/>
        </w:rPr>
        <w:t xml:space="preserve">, López de Prado und Zhu diese Gefahr über die </w:t>
      </w:r>
      <w:r w:rsidRPr="009118F6">
        <w:rPr>
          <w:i/>
          <w:iCs/>
          <w:lang w:val="de-DE"/>
        </w:rPr>
        <w:t>Wahrscheinlichkeit des Backtest-</w:t>
      </w:r>
      <w:proofErr w:type="spellStart"/>
      <w:r w:rsidRPr="009118F6">
        <w:rPr>
          <w:i/>
          <w:iCs/>
          <w:lang w:val="de-DE"/>
        </w:rPr>
        <w:t>Overfitting</w:t>
      </w:r>
      <w:proofErr w:type="spellEnd"/>
      <w:r w:rsidRPr="009118F6">
        <w:rPr>
          <w:lang w:val="de-DE"/>
        </w:rPr>
        <w:t xml:space="preserve"> (PBO): Eine überangepasste Strategie bildet vergangenes Rauschen </w:t>
      </w:r>
      <w:proofErr w:type="gramStart"/>
      <w:r w:rsidRPr="009118F6">
        <w:rPr>
          <w:lang w:val="de-DE"/>
        </w:rPr>
        <w:t>statt künftiges Signal</w:t>
      </w:r>
      <w:proofErr w:type="gramEnd"/>
      <w:r w:rsidRPr="009118F6">
        <w:rPr>
          <w:lang w:val="de-DE"/>
        </w:rPr>
        <w:t xml:space="preserve"> ab und glänzt allein in-sample, während sie out-</w:t>
      </w:r>
      <w:proofErr w:type="spellStart"/>
      <w:r w:rsidRPr="009118F6">
        <w:rPr>
          <w:lang w:val="de-DE"/>
        </w:rPr>
        <w:t>of</w:t>
      </w:r>
      <w:proofErr w:type="spellEnd"/>
      <w:r w:rsidRPr="009118F6">
        <w:rPr>
          <w:lang w:val="de-DE"/>
        </w:rPr>
        <w:t xml:space="preserve">-sample versagt (Bailey et al., 2015, S. 1, 4). Der Mechanismus ist rein statistischer Natur: Werden viele unabhängige Strategien (Trials) erprobt, so wächst das erwartete Maximum ihrer Sharpe </w:t>
      </w:r>
      <w:proofErr w:type="spellStart"/>
      <w:r w:rsidRPr="009118F6">
        <w:rPr>
          <w:lang w:val="de-DE"/>
        </w:rPr>
        <w:t>Ratios</w:t>
      </w:r>
      <w:proofErr w:type="spellEnd"/>
      <w:r w:rsidRPr="009118F6">
        <w:rPr>
          <w:lang w:val="de-DE"/>
        </w:rPr>
        <w:t xml:space="preserve"> mit der Zahl der Versuche – und zwar selbst dann, wenn keine der Strategien echtes Können besitzt, die wahre Sharpe Ratio also gleich null ist (Bailey &amp; López de Prado, 2014, S. 7). Wer die beste aus vielen Strategien auswählt, unterliegt damit dem „Fluch des Gewinners” und wählt mit hoher Wahrscheinlichkeit eine Strategie mit aufgeblähter Sharpe Ratio, deren Out-</w:t>
      </w:r>
      <w:proofErr w:type="spellStart"/>
      <w:r w:rsidRPr="009118F6">
        <w:rPr>
          <w:lang w:val="de-DE"/>
        </w:rPr>
        <w:t>of</w:t>
      </w:r>
      <w:proofErr w:type="spellEnd"/>
      <w:r w:rsidRPr="009118F6">
        <w:rPr>
          <w:lang w:val="de-DE"/>
        </w:rPr>
        <w:t>-Sample-Performance anschließend enttäuscht (Bailey &amp; López de Prado, 2014, S. 8).</w:t>
      </w:r>
    </w:p>
    <w:p w14:paraId="151BE16B" w14:textId="77777777" w:rsidR="00FA1406" w:rsidRPr="009118F6" w:rsidRDefault="00000000">
      <w:pPr>
        <w:pStyle w:val="Textkrper"/>
        <w:rPr>
          <w:lang w:val="de-DE"/>
        </w:rPr>
      </w:pPr>
      <w:r w:rsidRPr="009118F6">
        <w:rPr>
          <w:lang w:val="de-DE"/>
        </w:rPr>
        <w:t xml:space="preserve">Die </w:t>
      </w:r>
      <w:proofErr w:type="spellStart"/>
      <w:r w:rsidRPr="009118F6">
        <w:rPr>
          <w:i/>
          <w:iCs/>
          <w:lang w:val="de-DE"/>
        </w:rPr>
        <w:t>Deflated</w:t>
      </w:r>
      <w:proofErr w:type="spellEnd"/>
      <w:r w:rsidRPr="009118F6">
        <w:rPr>
          <w:i/>
          <w:iCs/>
          <w:lang w:val="de-DE"/>
        </w:rPr>
        <w:t xml:space="preserve"> Sharpe Ratio</w:t>
      </w:r>
      <w:r w:rsidRPr="009118F6">
        <w:rPr>
          <w:lang w:val="de-DE"/>
        </w:rPr>
        <w:t xml:space="preserve"> (DSR) korrigiert für zwei führende Quellen dieser Aufblähung zugleich: die Selektionsverzerrung durch multiples Testen und die Nicht-Normalität der Renditen (Bailey &amp; López de Prado, 2014, S. 2). Sie setzt die beobachtete Sharpe Ratio nicht gegen null, sondern gegen die erwartete </w:t>
      </w:r>
      <w:r w:rsidRPr="009118F6">
        <w:rPr>
          <w:i/>
          <w:iCs/>
          <w:lang w:val="de-DE"/>
        </w:rPr>
        <w:t>maximale</w:t>
      </w:r>
      <w:r w:rsidRPr="009118F6">
        <w:rPr>
          <w:lang w:val="de-DE"/>
        </w:rPr>
        <w:t xml:space="preserve"> Sharpe Ratio unter </w:t>
      </w:r>
      <m:oMath>
        <m:r>
          <w:rPr>
            <w:rFonts w:ascii="Cambria Math" w:hAnsi="Cambria Math"/>
          </w:rPr>
          <m:t>N</m:t>
        </m:r>
      </m:oMath>
      <w:r w:rsidRPr="009118F6">
        <w:rPr>
          <w:lang w:val="de-DE"/>
        </w:rPr>
        <w:t xml:space="preserve"> Versuchen ins Verhältnis – eine Schwelle, die mit der Zahl der Versuche und mit der Streuung der erprobten Sharpe </w:t>
      </w:r>
      <w:proofErr w:type="spellStart"/>
      <w:r w:rsidRPr="009118F6">
        <w:rPr>
          <w:lang w:val="de-DE"/>
        </w:rPr>
        <w:t>Ratios</w:t>
      </w:r>
      <w:proofErr w:type="spellEnd"/>
      <w:r w:rsidRPr="009118F6">
        <w:rPr>
          <w:lang w:val="de-DE"/>
        </w:rPr>
        <w:t xml:space="preserve"> wächst (Bailey &amp; López de Prado, 2014, S. 7 f.). Zusätzlich bezieht die DSR die Länge der Renditereihe sowie deren Schiefe und </w:t>
      </w:r>
      <w:proofErr w:type="spellStart"/>
      <w:r w:rsidRPr="009118F6">
        <w:rPr>
          <w:lang w:val="de-DE"/>
        </w:rPr>
        <w:t>Kurtosis</w:t>
      </w:r>
      <w:proofErr w:type="spellEnd"/>
      <w:r w:rsidRPr="009118F6">
        <w:rPr>
          <w:lang w:val="de-DE"/>
        </w:rPr>
        <w:t xml:space="preserve"> ein, da kurze Stichproben und nicht-normalverteilte Renditen die Sharpe Ratio systematisch aufblähen (Bailey &amp; López de Prado, 2014, S. 8). Im Ergebnis liefert sie die Wahrscheinlichkeit, dass die wahre Sharpe Ratio nach Korrektur all dieser Effekte größer als null ist, und hilft so, belastbare Befunde von statistischen Zufallstreffern zu trennen (Bailey &amp; López de Prado, 2014, S. 2). Die vorliegende Arbeit berechnet die DSR für jede der vier Strategien, um deren Sharpe </w:t>
      </w:r>
      <w:proofErr w:type="spellStart"/>
      <w:r w:rsidRPr="009118F6">
        <w:rPr>
          <w:lang w:val="de-DE"/>
        </w:rPr>
        <w:t>Ratios</w:t>
      </w:r>
      <w:proofErr w:type="spellEnd"/>
      <w:r w:rsidRPr="009118F6">
        <w:rPr>
          <w:lang w:val="de-DE"/>
        </w:rPr>
        <w:t xml:space="preserve"> gegen Selektionsverzerrung und schwere Verteilungsränder abzusichern.</w:t>
      </w:r>
    </w:p>
    <w:p w14:paraId="69A38901" w14:textId="77777777" w:rsidR="00FA1406" w:rsidRPr="009118F6" w:rsidRDefault="00000000">
      <w:pPr>
        <w:pStyle w:val="berschrift2"/>
        <w:rPr>
          <w:lang w:val="de-DE"/>
        </w:rPr>
      </w:pPr>
      <w:bookmarkStart w:id="65" w:name="Xc57e80040acf2e538da00c47343d5dbd9fb962e"/>
      <w:bookmarkStart w:id="66" w:name="_Toc234524407"/>
      <w:bookmarkEnd w:id="63"/>
      <w:r w:rsidRPr="009118F6">
        <w:rPr>
          <w:lang w:val="de-DE"/>
        </w:rPr>
        <w:t>5.5 Informationslecks in der Kreuzvalidierung</w:t>
      </w:r>
      <w:bookmarkEnd w:id="66"/>
    </w:p>
    <w:p w14:paraId="41CBE1FA" w14:textId="77777777" w:rsidR="00FA1406" w:rsidRPr="009118F6" w:rsidRDefault="00000000">
      <w:pPr>
        <w:pStyle w:val="FirstParagraph"/>
        <w:rPr>
          <w:lang w:val="de-DE"/>
        </w:rPr>
      </w:pPr>
      <w:r w:rsidRPr="009118F6">
        <w:rPr>
          <w:lang w:val="de-DE"/>
        </w:rPr>
        <w:t xml:space="preserve">Auch das Training des Random Forest birgt eine methodische Falle. Zur Wahl seiner Hyperparameter dient die Kreuzvalidierung. López de Prado warnt jedoch, dass die in der </w:t>
      </w:r>
      <w:r w:rsidRPr="009118F6">
        <w:rPr>
          <w:lang w:val="de-DE"/>
        </w:rPr>
        <w:lastRenderedPageBreak/>
        <w:t>Finanzliteratur übliche k-Fold-Kreuzvalidierung dort versagt – zum einen, weil die Beobachtungen nicht als unabhängig und identisch verteilt (</w:t>
      </w:r>
      <w:proofErr w:type="spellStart"/>
      <w:r w:rsidRPr="009118F6">
        <w:rPr>
          <w:lang w:val="de-DE"/>
        </w:rPr>
        <w:t>i.i.d</w:t>
      </w:r>
      <w:proofErr w:type="spellEnd"/>
      <w:r w:rsidRPr="009118F6">
        <w:rPr>
          <w:lang w:val="de-DE"/>
        </w:rPr>
        <w:t xml:space="preserve">.) angenommen werden können, zum anderen, weil die Testmenge im Entwicklungsprozess mehrfach verwendet </w:t>
      </w:r>
      <w:proofErr w:type="gramStart"/>
      <w:r w:rsidRPr="009118F6">
        <w:rPr>
          <w:lang w:val="de-DE"/>
        </w:rPr>
        <w:t>wird</w:t>
      </w:r>
      <w:proofErr w:type="gramEnd"/>
      <w:r w:rsidRPr="009118F6">
        <w:rPr>
          <w:lang w:val="de-DE"/>
        </w:rPr>
        <w:t xml:space="preserve"> und so zu multiplem Testen und Selektionsverzerrung führt (López de Prado, 2018, S. 104). Die erste Ursache ist ein </w:t>
      </w:r>
      <w:r w:rsidRPr="009118F6">
        <w:rPr>
          <w:i/>
          <w:iCs/>
          <w:lang w:val="de-DE"/>
        </w:rPr>
        <w:t>Informationsleck</w:t>
      </w:r>
      <w:r w:rsidRPr="009118F6">
        <w:rPr>
          <w:lang w:val="de-DE"/>
        </w:rPr>
        <w:t xml:space="preserve"> (Leakage): Werden die Labels aus überlappenden Zeitfenstern gebildet und sind die Merkmale seriell korreliert, so gleichen sich zeitlich benachbarte Beobachtungen (</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lang w:val="de-DE"/>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lang w:val="de-DE"/>
              </w:rPr>
              <m:t>+</m:t>
            </m:r>
            <m:r>
              <w:rPr>
                <w:rFonts w:ascii="Cambria Math" w:hAnsi="Cambria Math"/>
                <w:lang w:val="de-DE"/>
              </w:rPr>
              <m:t>1</m:t>
            </m:r>
          </m:sub>
        </m:sSub>
      </m:oMath>
      <w:r w:rsidRPr="009118F6">
        <w:rPr>
          <w:lang w:val="de-DE"/>
        </w:rPr>
        <w:t xml:space="preserve"> und </w:t>
      </w: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de-DE"/>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lang w:val="de-DE"/>
              </w:rPr>
              <m:t>+</m:t>
            </m:r>
            <m:r>
              <w:rPr>
                <w:rFonts w:ascii="Cambria Math" w:hAnsi="Cambria Math"/>
                <w:lang w:val="de-DE"/>
              </w:rPr>
              <m:t>1</m:t>
            </m:r>
          </m:sub>
        </m:sSub>
      </m:oMath>
      <w:r w:rsidRPr="009118F6">
        <w:rPr>
          <w:lang w:val="de-DE"/>
        </w:rPr>
        <w:t>); landen sie in unterschiedlichen Mengen, „sieht” das Modell im Test mittelbar bereits die Antwort und erzielt selbst mit irrelevanten Merkmalen scheinbar gute Ergebnisse – ein Nährboden für Fehlentdeckungen (López de Prado, 2018, S. 105).</w:t>
      </w:r>
    </w:p>
    <w:p w14:paraId="45A8FBE7" w14:textId="77777777" w:rsidR="00FA1406" w:rsidRPr="009118F6" w:rsidRDefault="00000000">
      <w:pPr>
        <w:pStyle w:val="Textkrper"/>
        <w:rPr>
          <w:lang w:val="de-DE"/>
        </w:rPr>
      </w:pPr>
      <w:r w:rsidRPr="009118F6">
        <w:rPr>
          <w:lang w:val="de-DE"/>
        </w:rPr>
        <w:t xml:space="preserve">Als Gegenmittel schlägt López de Prado die </w:t>
      </w:r>
      <w:proofErr w:type="spellStart"/>
      <w:r w:rsidRPr="009118F6">
        <w:rPr>
          <w:i/>
          <w:iCs/>
          <w:lang w:val="de-DE"/>
        </w:rPr>
        <w:t>Purged</w:t>
      </w:r>
      <w:proofErr w:type="spellEnd"/>
      <w:r w:rsidRPr="009118F6">
        <w:rPr>
          <w:i/>
          <w:iCs/>
          <w:lang w:val="de-DE"/>
        </w:rPr>
        <w:t xml:space="preserve"> K-Fold Cross-Validation</w:t>
      </w:r>
      <w:r w:rsidRPr="009118F6">
        <w:rPr>
          <w:lang w:val="de-DE"/>
        </w:rPr>
        <w:t xml:space="preserve"> vor (López de Prado, 2018, S. 105). Beim </w:t>
      </w:r>
      <w:r w:rsidRPr="009118F6">
        <w:rPr>
          <w:i/>
          <w:iCs/>
          <w:lang w:val="de-DE"/>
        </w:rPr>
        <w:t>Purging</w:t>
      </w:r>
      <w:r w:rsidRPr="009118F6">
        <w:rPr>
          <w:lang w:val="de-DE"/>
        </w:rPr>
        <w:t xml:space="preserve"> werden aus der Trainingsmenge alle Beobachtungen entfernt, deren Label sich zeitlich mit den Labels der Testmenge überschneidet (López de Prado, 2018, S. 105). Ergänzend wird ein </w:t>
      </w:r>
      <w:r w:rsidRPr="009118F6">
        <w:rPr>
          <w:i/>
          <w:iCs/>
          <w:lang w:val="de-DE"/>
        </w:rPr>
        <w:t>Embargo</w:t>
      </w:r>
      <w:r w:rsidRPr="009118F6">
        <w:rPr>
          <w:lang w:val="de-DE"/>
        </w:rPr>
        <w:t xml:space="preserve"> verhängt: Da Finanzreihen seriell korreliert sind, werden zusätzlich diejenigen Trainingsbeobachtungen ausgeschlossen, die unmittelbar </w:t>
      </w:r>
      <w:r w:rsidRPr="009118F6">
        <w:rPr>
          <w:i/>
          <w:iCs/>
          <w:lang w:val="de-DE"/>
        </w:rPr>
        <w:t>nach</w:t>
      </w:r>
      <w:r w:rsidRPr="009118F6">
        <w:rPr>
          <w:lang w:val="de-DE"/>
        </w:rPr>
        <w:t xml:space="preserve"> der Testmenge liegen; bereits ein kleiner Embargo-Anteil von etwa </w:t>
      </w:r>
      <m:oMath>
        <m:r>
          <w:rPr>
            <w:rFonts w:ascii="Cambria Math" w:hAnsi="Cambria Math"/>
            <w:lang w:val="de-DE"/>
          </w:rPr>
          <m:t>h</m:t>
        </m:r>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01 </m:t>
        </m:r>
        <m:r>
          <w:rPr>
            <w:rFonts w:ascii="Cambria Math" w:hAnsi="Cambria Math"/>
          </w:rPr>
          <m:t>T</m:t>
        </m:r>
      </m:oMath>
      <w:r w:rsidRPr="009118F6">
        <w:rPr>
          <w:lang w:val="de-DE"/>
        </w:rPr>
        <w:t xml:space="preserve"> genügt oft, um das Leck vollständig zu schließen (López de Prado, 2018, S. 107). Die vorliegende Arbeit setzt dieses Verfahren als zuschaltbare Option im Hyperparameter-Tuning des Random Forest um und begegnet damit dem Informationsleck der überlappenden Monatslabels.</w:t>
      </w:r>
    </w:p>
    <w:p w14:paraId="7ED49CB7" w14:textId="77777777" w:rsidR="00FA1406" w:rsidRPr="009118F6" w:rsidRDefault="00000000">
      <w:pPr>
        <w:pStyle w:val="berschrift1"/>
        <w:rPr>
          <w:lang w:val="de-DE"/>
        </w:rPr>
      </w:pPr>
      <w:bookmarkStart w:id="67" w:name="implementierung"/>
      <w:bookmarkStart w:id="68" w:name="_Toc234524408"/>
      <w:bookmarkEnd w:id="55"/>
      <w:bookmarkEnd w:id="65"/>
      <w:r w:rsidRPr="009118F6">
        <w:rPr>
          <w:lang w:val="de-DE"/>
        </w:rPr>
        <w:t>6 Implementierung</w:t>
      </w:r>
      <w:bookmarkEnd w:id="68"/>
    </w:p>
    <w:p w14:paraId="3D8D037B" w14:textId="77777777" w:rsidR="00FA1406" w:rsidRPr="009118F6" w:rsidRDefault="00000000">
      <w:pPr>
        <w:pStyle w:val="berschrift2"/>
        <w:rPr>
          <w:lang w:val="de-DE"/>
        </w:rPr>
      </w:pPr>
      <w:bookmarkStart w:id="69" w:name="architektur-und-reproduzierbarkeit"/>
      <w:bookmarkStart w:id="70" w:name="_Toc234524409"/>
      <w:r w:rsidRPr="009118F6">
        <w:rPr>
          <w:lang w:val="de-DE"/>
        </w:rPr>
        <w:t>6.1 Architektur und Reproduzierbarkeit</w:t>
      </w:r>
      <w:bookmarkEnd w:id="70"/>
    </w:p>
    <w:p w14:paraId="65CB47D8" w14:textId="77777777" w:rsidR="00FA1406" w:rsidRPr="009118F6" w:rsidRDefault="00000000">
      <w:pPr>
        <w:pStyle w:val="FirstParagraph"/>
        <w:rPr>
          <w:lang w:val="de-DE"/>
        </w:rPr>
      </w:pPr>
      <w:r w:rsidRPr="009118F6">
        <w:rPr>
          <w:lang w:val="de-DE"/>
        </w:rPr>
        <w:t xml:space="preserve">Die Untersuchung ist vollständig in Python umgesetzt. Der Code ist als modulares Paket organisiert, dessen Module den Bausteinen dieser Arbeit entsprechen: Datenbeschaffung, technische Indikatoren, die drei Optimierer (Markowitz, Risk Parity, Random Forest), die Backtest-Engine, die Kennzahlenberechnung, das Signifikanzmodul sowie die Visualisierung. Verwendet werden etablierte wissenschaftliche Bibliotheken (unter anderem </w:t>
      </w:r>
      <w:proofErr w:type="spellStart"/>
      <w:r w:rsidRPr="009118F6">
        <w:rPr>
          <w:lang w:val="de-DE"/>
        </w:rPr>
        <w:t>NumPy</w:t>
      </w:r>
      <w:proofErr w:type="spellEnd"/>
      <w:r w:rsidRPr="009118F6">
        <w:rPr>
          <w:lang w:val="de-DE"/>
        </w:rPr>
        <w:t xml:space="preserve">, </w:t>
      </w:r>
      <w:proofErr w:type="spellStart"/>
      <w:r w:rsidRPr="009118F6">
        <w:rPr>
          <w:lang w:val="de-DE"/>
        </w:rPr>
        <w:t>pandas</w:t>
      </w:r>
      <w:proofErr w:type="spellEnd"/>
      <w:r w:rsidRPr="009118F6">
        <w:rPr>
          <w:lang w:val="de-DE"/>
        </w:rPr>
        <w:t xml:space="preserve">, </w:t>
      </w:r>
      <w:proofErr w:type="spellStart"/>
      <w:r w:rsidRPr="009118F6">
        <w:rPr>
          <w:lang w:val="de-DE"/>
        </w:rPr>
        <w:t>scikit-learn</w:t>
      </w:r>
      <w:proofErr w:type="spellEnd"/>
      <w:r w:rsidRPr="009118F6">
        <w:rPr>
          <w:lang w:val="de-DE"/>
        </w:rPr>
        <w:t xml:space="preserve"> und </w:t>
      </w:r>
      <w:proofErr w:type="spellStart"/>
      <w:r w:rsidRPr="009118F6">
        <w:rPr>
          <w:lang w:val="de-DE"/>
        </w:rPr>
        <w:t>SciPy</w:t>
      </w:r>
      <w:proofErr w:type="spellEnd"/>
      <w:r w:rsidRPr="009118F6">
        <w:rPr>
          <w:lang w:val="de-DE"/>
        </w:rPr>
        <w:t xml:space="preserve">). Zur Sicherung der Reproduzierbarkeit werden alle Zufallsprozesse mit festen Startwerten (Seeds) initialisiert, sämtliche Parameter </w:t>
      </w:r>
      <w:r w:rsidRPr="009118F6">
        <w:rPr>
          <w:lang w:val="de-DE"/>
        </w:rPr>
        <w:lastRenderedPageBreak/>
        <w:t>in einer zentralen Konfiguration gehalten, die Ergebnisse als CSV- und JSON-Dateien protokolliert und der gesamte Entwicklungsstand unter Versionskontrolle (</w:t>
      </w:r>
      <w:proofErr w:type="spellStart"/>
      <w:r w:rsidRPr="009118F6">
        <w:rPr>
          <w:lang w:val="de-DE"/>
        </w:rPr>
        <w:t>Git</w:t>
      </w:r>
      <w:proofErr w:type="spellEnd"/>
      <w:r w:rsidRPr="009118F6">
        <w:rPr>
          <w:lang w:val="de-DE"/>
        </w:rPr>
        <w:t>) geführt. Eine automatisierte Testsuite prüft die Kernfunktionen – etwa die Kennzahlen, die Einhaltung der Optimierer-Nebenbedingungen und den Look-Ahead-Schutz.</w:t>
      </w:r>
    </w:p>
    <w:p w14:paraId="42901238" w14:textId="77777777" w:rsidR="00FA1406" w:rsidRPr="009118F6" w:rsidRDefault="00000000">
      <w:pPr>
        <w:pStyle w:val="berschrift2"/>
        <w:rPr>
          <w:lang w:val="de-DE"/>
        </w:rPr>
      </w:pPr>
      <w:bookmarkStart w:id="71" w:name="kernkomponenten"/>
      <w:bookmarkStart w:id="72" w:name="_Toc234524410"/>
      <w:bookmarkEnd w:id="69"/>
      <w:r w:rsidRPr="009118F6">
        <w:rPr>
          <w:lang w:val="de-DE"/>
        </w:rPr>
        <w:t>6.2 Kernkomponenten</w:t>
      </w:r>
      <w:bookmarkEnd w:id="72"/>
    </w:p>
    <w:p w14:paraId="2C17C5A3" w14:textId="77777777" w:rsidR="00FA1406" w:rsidRPr="009118F6" w:rsidRDefault="00000000">
      <w:pPr>
        <w:pStyle w:val="FirstParagraph"/>
        <w:rPr>
          <w:lang w:val="de-DE"/>
        </w:rPr>
      </w:pPr>
      <w:r w:rsidRPr="009118F6">
        <w:rPr>
          <w:lang w:val="de-DE"/>
        </w:rPr>
        <w:t xml:space="preserve">Die Markowitz-Optimierung kombiniert die </w:t>
      </w:r>
      <w:proofErr w:type="spellStart"/>
      <w:r w:rsidRPr="009118F6">
        <w:rPr>
          <w:lang w:val="de-DE"/>
        </w:rPr>
        <w:t>Ledoit</w:t>
      </w:r>
      <w:proofErr w:type="spellEnd"/>
      <w:r w:rsidRPr="009118F6">
        <w:rPr>
          <w:lang w:val="de-DE"/>
        </w:rPr>
        <w:t>-Wolf-</w:t>
      </w:r>
      <w:proofErr w:type="spellStart"/>
      <w:r w:rsidRPr="009118F6">
        <w:rPr>
          <w:lang w:val="de-DE"/>
        </w:rPr>
        <w:t>Kovarianzschätzung</w:t>
      </w:r>
      <w:proofErr w:type="spellEnd"/>
      <w:r w:rsidRPr="009118F6">
        <w:rPr>
          <w:lang w:val="de-DE"/>
        </w:rPr>
        <w:t xml:space="preserve"> (Abschnitt 2.7) mit einer numerischen Maximierung der Sharpe Ratio unter den Nebenbedingungen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de-DE"/>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lang w:val="de-DE"/>
          </w:rPr>
          <m:t>=</m:t>
        </m:r>
        <m:r>
          <w:rPr>
            <w:rFonts w:ascii="Cambria Math" w:hAnsi="Cambria Math"/>
            <w:lang w:val="de-DE"/>
          </w:rPr>
          <m:t>1</m:t>
        </m:r>
      </m:oMath>
      <w:r w:rsidRPr="009118F6">
        <w:rPr>
          <w:lang w:val="de-DE"/>
        </w:rPr>
        <w:t xml:space="preserve"> und </w:t>
      </w:r>
      <m:oMath>
        <m:r>
          <w:rPr>
            <w:rFonts w:ascii="Cambria Math" w:hAnsi="Cambria Math"/>
            <w:lang w:val="de-DE"/>
          </w:rPr>
          <m:t>0</m:t>
        </m:r>
        <m:r>
          <m:rPr>
            <m:sty m:val="p"/>
          </m:rPr>
          <w:rPr>
            <w:rFonts w:ascii="Cambria Math" w:hAnsi="Cambria Math"/>
            <w:lang w:val="de-DE"/>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20</m:t>
        </m:r>
      </m:oMath>
      <w:r w:rsidRPr="009118F6">
        <w:rPr>
          <w:lang w:val="de-DE"/>
        </w:rPr>
        <w:t xml:space="preserve"> (Abschnitte 2.4 und 2.8); gelöst wird mit dem SLSQP-Verfahren der Bibliothek </w:t>
      </w:r>
      <w:proofErr w:type="spellStart"/>
      <w:r w:rsidRPr="009118F6">
        <w:rPr>
          <w:lang w:val="de-DE"/>
        </w:rPr>
        <w:t>SciPy</w:t>
      </w:r>
      <w:proofErr w:type="spellEnd"/>
      <w:r w:rsidRPr="009118F6">
        <w:rPr>
          <w:lang w:val="de-DE"/>
        </w:rPr>
        <w:t xml:space="preserve">. Der Random Forest wird zu jedem </w:t>
      </w:r>
      <w:proofErr w:type="spellStart"/>
      <w:r w:rsidRPr="009118F6">
        <w:rPr>
          <w:lang w:val="de-DE"/>
        </w:rPr>
        <w:t>Rebalancing</w:t>
      </w:r>
      <w:proofErr w:type="spellEnd"/>
      <w:r w:rsidRPr="009118F6">
        <w:rPr>
          <w:lang w:val="de-DE"/>
        </w:rPr>
        <w:t xml:space="preserve">-Termin über eine randomisierte Hyperparametersuche mit Zeitreihen-Kreuzvalidierung trainiert (Abschnitt 5.5) und prognostiziert die Rendite des Folgemonats, die anschließend als erwartete Rendite in dieselbe Sharpe-Maximierung eingeht. Die Backtest-Engine steuert das rollierende Walk-Forward-Schema (Abschnitt 4.3), verbucht die Transaktionskosten (Abschnitt 4.4) und protokolliert Gewichte, Renditen und Umschlag jeder Periode. Das Signifikanzmodul schließlich implementiert den robusten Sharpe-Differenz-Test, die Holm-Korrektur und die </w:t>
      </w:r>
      <w:proofErr w:type="spellStart"/>
      <w:r w:rsidRPr="009118F6">
        <w:rPr>
          <w:lang w:val="de-DE"/>
        </w:rPr>
        <w:t>Deflated</w:t>
      </w:r>
      <w:proofErr w:type="spellEnd"/>
      <w:r w:rsidRPr="009118F6">
        <w:rPr>
          <w:lang w:val="de-DE"/>
        </w:rPr>
        <w:t xml:space="preserve"> Sharpe Ratio (Kapitel 5).</w:t>
      </w:r>
    </w:p>
    <w:p w14:paraId="2705C925" w14:textId="77777777" w:rsidR="00FA1406" w:rsidRPr="009118F6" w:rsidRDefault="00000000">
      <w:pPr>
        <w:pStyle w:val="berschrift1"/>
        <w:rPr>
          <w:lang w:val="de-DE"/>
        </w:rPr>
      </w:pPr>
      <w:bookmarkStart w:id="73" w:name="ergebnisse"/>
      <w:bookmarkStart w:id="74" w:name="_Toc234524411"/>
      <w:bookmarkEnd w:id="67"/>
      <w:bookmarkEnd w:id="71"/>
      <w:r w:rsidRPr="009118F6">
        <w:rPr>
          <w:lang w:val="de-DE"/>
        </w:rPr>
        <w:t>7 Ergebnisse</w:t>
      </w:r>
      <w:bookmarkEnd w:id="74"/>
    </w:p>
    <w:p w14:paraId="24025C7F" w14:textId="77777777" w:rsidR="00FA1406" w:rsidRPr="009118F6" w:rsidRDefault="00000000">
      <w:pPr>
        <w:pStyle w:val="berschrift2"/>
        <w:rPr>
          <w:lang w:val="de-DE"/>
        </w:rPr>
      </w:pPr>
      <w:bookmarkStart w:id="75" w:name="performance-der-vier-strategien"/>
      <w:bookmarkStart w:id="76" w:name="_Toc234524412"/>
      <w:r w:rsidRPr="009118F6">
        <w:rPr>
          <w:lang w:val="de-DE"/>
        </w:rPr>
        <w:t>7.1 Performance der vier Strategien</w:t>
      </w:r>
      <w:bookmarkEnd w:id="76"/>
    </w:p>
    <w:p w14:paraId="09A335A1" w14:textId="77777777" w:rsidR="00FA1406" w:rsidRPr="009118F6" w:rsidRDefault="00000000">
      <w:pPr>
        <w:pStyle w:val="FirstParagraph"/>
        <w:rPr>
          <w:lang w:val="de-DE"/>
        </w:rPr>
      </w:pPr>
      <w:r w:rsidRPr="009118F6">
        <w:rPr>
          <w:lang w:val="de-DE"/>
        </w:rPr>
        <w:t>Über den Backtest-Zeitraum 2015–2024 ergeben sich nach Abzug der Transaktionskosten die folgenden Kennzahlen:</w:t>
      </w:r>
    </w:p>
    <w:tbl>
      <w:tblPr>
        <w:tblStyle w:val="Table"/>
        <w:tblW w:w="0" w:type="auto"/>
        <w:tblLook w:val="0020" w:firstRow="1" w:lastRow="0" w:firstColumn="0" w:lastColumn="0" w:noHBand="0" w:noVBand="0"/>
      </w:tblPr>
      <w:tblGrid>
        <w:gridCol w:w="1890"/>
        <w:gridCol w:w="896"/>
        <w:gridCol w:w="1463"/>
        <w:gridCol w:w="1503"/>
        <w:gridCol w:w="1843"/>
      </w:tblGrid>
      <w:tr w:rsidR="00FA1406" w14:paraId="45AAD389" w14:textId="77777777" w:rsidTr="00FA1406">
        <w:trPr>
          <w:cnfStyle w:val="100000000000" w:firstRow="1" w:lastRow="0" w:firstColumn="0" w:lastColumn="0" w:oddVBand="0" w:evenVBand="0" w:oddHBand="0" w:evenHBand="0" w:firstRowFirstColumn="0" w:firstRowLastColumn="0" w:lastRowFirstColumn="0" w:lastRowLastColumn="0"/>
          <w:tblHeader/>
        </w:trPr>
        <w:tc>
          <w:tcPr>
            <w:tcW w:w="0" w:type="auto"/>
          </w:tcPr>
          <w:p w14:paraId="554D0B86" w14:textId="77777777" w:rsidR="00FA1406" w:rsidRDefault="00000000">
            <w:pPr>
              <w:pStyle w:val="Compact"/>
            </w:pPr>
            <w:proofErr w:type="spellStart"/>
            <w:r>
              <w:t>Strategie</w:t>
            </w:r>
            <w:proofErr w:type="spellEnd"/>
          </w:p>
        </w:tc>
        <w:tc>
          <w:tcPr>
            <w:tcW w:w="0" w:type="auto"/>
          </w:tcPr>
          <w:p w14:paraId="07BFE9B3" w14:textId="77777777" w:rsidR="00FA1406" w:rsidRDefault="00000000">
            <w:pPr>
              <w:pStyle w:val="Compact"/>
            </w:pPr>
            <w:r>
              <w:t>CAGR</w:t>
            </w:r>
          </w:p>
        </w:tc>
        <w:tc>
          <w:tcPr>
            <w:tcW w:w="0" w:type="auto"/>
          </w:tcPr>
          <w:p w14:paraId="68753F95" w14:textId="77777777" w:rsidR="00FA1406" w:rsidRDefault="00000000">
            <w:pPr>
              <w:pStyle w:val="Compact"/>
            </w:pPr>
            <w:r>
              <w:t>Sharpe Ratio</w:t>
            </w:r>
          </w:p>
        </w:tc>
        <w:tc>
          <w:tcPr>
            <w:tcW w:w="0" w:type="auto"/>
          </w:tcPr>
          <w:p w14:paraId="751522DF" w14:textId="77777777" w:rsidR="00FA1406" w:rsidRDefault="00000000">
            <w:pPr>
              <w:pStyle w:val="Compact"/>
            </w:pPr>
            <w:r>
              <w:t>Sortino Ratio</w:t>
            </w:r>
          </w:p>
        </w:tc>
        <w:tc>
          <w:tcPr>
            <w:tcW w:w="0" w:type="auto"/>
          </w:tcPr>
          <w:p w14:paraId="46E7CCDB" w14:textId="77777777" w:rsidR="00FA1406" w:rsidRDefault="00000000">
            <w:pPr>
              <w:pStyle w:val="Compact"/>
            </w:pPr>
            <w:r>
              <w:t>Max. Drawdown</w:t>
            </w:r>
          </w:p>
        </w:tc>
      </w:tr>
      <w:tr w:rsidR="00FA1406" w14:paraId="7EA2FA3A" w14:textId="77777777">
        <w:tc>
          <w:tcPr>
            <w:tcW w:w="0" w:type="auto"/>
          </w:tcPr>
          <w:p w14:paraId="458210C7" w14:textId="77777777" w:rsidR="00FA1406" w:rsidRDefault="00000000">
            <w:pPr>
              <w:pStyle w:val="Compact"/>
            </w:pPr>
            <w:r>
              <w:t>Random Forest</w:t>
            </w:r>
          </w:p>
        </w:tc>
        <w:tc>
          <w:tcPr>
            <w:tcW w:w="0" w:type="auto"/>
          </w:tcPr>
          <w:p w14:paraId="29CA6C40" w14:textId="77777777" w:rsidR="00FA1406" w:rsidRDefault="00000000">
            <w:pPr>
              <w:pStyle w:val="Compact"/>
            </w:pPr>
            <w:r>
              <w:t>23,5 %</w:t>
            </w:r>
          </w:p>
        </w:tc>
        <w:tc>
          <w:tcPr>
            <w:tcW w:w="0" w:type="auto"/>
          </w:tcPr>
          <w:p w14:paraId="55A79171" w14:textId="77777777" w:rsidR="00FA1406" w:rsidRDefault="00000000">
            <w:pPr>
              <w:pStyle w:val="Compact"/>
            </w:pPr>
            <w:r>
              <w:t>1,01</w:t>
            </w:r>
          </w:p>
        </w:tc>
        <w:tc>
          <w:tcPr>
            <w:tcW w:w="0" w:type="auto"/>
          </w:tcPr>
          <w:p w14:paraId="18836CC0" w14:textId="77777777" w:rsidR="00FA1406" w:rsidRDefault="00000000">
            <w:pPr>
              <w:pStyle w:val="Compact"/>
            </w:pPr>
            <w:r>
              <w:t>1,33</w:t>
            </w:r>
          </w:p>
        </w:tc>
        <w:tc>
          <w:tcPr>
            <w:tcW w:w="0" w:type="auto"/>
          </w:tcPr>
          <w:p w14:paraId="04EFCD48" w14:textId="77777777" w:rsidR="00FA1406" w:rsidRDefault="00000000">
            <w:pPr>
              <w:pStyle w:val="Compact"/>
            </w:pPr>
            <w:r>
              <w:t>−35,8 %</w:t>
            </w:r>
          </w:p>
        </w:tc>
      </w:tr>
      <w:tr w:rsidR="00FA1406" w14:paraId="402EC57B" w14:textId="77777777">
        <w:tc>
          <w:tcPr>
            <w:tcW w:w="0" w:type="auto"/>
          </w:tcPr>
          <w:p w14:paraId="4D667051" w14:textId="77777777" w:rsidR="00FA1406" w:rsidRDefault="00000000">
            <w:pPr>
              <w:pStyle w:val="Compact"/>
            </w:pPr>
            <w:r>
              <w:t>Markowitz MVO</w:t>
            </w:r>
          </w:p>
        </w:tc>
        <w:tc>
          <w:tcPr>
            <w:tcW w:w="0" w:type="auto"/>
          </w:tcPr>
          <w:p w14:paraId="6DEFA6D2" w14:textId="77777777" w:rsidR="00FA1406" w:rsidRDefault="00000000">
            <w:pPr>
              <w:pStyle w:val="Compact"/>
            </w:pPr>
            <w:r>
              <w:t>23,2 %</w:t>
            </w:r>
          </w:p>
        </w:tc>
        <w:tc>
          <w:tcPr>
            <w:tcW w:w="0" w:type="auto"/>
          </w:tcPr>
          <w:p w14:paraId="1DDFA680" w14:textId="77777777" w:rsidR="00FA1406" w:rsidRDefault="00000000">
            <w:pPr>
              <w:pStyle w:val="Compact"/>
            </w:pPr>
            <w:r>
              <w:t>0,92</w:t>
            </w:r>
          </w:p>
        </w:tc>
        <w:tc>
          <w:tcPr>
            <w:tcW w:w="0" w:type="auto"/>
          </w:tcPr>
          <w:p w14:paraId="280338AB" w14:textId="77777777" w:rsidR="00FA1406" w:rsidRDefault="00000000">
            <w:pPr>
              <w:pStyle w:val="Compact"/>
            </w:pPr>
            <w:r>
              <w:t>1,17</w:t>
            </w:r>
          </w:p>
        </w:tc>
        <w:tc>
          <w:tcPr>
            <w:tcW w:w="0" w:type="auto"/>
          </w:tcPr>
          <w:p w14:paraId="1EA1CC7E" w14:textId="77777777" w:rsidR="00FA1406" w:rsidRDefault="00000000">
            <w:pPr>
              <w:pStyle w:val="Compact"/>
            </w:pPr>
            <w:r>
              <w:t>−34,3 %</w:t>
            </w:r>
          </w:p>
        </w:tc>
      </w:tr>
      <w:tr w:rsidR="00FA1406" w14:paraId="48B0E85E" w14:textId="77777777">
        <w:tc>
          <w:tcPr>
            <w:tcW w:w="0" w:type="auto"/>
          </w:tcPr>
          <w:p w14:paraId="5D5AD301" w14:textId="77777777" w:rsidR="00FA1406" w:rsidRDefault="00000000">
            <w:pPr>
              <w:pStyle w:val="Compact"/>
            </w:pPr>
            <w:r>
              <w:t>Equal Weight</w:t>
            </w:r>
          </w:p>
        </w:tc>
        <w:tc>
          <w:tcPr>
            <w:tcW w:w="0" w:type="auto"/>
          </w:tcPr>
          <w:p w14:paraId="005DA69B" w14:textId="77777777" w:rsidR="00FA1406" w:rsidRDefault="00000000">
            <w:pPr>
              <w:pStyle w:val="Compact"/>
            </w:pPr>
            <w:r>
              <w:t>20,0 %</w:t>
            </w:r>
          </w:p>
        </w:tc>
        <w:tc>
          <w:tcPr>
            <w:tcW w:w="0" w:type="auto"/>
          </w:tcPr>
          <w:p w14:paraId="23CD4899" w14:textId="77777777" w:rsidR="00FA1406" w:rsidRDefault="00000000">
            <w:pPr>
              <w:pStyle w:val="Compact"/>
            </w:pPr>
            <w:r>
              <w:t>0,91</w:t>
            </w:r>
          </w:p>
        </w:tc>
        <w:tc>
          <w:tcPr>
            <w:tcW w:w="0" w:type="auto"/>
          </w:tcPr>
          <w:p w14:paraId="1566E995" w14:textId="77777777" w:rsidR="00FA1406" w:rsidRDefault="00000000">
            <w:pPr>
              <w:pStyle w:val="Compact"/>
            </w:pPr>
            <w:r>
              <w:t>1,12</w:t>
            </w:r>
          </w:p>
        </w:tc>
        <w:tc>
          <w:tcPr>
            <w:tcW w:w="0" w:type="auto"/>
          </w:tcPr>
          <w:p w14:paraId="281BAC62" w14:textId="77777777" w:rsidR="00FA1406" w:rsidRDefault="00000000">
            <w:pPr>
              <w:pStyle w:val="Compact"/>
            </w:pPr>
            <w:r>
              <w:t>−33,3 %</w:t>
            </w:r>
          </w:p>
        </w:tc>
      </w:tr>
      <w:tr w:rsidR="00FA1406" w14:paraId="6DCA2459" w14:textId="77777777">
        <w:tc>
          <w:tcPr>
            <w:tcW w:w="0" w:type="auto"/>
          </w:tcPr>
          <w:p w14:paraId="45CF43E7" w14:textId="77777777" w:rsidR="00FA1406" w:rsidRDefault="00000000">
            <w:pPr>
              <w:pStyle w:val="Compact"/>
            </w:pPr>
            <w:r>
              <w:t>Risk Parity</w:t>
            </w:r>
          </w:p>
        </w:tc>
        <w:tc>
          <w:tcPr>
            <w:tcW w:w="0" w:type="auto"/>
          </w:tcPr>
          <w:p w14:paraId="3B6CC205" w14:textId="77777777" w:rsidR="00FA1406" w:rsidRDefault="00000000">
            <w:pPr>
              <w:pStyle w:val="Compact"/>
            </w:pPr>
            <w:r>
              <w:t>16,9 %</w:t>
            </w:r>
          </w:p>
        </w:tc>
        <w:tc>
          <w:tcPr>
            <w:tcW w:w="0" w:type="auto"/>
          </w:tcPr>
          <w:p w14:paraId="565C1022" w14:textId="77777777" w:rsidR="00FA1406" w:rsidRDefault="00000000">
            <w:pPr>
              <w:pStyle w:val="Compact"/>
            </w:pPr>
            <w:r>
              <w:t>0,79</w:t>
            </w:r>
          </w:p>
        </w:tc>
        <w:tc>
          <w:tcPr>
            <w:tcW w:w="0" w:type="auto"/>
          </w:tcPr>
          <w:p w14:paraId="24E3CBC9" w14:textId="77777777" w:rsidR="00FA1406" w:rsidRDefault="00000000">
            <w:pPr>
              <w:pStyle w:val="Compact"/>
            </w:pPr>
            <w:r>
              <w:t>0,96</w:t>
            </w:r>
          </w:p>
        </w:tc>
        <w:tc>
          <w:tcPr>
            <w:tcW w:w="0" w:type="auto"/>
          </w:tcPr>
          <w:p w14:paraId="520D92EB" w14:textId="77777777" w:rsidR="00FA1406" w:rsidRDefault="00000000">
            <w:pPr>
              <w:pStyle w:val="Compact"/>
            </w:pPr>
            <w:r>
              <w:t>−32,4 %</w:t>
            </w:r>
          </w:p>
        </w:tc>
      </w:tr>
    </w:tbl>
    <w:p w14:paraId="7EE16882" w14:textId="77777777" w:rsidR="00FA1406" w:rsidRPr="009118F6" w:rsidRDefault="00000000">
      <w:pPr>
        <w:pStyle w:val="Textkrper"/>
        <w:rPr>
          <w:lang w:val="de-DE"/>
        </w:rPr>
      </w:pPr>
      <w:r w:rsidRPr="009118F6">
        <w:rPr>
          <w:lang w:val="de-DE"/>
        </w:rPr>
        <w:lastRenderedPageBreak/>
        <w:t xml:space="preserve">Gemessen an den Punktschätzern rangiert der Random Forest mit einer Sharpe Ratio von 1,01 knapp vorn, gefolgt von Markowitz (0,92) und </w:t>
      </w:r>
      <w:proofErr w:type="spellStart"/>
      <w:r w:rsidRPr="009118F6">
        <w:rPr>
          <w:lang w:val="de-DE"/>
        </w:rPr>
        <w:t>Equal</w:t>
      </w:r>
      <w:proofErr w:type="spellEnd"/>
      <w:r w:rsidRPr="009118F6">
        <w:rPr>
          <w:lang w:val="de-DE"/>
        </w:rPr>
        <w:t xml:space="preserve"> Weight (0,91), die praktisch gleichauf liegen; Risk Parity bildet mit 0,79 das Schlusslicht. Bemerkenswert ist bereits hier, dass die aufwändigen Optimierungsverfahren die naive 1/N-Strategie nur geringfügig (Random Forest) bzw. kaum (Markowitz) übertreffen – ein erstes Indiz im Sinne des Befundes von DeMiguel, Garlappi und Uppal (Abschnitt 2.9). Den zeitlichen Verlauf der kumulierten Wertentwicklung samt </w:t>
      </w:r>
      <w:proofErr w:type="spellStart"/>
      <w:r w:rsidRPr="009118F6">
        <w:rPr>
          <w:lang w:val="de-DE"/>
        </w:rPr>
        <w:t>Drawdowns</w:t>
      </w:r>
      <w:proofErr w:type="spellEnd"/>
      <w:r w:rsidRPr="009118F6">
        <w:rPr>
          <w:lang w:val="de-DE"/>
        </w:rPr>
        <w:t xml:space="preserve"> zeigt Abbildung 2.</w:t>
      </w:r>
    </w:p>
    <w:p w14:paraId="28733EEF" w14:textId="77777777" w:rsidR="00FA1406" w:rsidRDefault="00000000">
      <w:pPr>
        <w:pStyle w:val="CaptionedFigure"/>
      </w:pPr>
      <w:r>
        <w:rPr>
          <w:noProof/>
        </w:rPr>
        <w:drawing>
          <wp:inline distT="0" distB="0" distL="0" distR="0" wp14:anchorId="16B2FCFF" wp14:editId="6BA09175">
            <wp:extent cx="5334000" cy="3249662"/>
            <wp:effectExtent l="0" t="0" r="0" b="0"/>
            <wp:docPr id="49" name="Picture" descr="Abbildung 2: Kumulierte Wertentwicklung der vier Strategien (Startwert 1 €, 2015–2024) nach Transaktionskosten; das untere Panel zeigt den jeweiligen Drawdown-Verlauf."/>
            <wp:cNvGraphicFramePr/>
            <a:graphic xmlns:a="http://schemas.openxmlformats.org/drawingml/2006/main">
              <a:graphicData uri="http://schemas.openxmlformats.org/drawingml/2006/picture">
                <pic:pic xmlns:pic="http://schemas.openxmlformats.org/drawingml/2006/picture">
                  <pic:nvPicPr>
                    <pic:cNvPr id="50" name="Picture" descr="output1.6/01_kumulierte_renditen.png"/>
                    <pic:cNvPicPr>
                      <a:picLocks noChangeAspect="1" noChangeArrowheads="1"/>
                    </pic:cNvPicPr>
                  </pic:nvPicPr>
                  <pic:blipFill>
                    <a:blip r:embed="rId9"/>
                    <a:stretch>
                      <a:fillRect/>
                    </a:stretch>
                  </pic:blipFill>
                  <pic:spPr bwMode="auto">
                    <a:xfrm>
                      <a:off x="0" y="0"/>
                      <a:ext cx="5334000" cy="3249662"/>
                    </a:xfrm>
                    <a:prstGeom prst="rect">
                      <a:avLst/>
                    </a:prstGeom>
                    <a:noFill/>
                    <a:ln w="9525">
                      <a:noFill/>
                      <a:headEnd/>
                      <a:tailEnd/>
                    </a:ln>
                  </pic:spPr>
                </pic:pic>
              </a:graphicData>
            </a:graphic>
          </wp:inline>
        </w:drawing>
      </w:r>
    </w:p>
    <w:p w14:paraId="68422C77" w14:textId="77777777" w:rsidR="00FA1406" w:rsidRPr="009118F6" w:rsidRDefault="00000000">
      <w:pPr>
        <w:pStyle w:val="ImageCaption"/>
        <w:rPr>
          <w:lang w:val="de-DE"/>
        </w:rPr>
      </w:pPr>
      <w:r w:rsidRPr="009118F6">
        <w:rPr>
          <w:lang w:val="de-DE"/>
        </w:rPr>
        <w:t xml:space="preserve">Abbildung 2: Kumulierte Wertentwicklung der vier Strategien (Startwert 1 €, 2015–2024) nach Transaktionskosten; das untere Panel zeigt den jeweiligen </w:t>
      </w:r>
      <w:proofErr w:type="spellStart"/>
      <w:r w:rsidRPr="009118F6">
        <w:rPr>
          <w:lang w:val="de-DE"/>
        </w:rPr>
        <w:t>Drawdown</w:t>
      </w:r>
      <w:proofErr w:type="spellEnd"/>
      <w:r w:rsidRPr="009118F6">
        <w:rPr>
          <w:lang w:val="de-DE"/>
        </w:rPr>
        <w:t>-Verlauf.</w:t>
      </w:r>
    </w:p>
    <w:p w14:paraId="4DB0C2AC" w14:textId="77777777" w:rsidR="00FA1406" w:rsidRPr="009118F6" w:rsidRDefault="00000000">
      <w:pPr>
        <w:pStyle w:val="berschrift2"/>
        <w:rPr>
          <w:lang w:val="de-DE"/>
        </w:rPr>
      </w:pPr>
      <w:bookmarkStart w:id="77" w:name="X00b641efc050fa26c9cbcca4f219c205baa1dc2"/>
      <w:bookmarkStart w:id="78" w:name="_Toc234524413"/>
      <w:bookmarkEnd w:id="75"/>
      <w:r w:rsidRPr="009118F6">
        <w:rPr>
          <w:lang w:val="de-DE"/>
        </w:rPr>
        <w:t>7.2 Statistische Signifikanz der Unterschiede</w:t>
      </w:r>
      <w:bookmarkEnd w:id="78"/>
    </w:p>
    <w:p w14:paraId="11291A7A" w14:textId="77777777" w:rsidR="00FA1406" w:rsidRPr="009118F6" w:rsidRDefault="00000000">
      <w:pPr>
        <w:pStyle w:val="FirstParagraph"/>
        <w:rPr>
          <w:lang w:val="de-DE"/>
        </w:rPr>
      </w:pPr>
      <w:r w:rsidRPr="009118F6">
        <w:rPr>
          <w:lang w:val="de-DE"/>
        </w:rPr>
        <w:t xml:space="preserve">Punktschätzer allein sind jedoch nicht aussagekräftig (Kapitel 5). Der robuste Sharpe-Differenz-Test (Abschnitt 5.2) liefert für die fünf paarweisen Vergleiche die folgenden p-Werte: Random Forest gegen Markowitz </w:t>
      </w:r>
      <m:oMath>
        <m:r>
          <w:rPr>
            <w:rFonts w:ascii="Cambria Math" w:hAnsi="Cambria Math"/>
          </w:rPr>
          <m:t>p</m:t>
        </m:r>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69</m:t>
        </m:r>
      </m:oMath>
      <w:r w:rsidRPr="009118F6">
        <w:rPr>
          <w:lang w:val="de-DE"/>
        </w:rPr>
        <w:t xml:space="preserve">, Random Forest gegen Equal Weight </w:t>
      </w:r>
      <m:oMath>
        <m:r>
          <w:rPr>
            <w:rFonts w:ascii="Cambria Math" w:hAnsi="Cambria Math"/>
          </w:rPr>
          <m:t>p</m:t>
        </m:r>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53</m:t>
        </m:r>
      </m:oMath>
      <w:r w:rsidRPr="009118F6">
        <w:rPr>
          <w:lang w:val="de-DE"/>
        </w:rPr>
        <w:t xml:space="preserve">, Markowitz gegen Equal Weight </w:t>
      </w:r>
      <m:oMath>
        <m:r>
          <w:rPr>
            <w:rFonts w:ascii="Cambria Math" w:hAnsi="Cambria Math"/>
          </w:rPr>
          <m:t>p</m:t>
        </m:r>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95</m:t>
        </m:r>
      </m:oMath>
      <w:r w:rsidRPr="009118F6">
        <w:rPr>
          <w:lang w:val="de-DE"/>
        </w:rPr>
        <w:t xml:space="preserve">, Risk Parity gegen Equal Weight </w:t>
      </w:r>
      <m:oMath>
        <m:r>
          <w:rPr>
            <w:rFonts w:ascii="Cambria Math" w:hAnsi="Cambria Math"/>
          </w:rPr>
          <m:t>p</m:t>
        </m:r>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004</m:t>
        </m:r>
      </m:oMath>
      <w:r w:rsidRPr="009118F6">
        <w:rPr>
          <w:lang w:val="de-DE"/>
        </w:rPr>
        <w:t xml:space="preserve"> sowie Markowitz gegen Risk Parity </w:t>
      </w:r>
      <m:oMath>
        <m:r>
          <w:rPr>
            <w:rFonts w:ascii="Cambria Math" w:hAnsi="Cambria Math"/>
          </w:rPr>
          <m:t>p</m:t>
        </m:r>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48</m:t>
        </m:r>
      </m:oMath>
      <w:r w:rsidRPr="009118F6">
        <w:rPr>
          <w:lang w:val="de-DE"/>
        </w:rPr>
        <w:t xml:space="preserve">. Nach der Holm-Korrektur für multiples Testen (Abschnitt 5.3) bleibt nur ein einziger Vergleich signifikant: Risk Parity ist signifikant </w:t>
      </w:r>
      <w:r w:rsidRPr="009118F6">
        <w:rPr>
          <w:i/>
          <w:iCs/>
          <w:lang w:val="de-DE"/>
        </w:rPr>
        <w:t>schlechter</w:t>
      </w:r>
      <w:r w:rsidRPr="009118F6">
        <w:rPr>
          <w:lang w:val="de-DE"/>
        </w:rPr>
        <w:t xml:space="preserve"> als </w:t>
      </w:r>
      <w:proofErr w:type="spellStart"/>
      <w:r w:rsidRPr="009118F6">
        <w:rPr>
          <w:lang w:val="de-DE"/>
        </w:rPr>
        <w:t>Equal</w:t>
      </w:r>
      <w:proofErr w:type="spellEnd"/>
      <w:r w:rsidRPr="009118F6">
        <w:rPr>
          <w:lang w:val="de-DE"/>
        </w:rPr>
        <w:t xml:space="preserve"> Weight (</w:t>
      </w:r>
      <m:oMath>
        <m:sSub>
          <m:sSubPr>
            <m:ctrlPr>
              <w:rPr>
                <w:rFonts w:ascii="Cambria Math" w:hAnsi="Cambria Math"/>
              </w:rPr>
            </m:ctrlPr>
          </m:sSubPr>
          <m:e>
            <m:r>
              <w:rPr>
                <w:rFonts w:ascii="Cambria Math" w:hAnsi="Cambria Math"/>
              </w:rPr>
              <m:t>p</m:t>
            </m:r>
          </m:e>
          <m:sub>
            <m:r>
              <m:rPr>
                <m:nor/>
              </m:rPr>
              <w:rPr>
                <w:lang w:val="de-DE"/>
              </w:rPr>
              <m:t>Holm</m:t>
            </m:r>
          </m:sub>
        </m:sSub>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018</m:t>
        </m:r>
      </m:oMath>
      <w:r w:rsidRPr="009118F6">
        <w:rPr>
          <w:lang w:val="de-DE"/>
        </w:rPr>
        <w:t xml:space="preserve">). Insbesondere ist der scheinbare </w:t>
      </w:r>
      <w:r w:rsidRPr="009118F6">
        <w:rPr>
          <w:lang w:val="de-DE"/>
        </w:rPr>
        <w:lastRenderedPageBreak/>
        <w:t xml:space="preserve">Vorsprung des Random Forest gegenüber Markowitz und Equal Weight statistisch </w:t>
      </w:r>
      <w:r w:rsidRPr="009118F6">
        <w:rPr>
          <w:i/>
          <w:iCs/>
          <w:lang w:val="de-DE"/>
        </w:rPr>
        <w:t>nicht</w:t>
      </w:r>
      <w:r w:rsidRPr="009118F6">
        <w:rPr>
          <w:lang w:val="de-DE"/>
        </w:rPr>
        <w:t xml:space="preserve"> signifikant, und der Unterschied zwischen Markowitz und </w:t>
      </w:r>
      <w:proofErr w:type="spellStart"/>
      <w:r w:rsidRPr="009118F6">
        <w:rPr>
          <w:lang w:val="de-DE"/>
        </w:rPr>
        <w:t>Equal</w:t>
      </w:r>
      <w:proofErr w:type="spellEnd"/>
      <w:r w:rsidRPr="009118F6">
        <w:rPr>
          <w:lang w:val="de-DE"/>
        </w:rPr>
        <w:t xml:space="preserve"> Weight ist mit </w:t>
      </w:r>
      <m:oMath>
        <m:r>
          <w:rPr>
            <w:rFonts w:ascii="Cambria Math" w:hAnsi="Cambria Math"/>
          </w:rPr>
          <m:t>p</m:t>
        </m:r>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95</m:t>
        </m:r>
      </m:oMath>
      <w:r w:rsidRPr="009118F6">
        <w:rPr>
          <w:lang w:val="de-DE"/>
        </w:rPr>
        <w:t xml:space="preserve"> vernachlässigbar. Damit schlägt </w:t>
      </w:r>
      <w:r w:rsidRPr="009118F6">
        <w:rPr>
          <w:i/>
          <w:iCs/>
          <w:lang w:val="de-DE"/>
        </w:rPr>
        <w:t>keine</w:t>
      </w:r>
      <w:r w:rsidRPr="009118F6">
        <w:rPr>
          <w:lang w:val="de-DE"/>
        </w:rPr>
        <w:t xml:space="preserve"> der aktiven Strategien die naive 1/N-Benchmark in statistisch belastbarer Weise. Dass die Strategien über den gesamten Zeitraum eng beieinander liegen und sich ihre Rangfolge fortlaufend ändert, veranschaulicht auch der rollierende Sharpe-Verlauf (Abbildung 3).</w:t>
      </w:r>
    </w:p>
    <w:p w14:paraId="70E97390" w14:textId="77777777" w:rsidR="00FA1406" w:rsidRDefault="00000000">
      <w:pPr>
        <w:pStyle w:val="CaptionedFigure"/>
      </w:pPr>
      <w:r>
        <w:rPr>
          <w:noProof/>
        </w:rPr>
        <w:drawing>
          <wp:inline distT="0" distB="0" distL="0" distR="0" wp14:anchorId="09F93902" wp14:editId="390CACD0">
            <wp:extent cx="5334000" cy="2012673"/>
            <wp:effectExtent l="0" t="0" r="0" b="0"/>
            <wp:docPr id="53" name="Picture" descr="Abbildung 3: Rollierender Sharpe Ratio (252-Tage-Fenster) der vier Strategien. Die Kurven verlaufen über weite Strecken ineinander verschränkt – ein anschaulicher Hinweis darauf, dass keine Strategie dauerhaft dominiert."/>
            <wp:cNvGraphicFramePr/>
            <a:graphic xmlns:a="http://schemas.openxmlformats.org/drawingml/2006/main">
              <a:graphicData uri="http://schemas.openxmlformats.org/drawingml/2006/picture">
                <pic:pic xmlns:pic="http://schemas.openxmlformats.org/drawingml/2006/picture">
                  <pic:nvPicPr>
                    <pic:cNvPr id="54" name="Picture" descr="output1.6/06_rollierender_sharpe.png"/>
                    <pic:cNvPicPr>
                      <a:picLocks noChangeAspect="1" noChangeArrowheads="1"/>
                    </pic:cNvPicPr>
                  </pic:nvPicPr>
                  <pic:blipFill>
                    <a:blip r:embed="rId10"/>
                    <a:stretch>
                      <a:fillRect/>
                    </a:stretch>
                  </pic:blipFill>
                  <pic:spPr bwMode="auto">
                    <a:xfrm>
                      <a:off x="0" y="0"/>
                      <a:ext cx="5334000" cy="2012673"/>
                    </a:xfrm>
                    <a:prstGeom prst="rect">
                      <a:avLst/>
                    </a:prstGeom>
                    <a:noFill/>
                    <a:ln w="9525">
                      <a:noFill/>
                      <a:headEnd/>
                      <a:tailEnd/>
                    </a:ln>
                  </pic:spPr>
                </pic:pic>
              </a:graphicData>
            </a:graphic>
          </wp:inline>
        </w:drawing>
      </w:r>
    </w:p>
    <w:p w14:paraId="470352D3" w14:textId="77777777" w:rsidR="00FA1406" w:rsidRPr="009118F6" w:rsidRDefault="00000000">
      <w:pPr>
        <w:pStyle w:val="ImageCaption"/>
        <w:rPr>
          <w:lang w:val="de-DE"/>
        </w:rPr>
      </w:pPr>
      <w:r w:rsidRPr="009118F6">
        <w:rPr>
          <w:lang w:val="de-DE"/>
        </w:rPr>
        <w:t>Abbildung 3: Rollierender Sharpe Ratio (252-Tage-Fenster) der vier Strategien. Die Kurven verlaufen über weite Strecken ineinander verschränkt – ein anschaulicher Hinweis darauf, dass keine Strategie dauerhaft dominiert.</w:t>
      </w:r>
    </w:p>
    <w:p w14:paraId="658D37B3" w14:textId="77777777" w:rsidR="00FA1406" w:rsidRPr="009118F6" w:rsidRDefault="00000000">
      <w:pPr>
        <w:pStyle w:val="berschrift2"/>
        <w:rPr>
          <w:lang w:val="de-DE"/>
        </w:rPr>
      </w:pPr>
      <w:bookmarkStart w:id="79" w:name="deflated-sharpe-ratio"/>
      <w:bookmarkStart w:id="80" w:name="_Toc234524414"/>
      <w:bookmarkEnd w:id="77"/>
      <w:r w:rsidRPr="009118F6">
        <w:rPr>
          <w:lang w:val="de-DE"/>
        </w:rPr>
        <w:t xml:space="preserve">7.3 </w:t>
      </w:r>
      <w:proofErr w:type="spellStart"/>
      <w:r w:rsidRPr="009118F6">
        <w:rPr>
          <w:lang w:val="de-DE"/>
        </w:rPr>
        <w:t>Deflated</w:t>
      </w:r>
      <w:proofErr w:type="spellEnd"/>
      <w:r w:rsidRPr="009118F6">
        <w:rPr>
          <w:lang w:val="de-DE"/>
        </w:rPr>
        <w:t xml:space="preserve"> Sharpe Ratio</w:t>
      </w:r>
      <w:bookmarkEnd w:id="80"/>
    </w:p>
    <w:p w14:paraId="759EC011" w14:textId="77777777" w:rsidR="00FA1406" w:rsidRPr="009118F6" w:rsidRDefault="00000000">
      <w:pPr>
        <w:pStyle w:val="FirstParagraph"/>
        <w:rPr>
          <w:lang w:val="de-DE"/>
        </w:rPr>
      </w:pPr>
      <w:r w:rsidRPr="009118F6">
        <w:rPr>
          <w:lang w:val="de-DE"/>
        </w:rPr>
        <w:t xml:space="preserve">Die </w:t>
      </w:r>
      <w:proofErr w:type="spellStart"/>
      <w:r w:rsidRPr="009118F6">
        <w:rPr>
          <w:lang w:val="de-DE"/>
        </w:rPr>
        <w:t>Deflated</w:t>
      </w:r>
      <w:proofErr w:type="spellEnd"/>
      <w:r w:rsidRPr="009118F6">
        <w:rPr>
          <w:lang w:val="de-DE"/>
        </w:rPr>
        <w:t xml:space="preserve"> Sharpe Ratio (Abschnitt 5.4) liegt für alle vier Strategien über 0,95 (Random Forest 0,997; Markowitz 0,995; </w:t>
      </w:r>
      <w:proofErr w:type="spellStart"/>
      <w:r w:rsidRPr="009118F6">
        <w:rPr>
          <w:lang w:val="de-DE"/>
        </w:rPr>
        <w:t>Equal</w:t>
      </w:r>
      <w:proofErr w:type="spellEnd"/>
      <w:r w:rsidRPr="009118F6">
        <w:rPr>
          <w:lang w:val="de-DE"/>
        </w:rPr>
        <w:t xml:space="preserve"> Weight 0,994; Risk Parity 0,986). Jede Einzelstrategie besitzt somit – auch nach Korrektur für Selektionsverzerrung und Nicht-Normalität – mit hoher Wahrscheinlichkeit eine echte positive Sharpe Ratio. Dieser Befund bestätigt, dass alle vier Ansätze über den Untersuchungszeitraum profitabel waren; über ihre </w:t>
      </w:r>
      <w:r w:rsidRPr="009118F6">
        <w:rPr>
          <w:i/>
          <w:iCs/>
          <w:lang w:val="de-DE"/>
        </w:rPr>
        <w:t>Rangfolge</w:t>
      </w:r>
      <w:r w:rsidRPr="009118F6">
        <w:rPr>
          <w:lang w:val="de-DE"/>
        </w:rPr>
        <w:t xml:space="preserve"> untereinander trifft er hingegen keine Aussage.</w:t>
      </w:r>
    </w:p>
    <w:p w14:paraId="663B378C" w14:textId="77777777" w:rsidR="00FA1406" w:rsidRPr="009118F6" w:rsidRDefault="00000000">
      <w:pPr>
        <w:pStyle w:val="berschrift1"/>
        <w:rPr>
          <w:lang w:val="de-DE"/>
        </w:rPr>
      </w:pPr>
      <w:bookmarkStart w:id="81" w:name="diskussion-und-kritische-würdigung"/>
      <w:bookmarkStart w:id="82" w:name="_Toc234524415"/>
      <w:bookmarkEnd w:id="73"/>
      <w:bookmarkEnd w:id="79"/>
      <w:r w:rsidRPr="009118F6">
        <w:rPr>
          <w:lang w:val="de-DE"/>
        </w:rPr>
        <w:t>8 Diskussion und kritische Würdigung</w:t>
      </w:r>
      <w:bookmarkEnd w:id="82"/>
    </w:p>
    <w:p w14:paraId="08CEDAF1" w14:textId="77777777" w:rsidR="00FA1406" w:rsidRPr="009118F6" w:rsidRDefault="00000000">
      <w:pPr>
        <w:pStyle w:val="berschrift2"/>
        <w:rPr>
          <w:lang w:val="de-DE"/>
        </w:rPr>
      </w:pPr>
      <w:bookmarkStart w:id="83" w:name="einordnung-des-kernbefunds"/>
      <w:bookmarkStart w:id="84" w:name="_Toc234524416"/>
      <w:r w:rsidRPr="009118F6">
        <w:rPr>
          <w:lang w:val="de-DE"/>
        </w:rPr>
        <w:t>8.1 Einordnung des Kernbefunds</w:t>
      </w:r>
      <w:bookmarkEnd w:id="84"/>
    </w:p>
    <w:p w14:paraId="02B2044E" w14:textId="77777777" w:rsidR="00FA1406" w:rsidRPr="009118F6" w:rsidRDefault="00000000">
      <w:pPr>
        <w:pStyle w:val="FirstParagraph"/>
        <w:rPr>
          <w:lang w:val="de-DE"/>
        </w:rPr>
      </w:pPr>
      <w:r w:rsidRPr="009118F6">
        <w:rPr>
          <w:lang w:val="de-DE"/>
        </w:rPr>
        <w:t xml:space="preserve">Der zentrale Befund – keine aktive Strategie schlägt </w:t>
      </w:r>
      <w:proofErr w:type="spellStart"/>
      <w:r w:rsidRPr="009118F6">
        <w:rPr>
          <w:lang w:val="de-DE"/>
        </w:rPr>
        <w:t>Equal</w:t>
      </w:r>
      <w:proofErr w:type="spellEnd"/>
      <w:r w:rsidRPr="009118F6">
        <w:rPr>
          <w:lang w:val="de-DE"/>
        </w:rPr>
        <w:t xml:space="preserve"> Weight in statistisch belastbarer Weise – fügt sich nahtlos in die Literatur ein. DeMiguel, Garlappi und Uppal zeigten, dass </w:t>
      </w:r>
      <w:r w:rsidRPr="009118F6">
        <w:rPr>
          <w:lang w:val="de-DE"/>
        </w:rPr>
        <w:lastRenderedPageBreak/>
        <w:t>die naive 1/N-Regel out-</w:t>
      </w:r>
      <w:proofErr w:type="spellStart"/>
      <w:r w:rsidRPr="009118F6">
        <w:rPr>
          <w:lang w:val="de-DE"/>
        </w:rPr>
        <w:t>of</w:t>
      </w:r>
      <w:proofErr w:type="spellEnd"/>
      <w:r w:rsidRPr="009118F6">
        <w:rPr>
          <w:lang w:val="de-DE"/>
        </w:rPr>
        <w:t xml:space="preserve">-sample häufig nicht zu schlagen ist, weil der Schätzfehler den Vorteil der Optimierung auffrisst (Abschnitt 2.9). Die vorliegende Untersuchung bestätigt dies an einem eigenen Datensatz: Markowitz und </w:t>
      </w:r>
      <w:proofErr w:type="spellStart"/>
      <w:r w:rsidRPr="009118F6">
        <w:rPr>
          <w:lang w:val="de-DE"/>
        </w:rPr>
        <w:t>Equal</w:t>
      </w:r>
      <w:proofErr w:type="spellEnd"/>
      <w:r w:rsidRPr="009118F6">
        <w:rPr>
          <w:lang w:val="de-DE"/>
        </w:rPr>
        <w:t xml:space="preserve"> Weight sind praktisch ununterscheidbar (</w:t>
      </w:r>
      <m:oMath>
        <m:r>
          <w:rPr>
            <w:rFonts w:ascii="Cambria Math" w:hAnsi="Cambria Math"/>
          </w:rPr>
          <m:t>p</m:t>
        </m:r>
        <m:r>
          <m:rPr>
            <m:sty m:val="p"/>
          </m:rPr>
          <w:rPr>
            <w:rFonts w:ascii="Cambria Math" w:hAnsi="Cambria Math"/>
            <w:lang w:val="de-DE"/>
          </w:rPr>
          <m:t>=</m:t>
        </m:r>
        <m:r>
          <w:rPr>
            <w:rFonts w:ascii="Cambria Math" w:hAnsi="Cambria Math"/>
            <w:lang w:val="de-DE"/>
          </w:rPr>
          <m:t>0</m:t>
        </m:r>
        <m:r>
          <m:rPr>
            <m:sty m:val="p"/>
          </m:rPr>
          <w:rPr>
            <w:rFonts w:ascii="Cambria Math" w:hAnsi="Cambria Math"/>
            <w:lang w:val="de-DE"/>
          </w:rPr>
          <m:t>,</m:t>
        </m:r>
        <m:r>
          <w:rPr>
            <w:rFonts w:ascii="Cambria Math" w:hAnsi="Cambria Math"/>
            <w:lang w:val="de-DE"/>
          </w:rPr>
          <m:t>95</m:t>
        </m:r>
      </m:oMath>
      <w:r w:rsidRPr="009118F6">
        <w:rPr>
          <w:lang w:val="de-DE"/>
        </w:rPr>
        <w:t>), und auch der Random Forest – der gerade die fehleranfälligste Eingangsgröße zu verbessern sucht – erzielt keinen signifikanten Vorsprung. Letzteres deckt sich mit der geringen Prognosegüte, die Gu, Kelly und Xiu für ML-Renditeprognosen berichten (Abschnitt 3.4): Wenn das Out-of-Sample-</w:t>
      </w:r>
      <m:oMath>
        <m:sSup>
          <m:sSupPr>
            <m:ctrlPr>
              <w:rPr>
                <w:rFonts w:ascii="Cambria Math" w:hAnsi="Cambria Math"/>
              </w:rPr>
            </m:ctrlPr>
          </m:sSupPr>
          <m:e>
            <m:r>
              <w:rPr>
                <w:rFonts w:ascii="Cambria Math" w:hAnsi="Cambria Math"/>
              </w:rPr>
              <m:t>R</m:t>
            </m:r>
          </m:e>
          <m:sup>
            <m:r>
              <w:rPr>
                <w:rFonts w:ascii="Cambria Math" w:hAnsi="Cambria Math"/>
                <w:lang w:val="de-DE"/>
              </w:rPr>
              <m:t>2</m:t>
            </m:r>
          </m:sup>
        </m:sSup>
      </m:oMath>
      <w:r w:rsidRPr="009118F6">
        <w:rPr>
          <w:lang w:val="de-DE"/>
        </w:rPr>
        <w:t xml:space="preserve"> selbst der besten Verfahren nur etwa 0,4 % beträgt, ist ein robust messbarer Performancevorsprung kaum zu erwarten.</w:t>
      </w:r>
    </w:p>
    <w:p w14:paraId="025BD305" w14:textId="77777777" w:rsidR="00FA1406" w:rsidRPr="009118F6" w:rsidRDefault="00000000">
      <w:pPr>
        <w:pStyle w:val="berschrift2"/>
        <w:rPr>
          <w:lang w:val="de-DE"/>
        </w:rPr>
      </w:pPr>
      <w:bookmarkStart w:id="85" w:name="survivorship-bias"/>
      <w:bookmarkStart w:id="86" w:name="_Toc234524417"/>
      <w:bookmarkEnd w:id="83"/>
      <w:r w:rsidRPr="009118F6">
        <w:rPr>
          <w:lang w:val="de-DE"/>
        </w:rPr>
        <w:t>8.2 Survivorship Bias</w:t>
      </w:r>
      <w:bookmarkEnd w:id="86"/>
    </w:p>
    <w:p w14:paraId="17BB2084" w14:textId="77777777" w:rsidR="00FA1406" w:rsidRPr="009118F6" w:rsidRDefault="00000000">
      <w:pPr>
        <w:pStyle w:val="FirstParagraph"/>
        <w:rPr>
          <w:lang w:val="de-DE"/>
        </w:rPr>
      </w:pPr>
      <w:r w:rsidRPr="009118F6">
        <w:rPr>
          <w:lang w:val="de-DE"/>
        </w:rPr>
        <w:t xml:space="preserve">Die wichtigste Einschränkung der Untersuchung ist der Survivorship Bias. Das Anlageuniversum besteht aus fünfzehn heute noch existierenden Aktien; Titel, die im Untersuchungszeitraum ausschieden, fusionierten oder scheiterten, fehlen vollständig. Brown, Goetzmann, Ibbotson und Ross zeigen, dass eine durch Überleben „abgeschnittene” Stichprobe scheinbare Muster erzeugen kann – in ihrem Fall die scheinbare Vorhersagbarkeit von Renditen (Brown et al., 1992, S. 553). Übertragen auf die vorliegende Arbeit bedeutet dies, dass die absoluten Renditen aller vier Strategien systematisch nach oben verzerrt sind. Da jedoch sämtliche Strategien dasselbe verzerrte Universum nutzen, ist der </w:t>
      </w:r>
      <w:r w:rsidRPr="009118F6">
        <w:rPr>
          <w:i/>
          <w:iCs/>
          <w:lang w:val="de-DE"/>
        </w:rPr>
        <w:t>relative</w:t>
      </w:r>
      <w:r w:rsidRPr="009118F6">
        <w:rPr>
          <w:lang w:val="de-DE"/>
        </w:rPr>
        <w:t xml:space="preserve"> Vergleich – und damit der Kernbefund, dass keine Strategie </w:t>
      </w:r>
      <w:proofErr w:type="spellStart"/>
      <w:r w:rsidRPr="009118F6">
        <w:rPr>
          <w:lang w:val="de-DE"/>
        </w:rPr>
        <w:t>Equal</w:t>
      </w:r>
      <w:proofErr w:type="spellEnd"/>
      <w:r w:rsidRPr="009118F6">
        <w:rPr>
          <w:lang w:val="de-DE"/>
        </w:rPr>
        <w:t xml:space="preserve"> Weight signifikant schlägt – deutlich weniger betroffen als die absoluten Renditeniveaus. Methodisch ließe sich der Bias durch ein </w:t>
      </w:r>
      <w:proofErr w:type="spellStart"/>
      <w:r w:rsidRPr="009118F6">
        <w:rPr>
          <w:i/>
          <w:iCs/>
          <w:lang w:val="de-DE"/>
        </w:rPr>
        <w:t>point</w:t>
      </w:r>
      <w:proofErr w:type="spellEnd"/>
      <w:r w:rsidRPr="009118F6">
        <w:rPr>
          <w:i/>
          <w:iCs/>
          <w:lang w:val="de-DE"/>
        </w:rPr>
        <w:t>-in-time</w:t>
      </w:r>
      <w:r w:rsidRPr="009118F6">
        <w:rPr>
          <w:lang w:val="de-DE"/>
        </w:rPr>
        <w:t xml:space="preserve"> zusammengesetztes Universum vermeiden, das zu jedem Zeitpunkt die tatsächlich gehandelten – einschließlich später ausgeschiedener – Titel enthält; entsprechende Daten standen für diese Arbeit jedoch nicht zur Verfügung. Die Ergebnisse sind daher als relativer Strategievergleich </w:t>
      </w:r>
      <w:proofErr w:type="gramStart"/>
      <w:r w:rsidRPr="009118F6">
        <w:rPr>
          <w:lang w:val="de-DE"/>
        </w:rPr>
        <w:t>aussagekräftiger</w:t>
      </w:r>
      <w:proofErr w:type="gramEnd"/>
      <w:r w:rsidRPr="009118F6">
        <w:rPr>
          <w:lang w:val="de-DE"/>
        </w:rPr>
        <w:t xml:space="preserve"> denn als Prognose absoluter Renditen.</w:t>
      </w:r>
    </w:p>
    <w:p w14:paraId="00DB2D30" w14:textId="77777777" w:rsidR="00FA1406" w:rsidRPr="009118F6" w:rsidRDefault="00000000">
      <w:pPr>
        <w:pStyle w:val="berschrift2"/>
        <w:rPr>
          <w:lang w:val="de-DE"/>
        </w:rPr>
      </w:pPr>
      <w:bookmarkStart w:id="87" w:name="weitere-limitationen"/>
      <w:bookmarkStart w:id="88" w:name="_Toc234524418"/>
      <w:bookmarkEnd w:id="85"/>
      <w:r w:rsidRPr="009118F6">
        <w:rPr>
          <w:lang w:val="de-DE"/>
        </w:rPr>
        <w:t>8.3 Weitere Limitationen</w:t>
      </w:r>
      <w:bookmarkEnd w:id="88"/>
    </w:p>
    <w:p w14:paraId="73612FFE" w14:textId="77777777" w:rsidR="00FA1406" w:rsidRPr="009118F6" w:rsidRDefault="00000000">
      <w:pPr>
        <w:pStyle w:val="FirstParagraph"/>
        <w:rPr>
          <w:lang w:val="de-DE"/>
        </w:rPr>
      </w:pPr>
      <w:r w:rsidRPr="009118F6">
        <w:rPr>
          <w:lang w:val="de-DE"/>
        </w:rPr>
        <w:t xml:space="preserve">Weitere Einschränkungen sind zu nennen. Erstens wird ein konstanter risikofreier Zins von 4 % unterstellt, obwohl die US-Zinsen über den Zeitraum erheblich schwankten; dies verzerrt die Sharpe </w:t>
      </w:r>
      <w:proofErr w:type="spellStart"/>
      <w:r w:rsidRPr="009118F6">
        <w:rPr>
          <w:lang w:val="de-DE"/>
        </w:rPr>
        <w:t>Ratios</w:t>
      </w:r>
      <w:proofErr w:type="spellEnd"/>
      <w:r w:rsidRPr="009118F6">
        <w:rPr>
          <w:lang w:val="de-DE"/>
        </w:rPr>
        <w:t xml:space="preserve"> periodenübergreifend. Zweitens sind die Transaktionskosten als </w:t>
      </w:r>
      <w:r w:rsidRPr="009118F6">
        <w:rPr>
          <w:lang w:val="de-DE"/>
        </w:rPr>
        <w:lastRenderedPageBreak/>
        <w:t>pauschaler Satz modelliert. Almgren und Chriss zeigen, dass reale Ausführungskosten aus permanentem und temporärem Markteinfluss bestehen und damit von Handelsgröße und Liquidität abhängen (Almgren &amp; Chriss, 2000, S. 1); ein pauschaler Satz unterschätzt somit die Kosten großer Umschichtungen. Drittens beruht die Untersuchung auf einem einzigen historischen Pfad, der von einem überwiegend steigenden Markt geprägt ist; die Ergebnisse sind daher regimeabhängig. Viertens umfasst das Anlageuniversum mit nur fünfzehn Titeln einen kleinen Marktausschnitt, was sowohl die Diversifikationsmöglichkeiten als auch die Trennschärfe der statistischen Tests begrenzt. Diese Limitationen schmälern die externe Validität, ändern jedoch nichts am methodisch abgesicherten Kernbefund.</w:t>
      </w:r>
    </w:p>
    <w:p w14:paraId="727B1BB3" w14:textId="77777777" w:rsidR="00FA1406" w:rsidRPr="009118F6" w:rsidRDefault="00000000">
      <w:pPr>
        <w:pStyle w:val="berschrift1"/>
        <w:rPr>
          <w:lang w:val="de-DE"/>
        </w:rPr>
      </w:pPr>
      <w:bookmarkStart w:id="89" w:name="fazit-und-ausblick"/>
      <w:bookmarkStart w:id="90" w:name="_Toc234524419"/>
      <w:bookmarkEnd w:id="81"/>
      <w:bookmarkEnd w:id="87"/>
      <w:r w:rsidRPr="009118F6">
        <w:rPr>
          <w:lang w:val="de-DE"/>
        </w:rPr>
        <w:t>9 Fazit und Ausblick</w:t>
      </w:r>
      <w:bookmarkEnd w:id="90"/>
    </w:p>
    <w:p w14:paraId="77E2A1ED" w14:textId="77777777" w:rsidR="00FA1406" w:rsidRPr="009118F6" w:rsidRDefault="00000000">
      <w:pPr>
        <w:pStyle w:val="berschrift2"/>
        <w:rPr>
          <w:lang w:val="de-DE"/>
        </w:rPr>
      </w:pPr>
      <w:bookmarkStart w:id="91" w:name="beantwortung-der-forschungsfrage"/>
      <w:bookmarkStart w:id="92" w:name="_Toc234524420"/>
      <w:r w:rsidRPr="009118F6">
        <w:rPr>
          <w:lang w:val="de-DE"/>
        </w:rPr>
        <w:t>9.1 Beantwortung der Forschungsfrage</w:t>
      </w:r>
      <w:bookmarkEnd w:id="92"/>
    </w:p>
    <w:p w14:paraId="4C6B03B2" w14:textId="77777777" w:rsidR="00FA1406" w:rsidRPr="009118F6" w:rsidRDefault="00000000">
      <w:pPr>
        <w:pStyle w:val="FirstParagraph"/>
        <w:rPr>
          <w:lang w:val="de-DE"/>
        </w:rPr>
      </w:pPr>
      <w:r w:rsidRPr="009118F6">
        <w:rPr>
          <w:lang w:val="de-DE"/>
        </w:rPr>
        <w:t>Die Arbeit ging der Frage nach, ob eine Random-Forest-gestützte Portfoliooptimierung die klassische Markowitz-Optimierung und die naive 1/N-Diversifikation hinsichtlich der risikoadjustierten Rendite übertrifft – und ob ein etwaiger Vorsprung statistisch belastbar ist.</w:t>
      </w:r>
    </w:p>
    <w:p w14:paraId="4079B495" w14:textId="77777777" w:rsidR="00FA1406" w:rsidRPr="009118F6" w:rsidRDefault="00000000">
      <w:pPr>
        <w:pStyle w:val="Textkrper"/>
        <w:rPr>
          <w:lang w:val="de-DE"/>
        </w:rPr>
      </w:pPr>
      <w:r w:rsidRPr="009118F6">
        <w:rPr>
          <w:lang w:val="de-DE"/>
        </w:rPr>
        <w:t>Die Antwort fällt entlang der fünf Leitfragen klar aus. Die theoretische Analyse (LF 1) zeigte, dass die Mean-</w:t>
      </w:r>
      <w:proofErr w:type="spellStart"/>
      <w:r w:rsidRPr="009118F6">
        <w:rPr>
          <w:lang w:val="de-DE"/>
        </w:rPr>
        <w:t>Variance</w:t>
      </w:r>
      <w:proofErr w:type="spellEnd"/>
      <w:r w:rsidRPr="009118F6">
        <w:rPr>
          <w:lang w:val="de-DE"/>
        </w:rPr>
        <w:t xml:space="preserve">-Optimierung zwar die risikoadjustierte Rendite maximiert, dabei aber entscheidend von der Schätzung der erwarteten Renditen abhängt – jener Eingangsgröße, deren Fehler am schwersten wiegen. Der Random Forest (LF 2) kann diese Schätzung prinzipiell verbessern, jedoch nur mit sehr geringer Prognosegüte. Methodisch (LF 3) wurde der Vergleich verzerrungsfrei über ein Walk-Forward-Backtesting mit Look-Ahead-Schutz und Transaktionskosten geführt. Die statistische Prüfung (LF 4) schließlich ergab das zentrale Ergebnis (LF 5): Der Random Forest erzielt zwar die höchste Sharpe Ratio (1,01), doch nach dem robusten Sharpe-Differenz-Test und der Holm-Korrektur schlägt </w:t>
      </w:r>
      <w:r w:rsidRPr="009118F6">
        <w:rPr>
          <w:i/>
          <w:iCs/>
          <w:lang w:val="de-DE"/>
        </w:rPr>
        <w:t>keine</w:t>
      </w:r>
      <w:r w:rsidRPr="009118F6">
        <w:rPr>
          <w:lang w:val="de-DE"/>
        </w:rPr>
        <w:t xml:space="preserve"> aktive Strategie – weder der Random Forest noch die Markowitz-Optimierung – die naive 1/N-Benchmark in statistisch belastbarer Weise; signifikant ist allein, dass Risk Parity </w:t>
      </w:r>
      <w:r w:rsidRPr="009118F6">
        <w:rPr>
          <w:i/>
          <w:iCs/>
          <w:lang w:val="de-DE"/>
        </w:rPr>
        <w:t>schlechter</w:t>
      </w:r>
      <w:r w:rsidRPr="009118F6">
        <w:rPr>
          <w:lang w:val="de-DE"/>
        </w:rPr>
        <w:t xml:space="preserve"> abschneidet als </w:t>
      </w:r>
      <w:proofErr w:type="spellStart"/>
      <w:r w:rsidRPr="009118F6">
        <w:rPr>
          <w:lang w:val="de-DE"/>
        </w:rPr>
        <w:t>Equal</w:t>
      </w:r>
      <w:proofErr w:type="spellEnd"/>
      <w:r w:rsidRPr="009118F6">
        <w:rPr>
          <w:lang w:val="de-DE"/>
        </w:rPr>
        <w:t xml:space="preserve"> Weight.</w:t>
      </w:r>
    </w:p>
    <w:p w14:paraId="181187B5" w14:textId="77777777" w:rsidR="00FA1406" w:rsidRPr="009118F6" w:rsidRDefault="00000000">
      <w:pPr>
        <w:pStyle w:val="Textkrper"/>
        <w:rPr>
          <w:lang w:val="de-DE"/>
        </w:rPr>
      </w:pPr>
      <w:r w:rsidRPr="009118F6">
        <w:rPr>
          <w:lang w:val="de-DE"/>
        </w:rPr>
        <w:lastRenderedPageBreak/>
        <w:t xml:space="preserve">Die Forschungsfrage ist somit zu </w:t>
      </w:r>
      <w:r w:rsidRPr="009118F6">
        <w:rPr>
          <w:i/>
          <w:iCs/>
          <w:lang w:val="de-DE"/>
        </w:rPr>
        <w:t>verneinen</w:t>
      </w:r>
      <w:r w:rsidRPr="009118F6">
        <w:rPr>
          <w:lang w:val="de-DE"/>
        </w:rPr>
        <w:t>: Die untersuchten Optimierungsverfahren bieten gegenüber der einfachen Gleichgewichtung keinen statistisch gesicherten Mehrwert. Dieses Ergebnis ist kein Misserfolg, sondern eine eigenständige empirische Bestätigung des Befundes von DeMiguel, Garlappi und Uppal und unterstreicht, wie wichtig die Trennung von echtem Können und Zufall in der quantitativen Finanzforschung ist.</w:t>
      </w:r>
    </w:p>
    <w:p w14:paraId="738FDA7B" w14:textId="77777777" w:rsidR="00FA1406" w:rsidRPr="009118F6" w:rsidRDefault="00000000">
      <w:pPr>
        <w:pStyle w:val="berschrift2"/>
        <w:rPr>
          <w:lang w:val="de-DE"/>
        </w:rPr>
      </w:pPr>
      <w:bookmarkStart w:id="93" w:name="ausblick"/>
      <w:bookmarkStart w:id="94" w:name="_Toc234524421"/>
      <w:bookmarkEnd w:id="91"/>
      <w:r w:rsidRPr="009118F6">
        <w:rPr>
          <w:lang w:val="de-DE"/>
        </w:rPr>
        <w:t>9.2 Ausblick</w:t>
      </w:r>
      <w:bookmarkEnd w:id="94"/>
    </w:p>
    <w:p w14:paraId="70BD9592" w14:textId="77777777" w:rsidR="00FA1406" w:rsidRPr="009118F6" w:rsidRDefault="00000000">
      <w:pPr>
        <w:pStyle w:val="FirstParagraph"/>
        <w:rPr>
          <w:lang w:val="de-DE"/>
        </w:rPr>
      </w:pPr>
      <w:r w:rsidRPr="009118F6">
        <w:rPr>
          <w:lang w:val="de-DE"/>
        </w:rPr>
        <w:t xml:space="preserve">Mehrere Erweiterungen bieten sich an. Der Survivorship Bias ließe sich durch ein </w:t>
      </w:r>
      <w:proofErr w:type="spellStart"/>
      <w:r w:rsidRPr="009118F6">
        <w:rPr>
          <w:i/>
          <w:iCs/>
          <w:lang w:val="de-DE"/>
        </w:rPr>
        <w:t>point</w:t>
      </w:r>
      <w:proofErr w:type="spellEnd"/>
      <w:r w:rsidRPr="009118F6">
        <w:rPr>
          <w:i/>
          <w:iCs/>
          <w:lang w:val="de-DE"/>
        </w:rPr>
        <w:t>-in-time</w:t>
      </w:r>
      <w:r w:rsidRPr="009118F6">
        <w:rPr>
          <w:lang w:val="de-DE"/>
        </w:rPr>
        <w:t xml:space="preserve"> zusammengesetztes Universum verringern, das ausgeschiedene Titel einschließt. Auf der Modellseite könnten eine zeitvariable bzw. nichtlineare </w:t>
      </w:r>
      <w:proofErr w:type="spellStart"/>
      <w:r w:rsidRPr="009118F6">
        <w:rPr>
          <w:lang w:val="de-DE"/>
        </w:rPr>
        <w:t>Kovarianzschätzung</w:t>
      </w:r>
      <w:proofErr w:type="spellEnd"/>
      <w:r w:rsidRPr="009118F6">
        <w:rPr>
          <w:lang w:val="de-DE"/>
        </w:rPr>
        <w:t xml:space="preserve"> (etwa die nichtlineare </w:t>
      </w:r>
      <w:proofErr w:type="spellStart"/>
      <w:r w:rsidRPr="009118F6">
        <w:rPr>
          <w:lang w:val="de-DE"/>
        </w:rPr>
        <w:t>Shrinkage</w:t>
      </w:r>
      <w:proofErr w:type="spellEnd"/>
      <w:r w:rsidRPr="009118F6">
        <w:rPr>
          <w:lang w:val="de-DE"/>
        </w:rPr>
        <w:t xml:space="preserve"> nach </w:t>
      </w:r>
      <w:proofErr w:type="spellStart"/>
      <w:r w:rsidRPr="009118F6">
        <w:rPr>
          <w:lang w:val="de-DE"/>
        </w:rPr>
        <w:t>Ledoit</w:t>
      </w:r>
      <w:proofErr w:type="spellEnd"/>
      <w:r w:rsidRPr="009118F6">
        <w:rPr>
          <w:lang w:val="de-DE"/>
        </w:rPr>
        <w:t xml:space="preserve"> und Wolf (</w:t>
      </w:r>
      <w:proofErr w:type="spellStart"/>
      <w:r w:rsidRPr="009118F6">
        <w:rPr>
          <w:lang w:val="de-DE"/>
        </w:rPr>
        <w:t>Ledoit</w:t>
      </w:r>
      <w:proofErr w:type="spellEnd"/>
      <w:r w:rsidRPr="009118F6">
        <w:rPr>
          <w:lang w:val="de-DE"/>
        </w:rPr>
        <w:t xml:space="preserve"> &amp; Wolf, 2017, S. 4349)), das Black-</w:t>
      </w:r>
      <w:proofErr w:type="spellStart"/>
      <w:r w:rsidRPr="009118F6">
        <w:rPr>
          <w:lang w:val="de-DE"/>
        </w:rPr>
        <w:t>Litterman</w:t>
      </w:r>
      <w:proofErr w:type="spellEnd"/>
      <w:r w:rsidRPr="009118F6">
        <w:rPr>
          <w:lang w:val="de-DE"/>
        </w:rPr>
        <w:t xml:space="preserve">-Modell zur Stabilisierung der erwarteten Renditen (Black &amp; </w:t>
      </w:r>
      <w:proofErr w:type="spellStart"/>
      <w:r w:rsidRPr="009118F6">
        <w:rPr>
          <w:lang w:val="de-DE"/>
        </w:rPr>
        <w:t>Litterman</w:t>
      </w:r>
      <w:proofErr w:type="spellEnd"/>
      <w:r w:rsidRPr="009118F6">
        <w:rPr>
          <w:lang w:val="de-DE"/>
        </w:rPr>
        <w:t>, 1992, S. 28) oder ein Ensemble mehrerer ML-Verfahren erprobt werden. Schließlich würde eine Auswertung über mehrere Marktphasen und zusätzliche Datensätze die Robustheit der Befunde weiter absichern.</w:t>
      </w:r>
    </w:p>
    <w:p w14:paraId="341FE9AA" w14:textId="77777777" w:rsidR="00FA1406" w:rsidRPr="009118F6" w:rsidRDefault="00000000">
      <w:pPr>
        <w:pStyle w:val="berschrift1"/>
        <w:rPr>
          <w:lang w:val="de-DE"/>
        </w:rPr>
      </w:pPr>
      <w:bookmarkStart w:id="95" w:name="literaturverzeichnis"/>
      <w:bookmarkStart w:id="96" w:name="_Toc234524422"/>
      <w:bookmarkEnd w:id="89"/>
      <w:bookmarkEnd w:id="93"/>
      <w:r w:rsidRPr="009118F6">
        <w:rPr>
          <w:lang w:val="de-DE"/>
        </w:rPr>
        <w:t>Literaturverzeichnis</w:t>
      </w:r>
      <w:bookmarkEnd w:id="96"/>
    </w:p>
    <w:p w14:paraId="475400B0" w14:textId="77777777" w:rsidR="00FA1406" w:rsidRPr="009118F6" w:rsidRDefault="00000000">
      <w:pPr>
        <w:pStyle w:val="FirstParagraph"/>
        <w:rPr>
          <w:lang w:val="de-DE"/>
        </w:rPr>
      </w:pPr>
      <w:r w:rsidRPr="009118F6">
        <w:rPr>
          <w:lang w:val="de-DE"/>
        </w:rPr>
        <w:t>Es wurde ausschließlich wissenschaftliche Primärliteratur (Originalaufsätze, Arbeitspapiere und eine Monografie) verwendet; Sekundärliteratur kam nicht zum Einsatz. Wo eine begutachtete Zeitschriftenveröffentlichung vorlag, wird diese zitiert und die Seitenangaben der Kurzbelege beziehen sich auf die endgültige Fassung; einige Quellen lagen nur als Arbeitspapier- bzw. Online-Fassung vor, sodass sich deren Seitenangaben auf die jeweils verwendete Fassung beziehen. Die Literaturangaben folgen dem Zitierstil der APA (7. Auflage).</w:t>
      </w:r>
    </w:p>
    <w:p w14:paraId="7CAB4949" w14:textId="77777777" w:rsidR="00FA1406" w:rsidRDefault="00000000">
      <w:pPr>
        <w:pStyle w:val="Textkrper"/>
      </w:pPr>
      <w:r w:rsidRPr="009118F6">
        <w:rPr>
          <w:lang w:val="de-DE"/>
        </w:rPr>
        <w:t xml:space="preserve">Almgren, R., &amp; Chriss, N. (2000). </w:t>
      </w:r>
      <w:r>
        <w:t xml:space="preserve">Optimal execution of portfolio transactions. </w:t>
      </w:r>
      <w:r>
        <w:rPr>
          <w:i/>
          <w:iCs/>
        </w:rPr>
        <w:t>Journal of Risk</w:t>
      </w:r>
      <w:r>
        <w:t xml:space="preserve">, </w:t>
      </w:r>
      <w:r>
        <w:rPr>
          <w:i/>
          <w:iCs/>
        </w:rPr>
        <w:t>3</w:t>
      </w:r>
      <w:r>
        <w:t>(2), 5–39.</w:t>
      </w:r>
    </w:p>
    <w:p w14:paraId="52275E32" w14:textId="77777777" w:rsidR="00FA1406" w:rsidRDefault="00000000">
      <w:pPr>
        <w:pStyle w:val="Textkrper"/>
      </w:pPr>
      <w:r>
        <w:t xml:space="preserve">Bailey, D. H., Borwein, J. M., López de Prado, M., &amp; Zhu, Q. J. (2015). </w:t>
      </w:r>
      <w:r>
        <w:rPr>
          <w:i/>
          <w:iCs/>
        </w:rPr>
        <w:t>The probability of backtest overfitting</w:t>
      </w:r>
      <w:r>
        <w:t xml:space="preserve"> [Working paper]. SSRN. https://ssrn.com/abstract=2326253</w:t>
      </w:r>
    </w:p>
    <w:p w14:paraId="4B557490" w14:textId="77777777" w:rsidR="00FA1406" w:rsidRDefault="00000000">
      <w:pPr>
        <w:pStyle w:val="Textkrper"/>
      </w:pPr>
      <w:r>
        <w:lastRenderedPageBreak/>
        <w:t xml:space="preserve">Bailey, D. H., &amp; López de Prado, M. (2014). The deflated Sharpe ratio: Correcting for selection bias, backtest overfitting and non-normality. </w:t>
      </w:r>
      <w:r>
        <w:rPr>
          <w:i/>
          <w:iCs/>
        </w:rPr>
        <w:t>The Journal of Portfolio Management</w:t>
      </w:r>
      <w:r>
        <w:t xml:space="preserve">, </w:t>
      </w:r>
      <w:r>
        <w:rPr>
          <w:i/>
          <w:iCs/>
        </w:rPr>
        <w:t>40</w:t>
      </w:r>
      <w:r>
        <w:t>(5), 94–107.</w:t>
      </w:r>
    </w:p>
    <w:p w14:paraId="28658E55" w14:textId="77777777" w:rsidR="00FA1406" w:rsidRDefault="00000000">
      <w:pPr>
        <w:pStyle w:val="Textkrper"/>
      </w:pPr>
      <w:r>
        <w:t xml:space="preserve">Best, M. J., &amp; Grauer, R. R. (1991). On the sensitivity of mean-variance-efficient portfolios to changes in asset means: Some analytical and computational results. </w:t>
      </w:r>
      <w:r>
        <w:rPr>
          <w:i/>
          <w:iCs/>
        </w:rPr>
        <w:t>The Review of Financial Studies</w:t>
      </w:r>
      <w:r>
        <w:t xml:space="preserve">, </w:t>
      </w:r>
      <w:r>
        <w:rPr>
          <w:i/>
          <w:iCs/>
        </w:rPr>
        <w:t>4</w:t>
      </w:r>
      <w:r>
        <w:t>(2), 315–342.</w:t>
      </w:r>
    </w:p>
    <w:p w14:paraId="5B121A6F" w14:textId="77777777" w:rsidR="00FA1406" w:rsidRDefault="00000000">
      <w:pPr>
        <w:pStyle w:val="Textkrper"/>
      </w:pPr>
      <w:r>
        <w:t xml:space="preserve">Black, F., &amp; Litterman, R. (1992). Global portfolio optimization. </w:t>
      </w:r>
      <w:r>
        <w:rPr>
          <w:i/>
          <w:iCs/>
        </w:rPr>
        <w:t>Financial Analysts Journal</w:t>
      </w:r>
      <w:r>
        <w:t xml:space="preserve">, </w:t>
      </w:r>
      <w:r>
        <w:rPr>
          <w:i/>
          <w:iCs/>
        </w:rPr>
        <w:t>48</w:t>
      </w:r>
      <w:r>
        <w:t>(5), 28–43.</w:t>
      </w:r>
    </w:p>
    <w:p w14:paraId="608D0012" w14:textId="77777777" w:rsidR="00FA1406" w:rsidRDefault="00000000">
      <w:pPr>
        <w:pStyle w:val="Textkrper"/>
      </w:pPr>
      <w:r>
        <w:t xml:space="preserve">Breiman, L. (2001). Random forests. </w:t>
      </w:r>
      <w:r>
        <w:rPr>
          <w:i/>
          <w:iCs/>
        </w:rPr>
        <w:t>Machine Learning</w:t>
      </w:r>
      <w:r>
        <w:t xml:space="preserve">, </w:t>
      </w:r>
      <w:r>
        <w:rPr>
          <w:i/>
          <w:iCs/>
        </w:rPr>
        <w:t>45</w:t>
      </w:r>
      <w:r>
        <w:t>(1), 5–32.</w:t>
      </w:r>
    </w:p>
    <w:p w14:paraId="1C489406" w14:textId="77777777" w:rsidR="00FA1406" w:rsidRDefault="00000000">
      <w:pPr>
        <w:pStyle w:val="Textkrper"/>
      </w:pPr>
      <w:r>
        <w:t xml:space="preserve">Brown, S. J., Goetzmann, W. N., Ibbotson, R. G., &amp; Ross, S. A. (1992). Survivorship bias in performance studies. </w:t>
      </w:r>
      <w:r>
        <w:rPr>
          <w:i/>
          <w:iCs/>
        </w:rPr>
        <w:t>The Review of Financial Studies</w:t>
      </w:r>
      <w:r>
        <w:t xml:space="preserve">, </w:t>
      </w:r>
      <w:r>
        <w:rPr>
          <w:i/>
          <w:iCs/>
        </w:rPr>
        <w:t>5</w:t>
      </w:r>
      <w:r>
        <w:t>(4), 553–580.</w:t>
      </w:r>
    </w:p>
    <w:p w14:paraId="276369B9" w14:textId="77777777" w:rsidR="00FA1406" w:rsidRDefault="00000000">
      <w:pPr>
        <w:pStyle w:val="Textkrper"/>
      </w:pPr>
      <w:proofErr w:type="spellStart"/>
      <w:r w:rsidRPr="009118F6">
        <w:rPr>
          <w:lang w:val="pl-PL"/>
        </w:rPr>
        <w:t>Chopra</w:t>
      </w:r>
      <w:proofErr w:type="spellEnd"/>
      <w:r w:rsidRPr="009118F6">
        <w:rPr>
          <w:lang w:val="pl-PL"/>
        </w:rPr>
        <w:t xml:space="preserve">, V. K., &amp; Ziemba, W. T. (1993). </w:t>
      </w:r>
      <w:r>
        <w:t xml:space="preserve">The effect of errors in means, variances, and covariances on optimal portfolio choice. </w:t>
      </w:r>
      <w:r>
        <w:rPr>
          <w:i/>
          <w:iCs/>
        </w:rPr>
        <w:t>The Journal of Portfolio Management</w:t>
      </w:r>
      <w:r>
        <w:t xml:space="preserve">, </w:t>
      </w:r>
      <w:r>
        <w:rPr>
          <w:i/>
          <w:iCs/>
        </w:rPr>
        <w:t>19</w:t>
      </w:r>
      <w:r>
        <w:t>(2), 6–11.</w:t>
      </w:r>
    </w:p>
    <w:p w14:paraId="2BDB92E2" w14:textId="77777777" w:rsidR="00FA1406" w:rsidRDefault="00000000">
      <w:pPr>
        <w:pStyle w:val="Textkrper"/>
      </w:pPr>
      <w:r>
        <w:t xml:space="preserve">DeMiguel, V., Garlappi, L., &amp; Uppal, R. (2009). Optimal versus naive diversification: How inefficient is the 1/N portfolio strategy? </w:t>
      </w:r>
      <w:r>
        <w:rPr>
          <w:i/>
          <w:iCs/>
        </w:rPr>
        <w:t>The Review of Financial Studies</w:t>
      </w:r>
      <w:r>
        <w:t xml:space="preserve">, </w:t>
      </w:r>
      <w:r>
        <w:rPr>
          <w:i/>
          <w:iCs/>
        </w:rPr>
        <w:t>22</w:t>
      </w:r>
      <w:r>
        <w:t>(5), 1915–1953.</w:t>
      </w:r>
    </w:p>
    <w:p w14:paraId="219EB62E" w14:textId="77777777" w:rsidR="00FA1406" w:rsidRDefault="00000000">
      <w:pPr>
        <w:pStyle w:val="Textkrper"/>
      </w:pPr>
      <w:r>
        <w:t xml:space="preserve">Gu, S., Kelly, B., &amp; Xiu, D. (2020). Empirical asset pricing via machine learning. </w:t>
      </w:r>
      <w:r>
        <w:rPr>
          <w:i/>
          <w:iCs/>
        </w:rPr>
        <w:t>The Review of Financial Studies</w:t>
      </w:r>
      <w:r>
        <w:t xml:space="preserve">, </w:t>
      </w:r>
      <w:r>
        <w:rPr>
          <w:i/>
          <w:iCs/>
        </w:rPr>
        <w:t>33</w:t>
      </w:r>
      <w:r>
        <w:t>(5), 2223–2273.</w:t>
      </w:r>
    </w:p>
    <w:p w14:paraId="60BFC086" w14:textId="77777777" w:rsidR="00FA1406" w:rsidRDefault="00000000">
      <w:pPr>
        <w:pStyle w:val="Textkrper"/>
      </w:pPr>
      <w:r>
        <w:t xml:space="preserve">Harvey, C. R., Liu, Y., &amp; Zhu, H. (2014). </w:t>
      </w:r>
      <w:r>
        <w:rPr>
          <w:i/>
          <w:iCs/>
        </w:rPr>
        <w:t>… and the cross-section of expected returns</w:t>
      </w:r>
      <w:r>
        <w:t xml:space="preserve"> (NBER Working Paper No. 20592). National Bureau of Economic Research. https://www.nber.org/papers/w20592</w:t>
      </w:r>
    </w:p>
    <w:p w14:paraId="3749CF43" w14:textId="77777777" w:rsidR="00FA1406" w:rsidRDefault="00000000">
      <w:pPr>
        <w:pStyle w:val="Textkrper"/>
      </w:pPr>
      <w:r>
        <w:t xml:space="preserve">Holm, S. (1979). A simple sequentially rejective multiple test procedure. </w:t>
      </w:r>
      <w:r>
        <w:rPr>
          <w:i/>
          <w:iCs/>
        </w:rPr>
        <w:t>Scandinavian Journal of Statistics</w:t>
      </w:r>
      <w:r>
        <w:t xml:space="preserve">, </w:t>
      </w:r>
      <w:r>
        <w:rPr>
          <w:i/>
          <w:iCs/>
        </w:rPr>
        <w:t>6</w:t>
      </w:r>
      <w:r>
        <w:t>(2), 65–70.</w:t>
      </w:r>
    </w:p>
    <w:p w14:paraId="25A11D7A" w14:textId="77777777" w:rsidR="00FA1406" w:rsidRDefault="00000000">
      <w:pPr>
        <w:pStyle w:val="Textkrper"/>
      </w:pPr>
      <w:r>
        <w:t xml:space="preserve">Jagannathan, R., &amp; Ma, T. (2003). Risk reduction in large portfolios: Why imposing the wrong constraints helps. </w:t>
      </w:r>
      <w:r>
        <w:rPr>
          <w:i/>
          <w:iCs/>
        </w:rPr>
        <w:t>The Journal of Finance</w:t>
      </w:r>
      <w:r>
        <w:t xml:space="preserve">, </w:t>
      </w:r>
      <w:r>
        <w:rPr>
          <w:i/>
          <w:iCs/>
        </w:rPr>
        <w:t>58</w:t>
      </w:r>
      <w:r>
        <w:t>(4), 1651–1683.</w:t>
      </w:r>
    </w:p>
    <w:p w14:paraId="30F48685" w14:textId="77777777" w:rsidR="00FA1406" w:rsidRDefault="00000000">
      <w:pPr>
        <w:pStyle w:val="Textkrper"/>
      </w:pPr>
      <w:r>
        <w:t xml:space="preserve">Jegadeesh, N., &amp; Titman, S. (1993). Returns to buying winners and selling losers: Implications for stock market efficiency. </w:t>
      </w:r>
      <w:r>
        <w:rPr>
          <w:i/>
          <w:iCs/>
        </w:rPr>
        <w:t>The Journal of Finance</w:t>
      </w:r>
      <w:r>
        <w:t xml:space="preserve">, </w:t>
      </w:r>
      <w:r>
        <w:rPr>
          <w:i/>
          <w:iCs/>
        </w:rPr>
        <w:t>48</w:t>
      </w:r>
      <w:r>
        <w:t>(1), 65–91.</w:t>
      </w:r>
    </w:p>
    <w:p w14:paraId="2FD974CF" w14:textId="77777777" w:rsidR="00FA1406" w:rsidRDefault="00000000">
      <w:pPr>
        <w:pStyle w:val="Textkrper"/>
      </w:pPr>
      <w:r>
        <w:lastRenderedPageBreak/>
        <w:t xml:space="preserve">Ledoit, O., &amp; Wolf, M. (2004). A well-conditioned estimator for large-dimensional covariance matrices. </w:t>
      </w:r>
      <w:r>
        <w:rPr>
          <w:i/>
          <w:iCs/>
        </w:rPr>
        <w:t>Journal of Multivariate Analysis</w:t>
      </w:r>
      <w:r>
        <w:t xml:space="preserve">, </w:t>
      </w:r>
      <w:r>
        <w:rPr>
          <w:i/>
          <w:iCs/>
        </w:rPr>
        <w:t>88</w:t>
      </w:r>
      <w:r>
        <w:t>(2), 365–411.</w:t>
      </w:r>
    </w:p>
    <w:p w14:paraId="4462F088" w14:textId="77777777" w:rsidR="00FA1406" w:rsidRDefault="00000000">
      <w:pPr>
        <w:pStyle w:val="Textkrper"/>
      </w:pPr>
      <w:r>
        <w:t xml:space="preserve">Ledoit, O., &amp; Wolf, M. (2008). Robust performance hypothesis testing with the Sharpe ratio. </w:t>
      </w:r>
      <w:r>
        <w:rPr>
          <w:i/>
          <w:iCs/>
        </w:rPr>
        <w:t>Journal of Empirical Finance</w:t>
      </w:r>
      <w:r>
        <w:t xml:space="preserve">, </w:t>
      </w:r>
      <w:r>
        <w:rPr>
          <w:i/>
          <w:iCs/>
        </w:rPr>
        <w:t>15</w:t>
      </w:r>
      <w:r>
        <w:t>(5), 850–859.</w:t>
      </w:r>
    </w:p>
    <w:p w14:paraId="22B26840" w14:textId="77777777" w:rsidR="00FA1406" w:rsidRDefault="00000000">
      <w:pPr>
        <w:pStyle w:val="Textkrper"/>
      </w:pPr>
      <w:r>
        <w:t xml:space="preserve">Ledoit, O., &amp; Wolf, M. (2017). Nonlinear shrinkage of the covariance matrix for portfolio selection: Markowitz meets Goldilocks. </w:t>
      </w:r>
      <w:r>
        <w:rPr>
          <w:i/>
          <w:iCs/>
        </w:rPr>
        <w:t>The Review of Financial Studies</w:t>
      </w:r>
      <w:r>
        <w:t xml:space="preserve">, </w:t>
      </w:r>
      <w:r>
        <w:rPr>
          <w:i/>
          <w:iCs/>
        </w:rPr>
        <w:t>30</w:t>
      </w:r>
      <w:r>
        <w:t>(12), 4349–4388.</w:t>
      </w:r>
    </w:p>
    <w:p w14:paraId="315626BC" w14:textId="77777777" w:rsidR="00FA1406" w:rsidRDefault="00000000">
      <w:pPr>
        <w:pStyle w:val="Textkrper"/>
      </w:pPr>
      <w:r>
        <w:t xml:space="preserve">Lo, A. W. (2002). The statistics of Sharpe ratios. </w:t>
      </w:r>
      <w:r>
        <w:rPr>
          <w:i/>
          <w:iCs/>
        </w:rPr>
        <w:t>Financial Analysts Journal</w:t>
      </w:r>
      <w:r>
        <w:t xml:space="preserve">, </w:t>
      </w:r>
      <w:r>
        <w:rPr>
          <w:i/>
          <w:iCs/>
        </w:rPr>
        <w:t>58</w:t>
      </w:r>
      <w:r>
        <w:t>(4), 36–52.</w:t>
      </w:r>
    </w:p>
    <w:p w14:paraId="5118B8B6" w14:textId="77777777" w:rsidR="00FA1406" w:rsidRDefault="00000000">
      <w:pPr>
        <w:pStyle w:val="Textkrper"/>
      </w:pPr>
      <w:r>
        <w:t xml:space="preserve">López de Prado, M. (2018). </w:t>
      </w:r>
      <w:r>
        <w:rPr>
          <w:i/>
          <w:iCs/>
        </w:rPr>
        <w:t>Advances in financial machine learning</w:t>
      </w:r>
      <w:r>
        <w:t>. John Wiley &amp; Sons.</w:t>
      </w:r>
    </w:p>
    <w:p w14:paraId="3C7303B8" w14:textId="77777777" w:rsidR="00FA1406" w:rsidRDefault="00000000">
      <w:pPr>
        <w:pStyle w:val="Textkrper"/>
      </w:pPr>
      <w:r w:rsidRPr="009118F6">
        <w:rPr>
          <w:lang w:val="fr-FR"/>
        </w:rPr>
        <w:t xml:space="preserve">Maillard, S., Roncalli, T., &amp; </w:t>
      </w:r>
      <w:proofErr w:type="spellStart"/>
      <w:r w:rsidRPr="009118F6">
        <w:rPr>
          <w:lang w:val="fr-FR"/>
        </w:rPr>
        <w:t>Teïletche</w:t>
      </w:r>
      <w:proofErr w:type="spellEnd"/>
      <w:r w:rsidRPr="009118F6">
        <w:rPr>
          <w:lang w:val="fr-FR"/>
        </w:rPr>
        <w:t xml:space="preserve">, J. (2009). </w:t>
      </w:r>
      <w:r>
        <w:rPr>
          <w:i/>
          <w:iCs/>
        </w:rPr>
        <w:t>On the properties of equally-weighted risk contributions portfolios</w:t>
      </w:r>
      <w:r>
        <w:t xml:space="preserve"> [Working paper].</w:t>
      </w:r>
    </w:p>
    <w:p w14:paraId="23628F60" w14:textId="77777777" w:rsidR="00FA1406" w:rsidRDefault="00000000">
      <w:pPr>
        <w:pStyle w:val="Textkrper"/>
      </w:pPr>
      <w:r>
        <w:t xml:space="preserve">Markowitz, H. (1952). Portfolio selection. </w:t>
      </w:r>
      <w:r>
        <w:rPr>
          <w:i/>
          <w:iCs/>
        </w:rPr>
        <w:t>The Journal of Finance</w:t>
      </w:r>
      <w:r>
        <w:t xml:space="preserve">, </w:t>
      </w:r>
      <w:r>
        <w:rPr>
          <w:i/>
          <w:iCs/>
        </w:rPr>
        <w:t>7</w:t>
      </w:r>
      <w:r>
        <w:t>(1), 77–91.</w:t>
      </w:r>
    </w:p>
    <w:p w14:paraId="17230E13" w14:textId="77777777" w:rsidR="00FA1406" w:rsidRDefault="00000000">
      <w:pPr>
        <w:pStyle w:val="Textkrper"/>
      </w:pPr>
      <w:r>
        <w:t xml:space="preserve">Merton, R. C. (1980). </w:t>
      </w:r>
      <w:r>
        <w:rPr>
          <w:i/>
          <w:iCs/>
        </w:rPr>
        <w:t>On estimating the expected return on the market: An exploratory investigation</w:t>
      </w:r>
      <w:r>
        <w:t xml:space="preserve"> (NBER Working Paper No. 444). National Bureau of Economic Research. https://www.nber.org/papers/w0444</w:t>
      </w:r>
    </w:p>
    <w:p w14:paraId="36DFAB38" w14:textId="77777777" w:rsidR="00FA1406" w:rsidRDefault="00000000">
      <w:pPr>
        <w:pStyle w:val="Textkrper"/>
      </w:pPr>
      <w:r>
        <w:t xml:space="preserve">Michaud, R. O. (1989). The Markowitz optimization enigma: Is „optimized“ optimal? </w:t>
      </w:r>
      <w:r>
        <w:rPr>
          <w:i/>
          <w:iCs/>
        </w:rPr>
        <w:t>Financial Analysts Journal</w:t>
      </w:r>
      <w:r>
        <w:t xml:space="preserve">, </w:t>
      </w:r>
      <w:r>
        <w:rPr>
          <w:i/>
          <w:iCs/>
        </w:rPr>
        <w:t>45</w:t>
      </w:r>
      <w:r>
        <w:t>(1), 31–42.</w:t>
      </w:r>
    </w:p>
    <w:p w14:paraId="3DB865A6" w14:textId="77777777" w:rsidR="00FA1406" w:rsidRDefault="00000000">
      <w:pPr>
        <w:pStyle w:val="Textkrper"/>
      </w:pPr>
      <w:r>
        <w:t xml:space="preserve">Politis, D. N., &amp; Romano, J. P. (1994). The stationary bootstrap. </w:t>
      </w:r>
      <w:r>
        <w:rPr>
          <w:i/>
          <w:iCs/>
        </w:rPr>
        <w:t>Journal of the American Statistical Association</w:t>
      </w:r>
      <w:r>
        <w:t xml:space="preserve">, </w:t>
      </w:r>
      <w:r>
        <w:rPr>
          <w:i/>
          <w:iCs/>
        </w:rPr>
        <w:t>89</w:t>
      </w:r>
      <w:r>
        <w:t>(428), 1303–1313.</w:t>
      </w:r>
    </w:p>
    <w:p w14:paraId="66207721" w14:textId="77777777" w:rsidR="00FA1406" w:rsidRDefault="00000000">
      <w:pPr>
        <w:pStyle w:val="Textkrper"/>
      </w:pPr>
      <w:r>
        <w:t xml:space="preserve">Qian, E. (2005). </w:t>
      </w:r>
      <w:r>
        <w:rPr>
          <w:i/>
          <w:iCs/>
        </w:rPr>
        <w:t>Risk parity portfolios: Efficient portfolios through true diversification</w:t>
      </w:r>
      <w:r>
        <w:t xml:space="preserve"> [White paper]. PanAgora Asset Management.</w:t>
      </w:r>
    </w:p>
    <w:p w14:paraId="0687276D" w14:textId="77777777" w:rsidR="00FA1406" w:rsidRDefault="00000000">
      <w:pPr>
        <w:pStyle w:val="Textkrper"/>
      </w:pPr>
      <w:r>
        <w:t xml:space="preserve">Sharpe, W. F. (1994). The Sharpe ratio. </w:t>
      </w:r>
      <w:r>
        <w:rPr>
          <w:i/>
          <w:iCs/>
        </w:rPr>
        <w:t>The Journal of Portfolio Management</w:t>
      </w:r>
      <w:r>
        <w:t xml:space="preserve">, </w:t>
      </w:r>
      <w:r>
        <w:rPr>
          <w:i/>
          <w:iCs/>
        </w:rPr>
        <w:t>21</w:t>
      </w:r>
      <w:r>
        <w:t>(1), 49–58. https://web.stanford.edu/~wfsharpe/art/sr/sr.htm</w:t>
      </w:r>
    </w:p>
    <w:bookmarkEnd w:id="95"/>
    <w:p w14:paraId="0A002C6F" w14:textId="77777777" w:rsidR="00FA1406" w:rsidRDefault="00000000">
      <w:r>
        <w:br w:type="page"/>
      </w:r>
    </w:p>
    <w:p w14:paraId="43B55BC4" w14:textId="77777777" w:rsidR="00FA1406" w:rsidRPr="009118F6" w:rsidRDefault="00000000">
      <w:pPr>
        <w:pStyle w:val="berschrift1"/>
        <w:rPr>
          <w:lang w:val="de-DE"/>
        </w:rPr>
      </w:pPr>
      <w:bookmarkStart w:id="97" w:name="_Toc234524423"/>
      <w:r w:rsidRPr="009118F6">
        <w:rPr>
          <w:lang w:val="de-DE"/>
        </w:rPr>
        <w:lastRenderedPageBreak/>
        <w:t>Schlusserklärung</w:t>
      </w:r>
      <w:bookmarkEnd w:id="97"/>
    </w:p>
    <w:p w14:paraId="1F8E45F2" w14:textId="77777777" w:rsidR="00FA1406" w:rsidRPr="009118F6" w:rsidRDefault="00000000">
      <w:pPr>
        <w:rPr>
          <w:lang w:val="de-DE"/>
        </w:rPr>
      </w:pPr>
      <w:r w:rsidRPr="009118F6">
        <w:rPr>
          <w:lang w:val="de-DE"/>
        </w:rPr>
        <w:t>[</w:t>
      </w:r>
      <w:proofErr w:type="gramStart"/>
      <w:r w:rsidRPr="009118F6">
        <w:rPr>
          <w:lang w:val="de-DE"/>
        </w:rPr>
        <w:t>Hier</w:t>
      </w:r>
      <w:proofErr w:type="gramEnd"/>
      <w:r w:rsidRPr="009118F6">
        <w:rPr>
          <w:lang w:val="de-DE"/>
        </w:rPr>
        <w:t xml:space="preserve"> fügt der Verfasser die unterschriebene Schlusserklärung gemäß den Formalien ein (inkl. Angabe der verwendeten KI-Tools und ihres Verwendungszwecks).]</w:t>
      </w:r>
    </w:p>
    <w:p w14:paraId="301E234A" w14:textId="77777777" w:rsidR="00FA1406" w:rsidRPr="009118F6" w:rsidRDefault="00000000">
      <w:pPr>
        <w:rPr>
          <w:lang w:val="de-DE"/>
        </w:rPr>
      </w:pPr>
      <w:r w:rsidRPr="009118F6">
        <w:rPr>
          <w:lang w:val="de-DE"/>
        </w:rPr>
        <w:br w:type="page"/>
      </w:r>
    </w:p>
    <w:p w14:paraId="0F3CA793" w14:textId="77777777" w:rsidR="00FA1406" w:rsidRPr="009118F6" w:rsidRDefault="00000000">
      <w:pPr>
        <w:pStyle w:val="berschrift1"/>
        <w:rPr>
          <w:lang w:val="de-DE"/>
        </w:rPr>
      </w:pPr>
      <w:bookmarkStart w:id="98" w:name="_Toc234524424"/>
      <w:r w:rsidRPr="009118F6">
        <w:rPr>
          <w:lang w:val="de-DE"/>
        </w:rPr>
        <w:lastRenderedPageBreak/>
        <w:t>Anhang</w:t>
      </w:r>
      <w:bookmarkEnd w:id="98"/>
    </w:p>
    <w:p w14:paraId="24F57624" w14:textId="77777777" w:rsidR="00FA1406" w:rsidRPr="009118F6" w:rsidRDefault="00000000">
      <w:pPr>
        <w:rPr>
          <w:lang w:val="de-DE"/>
        </w:rPr>
      </w:pPr>
      <w:r w:rsidRPr="009118F6">
        <w:rPr>
          <w:lang w:val="de-DE"/>
        </w:rPr>
        <w:t>Der vollständige Quellcode der Implementierung, sämtliche erzeugten Abbildungen (kumulierte Renditen, Gewichtsverläufe, Effizienzlinie, rollierender Sharpe, Feature-</w:t>
      </w:r>
      <w:proofErr w:type="spellStart"/>
      <w:r w:rsidRPr="009118F6">
        <w:rPr>
          <w:lang w:val="de-DE"/>
        </w:rPr>
        <w:t>Importance</w:t>
      </w:r>
      <w:proofErr w:type="spellEnd"/>
      <w:r w:rsidRPr="009118F6">
        <w:rPr>
          <w:lang w:val="de-DE"/>
        </w:rPr>
        <w:t>/SHAP, Stress-Test, Turnover-Analyse) sowie die Protokolldateien (CSV/JSON) befinden sich im begleitenden Repository. Die genauen Wortlaute der verwendeten KI-Prompts sind hier aufzuführen.</w:t>
      </w:r>
    </w:p>
    <w:sectPr w:rsidR="00FA1406" w:rsidRPr="009118F6">
      <w:footerReference w:type="default" r:id="rId11"/>
      <w:footnotePr>
        <w:numRestart w:val="eachSect"/>
      </w:footnotePr>
      <w:pgSz w:w="12240" w:h="15840"/>
      <w:pgMar w:top="1417" w:right="1417" w:bottom="1417" w:left="19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12C7D9" w14:textId="77777777" w:rsidR="00C104A6" w:rsidRDefault="00C104A6">
      <w:pPr>
        <w:spacing w:line="240" w:lineRule="auto"/>
      </w:pPr>
      <w:r>
        <w:separator/>
      </w:r>
    </w:p>
  </w:endnote>
  <w:endnote w:type="continuationSeparator" w:id="0">
    <w:p w14:paraId="7F832080" w14:textId="77777777" w:rsidR="00C104A6" w:rsidRDefault="00C10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pitch w:val="default"/>
  </w:font>
  <w:font w:name="Consolas">
    <w:panose1 w:val="020B060902020403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430879" w14:textId="77777777" w:rsidR="00FA1406" w:rsidRDefault="00FA140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4AF4D0" w14:textId="77777777" w:rsidR="00FA1406" w:rsidRDefault="00000000">
    <w:pPr>
      <w:jc w:val="center"/>
    </w:pPr>
    <w:r>
      <w:rPr>
        <w:sz w:val="22"/>
      </w:rPr>
      <w:fldChar w:fldCharType="begin"/>
    </w:r>
    <w:r>
      <w:rPr>
        <w:sz w:val="22"/>
      </w:rPr>
      <w:instrText xml:space="preserve"> PAGE </w:instrText>
    </w:r>
    <w:r w:rsidR="009118F6">
      <w:rPr>
        <w:sz w:val="22"/>
      </w:rPr>
      <w:fldChar w:fldCharType="separate"/>
    </w:r>
    <w:r w:rsidR="009118F6">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8772FC" w14:textId="77777777" w:rsidR="00C104A6" w:rsidRDefault="00C104A6">
      <w:pPr>
        <w:spacing w:line="240" w:lineRule="auto"/>
      </w:pPr>
      <w:r>
        <w:separator/>
      </w:r>
    </w:p>
  </w:footnote>
  <w:footnote w:type="continuationSeparator" w:id="0">
    <w:p w14:paraId="03BA3BE5" w14:textId="77777777" w:rsidR="00C104A6" w:rsidRDefault="00C104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E2C94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7BA8F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8357627">
    <w:abstractNumId w:val="0"/>
  </w:num>
  <w:num w:numId="2" w16cid:durableId="1090581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A1406"/>
    <w:rsid w:val="0038747A"/>
    <w:rsid w:val="00677999"/>
    <w:rsid w:val="007C0D4A"/>
    <w:rsid w:val="009118F6"/>
    <w:rsid w:val="00C104A6"/>
    <w:rsid w:val="00FA140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A105D87"/>
  <w15:docId w15:val="{7CB543C6-4029-D14A-BED5-14066C77C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pacing w:after="0" w:line="360" w:lineRule="auto"/>
    </w:pPr>
    <w:rPr>
      <w:rFonts w:ascii="Times New Roman" w:hAnsi="Times New Roman" w:cs="Times New Roman"/>
    </w:rPr>
  </w:style>
  <w:style w:type="paragraph" w:styleId="berschrift1">
    <w:name w:val="heading 1"/>
    <w:basedOn w:val="Standard"/>
    <w:next w:val="Textkrper"/>
    <w:link w:val="berschrift1Zchn"/>
    <w:uiPriority w:val="9"/>
    <w:qFormat/>
    <w:rsid w:val="00A10FD9"/>
    <w:pPr>
      <w:keepNext/>
      <w:keepLines/>
      <w:spacing w:before="240" w:after="120"/>
      <w:outlineLvl w:val="0"/>
    </w:pPr>
    <w:rPr>
      <w:rFonts w:asciiTheme="majorHAnsi" w:eastAsiaTheme="majorEastAsia" w:hAnsiTheme="majorHAnsi" w:cstheme="majorBidi"/>
      <w:b/>
      <w:color w:val="0F4761" w:themeColor="accent1" w:themeShade="BF"/>
      <w:sz w:val="30"/>
      <w:szCs w:val="40"/>
    </w:rPr>
  </w:style>
  <w:style w:type="paragraph" w:styleId="berschrift2">
    <w:name w:val="heading 2"/>
    <w:basedOn w:val="Standard"/>
    <w:next w:val="Textkrper"/>
    <w:link w:val="berschrift2Zchn"/>
    <w:uiPriority w:val="9"/>
    <w:semiHidden/>
    <w:unhideWhenUsed/>
    <w:qFormat/>
    <w:rsid w:val="00A10FD9"/>
    <w:pPr>
      <w:keepNext/>
      <w:keepLines/>
      <w:spacing w:before="240" w:after="120"/>
      <w:outlineLvl w:val="1"/>
    </w:pPr>
    <w:rPr>
      <w:rFonts w:asciiTheme="majorHAnsi" w:eastAsiaTheme="majorEastAsia" w:hAnsiTheme="majorHAnsi" w:cstheme="majorBidi"/>
      <w:b/>
      <w:color w:val="0F4761" w:themeColor="accent1" w:themeShade="BF"/>
      <w:sz w:val="26"/>
      <w:szCs w:val="32"/>
    </w:rPr>
  </w:style>
  <w:style w:type="paragraph" w:styleId="berschrift3">
    <w:name w:val="heading 3"/>
    <w:basedOn w:val="Standard"/>
    <w:next w:val="Textkrper"/>
    <w:link w:val="berschrift3Zchn"/>
    <w:uiPriority w:val="9"/>
    <w:semiHidden/>
    <w:unhideWhenUsed/>
    <w:qFormat/>
    <w:rsid w:val="00A10FD9"/>
    <w:pPr>
      <w:keepNext/>
      <w:keepLines/>
      <w:spacing w:before="240" w:after="120"/>
      <w:outlineLvl w:val="2"/>
    </w:pPr>
    <w:rPr>
      <w:rFonts w:eastAsiaTheme="majorEastAsia" w:cstheme="majorBidi"/>
      <w:b/>
      <w:color w:val="0F4761" w:themeColor="accent1" w:themeShade="BF"/>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line="240" w:lineRule="auto"/>
      <w:contextualSpacing/>
      <w:jc w:val="center"/>
    </w:pPr>
    <w:rPr>
      <w:rFonts w:asciiTheme="majorHAnsi" w:eastAsiaTheme="majorEastAsia" w:hAnsiTheme="majorHAnsi" w:cstheme="majorBidi"/>
      <w:sz w:val="44"/>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rFonts w:ascii="Times New Roman" w:hAnsi="Times New Roman"/>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pPr>
      <w:spacing w:line="240" w:lineRule="auto"/>
    </w:pPr>
    <w:rPr>
      <w:sz w:val="20"/>
    </w:rPr>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156082" w:themeColor="accent1"/>
    </w:rPr>
  </w:style>
  <w:style w:type="paragraph" w:styleId="Inhaltsverzeichnisberschrift">
    <w:name w:val="TOC Heading"/>
    <w:basedOn w:val="berschrift1"/>
    <w:next w:val="Textkrper"/>
    <w:uiPriority w:val="39"/>
    <w:unhideWhenUsed/>
    <w:qFormat/>
    <w:pPr>
      <w:spacing w:line="259" w:lineRule="auto"/>
      <w:outlineLvl w:val="9"/>
    </w:pPr>
    <w:rPr>
      <w:b w:val="0"/>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9118F6"/>
    <w:pPr>
      <w:spacing w:after="100"/>
    </w:pPr>
  </w:style>
  <w:style w:type="paragraph" w:styleId="Verzeichnis2">
    <w:name w:val="toc 2"/>
    <w:basedOn w:val="Standard"/>
    <w:next w:val="Standard"/>
    <w:autoRedefine/>
    <w:uiPriority w:val="39"/>
    <w:rsid w:val="009118F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9288</Words>
  <Characters>58517</Characters>
  <Application>Microsoft Office Word</Application>
  <DocSecurity>0</DocSecurity>
  <Lines>487</Lines>
  <Paragraphs>135</Paragraphs>
  <ScaleCrop>false</ScaleCrop>
  <Company/>
  <LinksUpToDate>false</LinksUpToDate>
  <CharactersWithSpaces>67670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Max Jakob Zölfl</cp:lastModifiedBy>
  <cp:revision>3</cp:revision>
  <dcterms:created xsi:type="dcterms:W3CDTF">2026-06-29T16:09:00Z</dcterms:created>
  <dcterms:modified xsi:type="dcterms:W3CDTF">2026-07-09T19:29:00Z</dcterms:modified>
</cp:coreProperties>
</file>