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B91C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BE85A2F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BD8B661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43D9AA5D" w14:textId="77777777" w:rsidR="006F4A03" w:rsidRPr="003A22A1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106986D5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B665313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F8DD47F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F1DE8BF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№1</w:t>
      </w:r>
    </w:p>
    <w:p w14:paraId="1976D4B6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«Реализация симплекс-метода»</w:t>
      </w:r>
    </w:p>
    <w:p w14:paraId="7ECAFE1D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4C83A0FC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70C3C686" w14:textId="77777777" w:rsidR="006F4A03" w:rsidRDefault="006F4A03" w:rsidP="006F4A0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1A400DC" w14:textId="77777777" w:rsidR="006F4A03" w:rsidRDefault="006F4A03" w:rsidP="006F4A03">
      <w:pPr>
        <w:spacing w:after="0" w:line="360" w:lineRule="auto"/>
        <w:rPr>
          <w:rFonts w:ascii="Calibri" w:hAnsi="Calibri"/>
        </w:rPr>
      </w:pPr>
    </w:p>
    <w:p w14:paraId="2BC1CD44" w14:textId="77777777" w:rsidR="006F4A03" w:rsidRDefault="006F4A03" w:rsidP="006F4A03">
      <w:pPr>
        <w:spacing w:after="0" w:line="360" w:lineRule="auto"/>
      </w:pPr>
    </w:p>
    <w:p w14:paraId="44EC7F45" w14:textId="77777777" w:rsidR="006F4A03" w:rsidRDefault="006F4A03" w:rsidP="006F4A03">
      <w:pPr>
        <w:spacing w:after="0" w:line="360" w:lineRule="auto"/>
      </w:pPr>
    </w:p>
    <w:p w14:paraId="3FDB648A" w14:textId="77777777" w:rsidR="006F4A03" w:rsidRDefault="006F4A03" w:rsidP="006F4A03">
      <w:pPr>
        <w:spacing w:after="0" w:line="360" w:lineRule="auto"/>
      </w:pPr>
    </w:p>
    <w:p w14:paraId="5EACE03E" w14:textId="77777777" w:rsidR="006F4A03" w:rsidRDefault="006F4A03" w:rsidP="006F4A0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14:paraId="292389C2" w14:textId="5607CC09" w:rsidR="006F4A03" w:rsidRDefault="006F4A03" w:rsidP="006F4A0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Бардин </w:t>
      </w:r>
      <w:proofErr w:type="gramStart"/>
      <w:r>
        <w:rPr>
          <w:rFonts w:ascii="Times New Roman" w:hAnsi="Times New Roman"/>
          <w:sz w:val="28"/>
        </w:rPr>
        <w:t>М.С</w:t>
      </w:r>
      <w:proofErr w:type="gramEnd"/>
    </w:p>
    <w:p w14:paraId="5368AC25" w14:textId="77777777" w:rsidR="006F4A03" w:rsidRDefault="006F4A03" w:rsidP="006F4A0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71A0EB05" w14:textId="77777777" w:rsidR="006F4A03" w:rsidRDefault="006F4A03" w:rsidP="006F4A0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45650804" w14:textId="77777777" w:rsidR="006F4A03" w:rsidRDefault="006F4A03" w:rsidP="006F4A03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4FF15C31" w14:textId="77777777" w:rsidR="006F4A03" w:rsidRDefault="006F4A03" w:rsidP="006F4A03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96A9C5D" w14:textId="77777777" w:rsidR="006F4A03" w:rsidRDefault="006F4A03" w:rsidP="006F4A0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09FD9074" w14:textId="77777777" w:rsidR="006F4A03" w:rsidRDefault="006F4A03" w:rsidP="006F4A0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F9B5E92" w14:textId="77777777" w:rsidR="006F4A03" w:rsidRDefault="006F4A03" w:rsidP="006F4A0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6687FC3A" w14:textId="77777777" w:rsidR="006F4A03" w:rsidRDefault="006F4A03" w:rsidP="006F4A0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09E41A36" w14:textId="77777777" w:rsidR="006F4A03" w:rsidRDefault="006F4A03" w:rsidP="006F4A0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0ECE34A1" w14:textId="77777777" w:rsidR="006F4A03" w:rsidRDefault="006F4A03" w:rsidP="006F4A03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17C5C202" w14:textId="77777777" w:rsidR="006F4A03" w:rsidRPr="008E3118" w:rsidRDefault="006F4A03" w:rsidP="006F4A03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5E737939" w14:textId="4B7BF2AB" w:rsidR="00C81B75" w:rsidRPr="006F4A03" w:rsidRDefault="006F4A03" w:rsidP="006F4A0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F4A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D196528" w14:textId="4240B7AD" w:rsidR="006F4A03" w:rsidRDefault="006F4A03" w:rsidP="006F4A0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симплекс-метода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4A03">
        <w:rPr>
          <w:rFonts w:ascii="Times New Roman" w:hAnsi="Times New Roman" w:cs="Times New Roman"/>
          <w:sz w:val="28"/>
          <w:szCs w:val="28"/>
        </w:rPr>
        <w:t>#</w:t>
      </w:r>
    </w:p>
    <w:p w14:paraId="4399FCCB" w14:textId="77777777" w:rsidR="006F4A03" w:rsidRPr="006F4A03" w:rsidRDefault="006F4A03" w:rsidP="006F4A03">
      <w:pPr>
        <w:spacing w:before="120" w:after="120" w:line="240" w:lineRule="auto"/>
        <w:ind w:firstLine="709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4A03">
        <w:rPr>
          <w:rFonts w:ascii="Times New Roman" w:hAnsi="Times New Roman" w:cs="Times New Roman"/>
          <w:b/>
          <w:bCs/>
          <w:iCs/>
          <w:sz w:val="28"/>
          <w:szCs w:val="28"/>
        </w:rPr>
        <w:t>Краткие теоретические сведения</w:t>
      </w:r>
    </w:p>
    <w:p w14:paraId="0583D88F" w14:textId="77777777" w:rsidR="006F4A03" w:rsidRPr="00B50056" w:rsidRDefault="006F4A03" w:rsidP="006F4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1D">
        <w:rPr>
          <w:rFonts w:ascii="Times New Roman" w:hAnsi="Times New Roman" w:cs="Times New Roman"/>
          <w:sz w:val="28"/>
          <w:szCs w:val="28"/>
        </w:rPr>
        <w:t>Симплекс-метод является универсальным методом решения задач линейного программирования с любым числом переменных и с любым числом ограничений.</w:t>
      </w:r>
    </w:p>
    <w:p w14:paraId="71CC731E" w14:textId="1B2B30F1" w:rsidR="006F4A03" w:rsidRDefault="006F4A03" w:rsidP="006F4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C671D">
        <w:rPr>
          <w:rFonts w:ascii="Times New Roman" w:hAnsi="Times New Roman" w:cs="Times New Roman"/>
          <w:sz w:val="28"/>
          <w:szCs w:val="28"/>
        </w:rPr>
        <w:t xml:space="preserve">сходная форма задачи, к которой непосредственно применим симплекс-метод, должна иметь специальный вид. Эта форма является частным случаем основной формы задач линейного программирования. Здесь также система ограничений представлена ограничениями-равенствами (линейными уравнениями) и условиями не отрицательности. Однако в равенствах, кроме того, выделяются так называемые </w:t>
      </w:r>
      <w:r w:rsidRPr="001C671D">
        <w:rPr>
          <w:rFonts w:ascii="Times New Roman" w:hAnsi="Times New Roman" w:cs="Times New Roman"/>
          <w:b/>
          <w:sz w:val="28"/>
          <w:szCs w:val="28"/>
        </w:rPr>
        <w:t>базисные переменные</w:t>
      </w:r>
      <w:r w:rsidRPr="001C671D">
        <w:rPr>
          <w:rFonts w:ascii="Times New Roman" w:hAnsi="Times New Roman" w:cs="Times New Roman"/>
          <w:sz w:val="28"/>
          <w:szCs w:val="28"/>
        </w:rPr>
        <w:t xml:space="preserve">. В каждом из равенств присутствует одна определенная базисная переменная, взятая с единичным коэффициентом, а в других равенствах ее нет. Число базисных переменных, таким образом, совпадает с числом ограничений-равенств в системе и обычно строго меньше общего числа переменных. Остальные переменные называются небазисными или свободными. Еще одно требование заключается в выполнении условия не отрицательности свободных членов </w:t>
      </w:r>
      <w:proofErr w:type="spellStart"/>
      <w:r w:rsidRPr="001C671D">
        <w:rPr>
          <w:rFonts w:ascii="Times New Roman" w:hAnsi="Times New Roman" w:cs="Times New Roman"/>
          <w:i/>
          <w:sz w:val="28"/>
          <w:szCs w:val="28"/>
        </w:rPr>
        <w:t>b</w:t>
      </w:r>
      <w:r w:rsidRPr="001C671D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1C671D">
        <w:rPr>
          <w:rFonts w:ascii="Times New Roman" w:hAnsi="Times New Roman" w:cs="Times New Roman"/>
          <w:sz w:val="28"/>
          <w:szCs w:val="28"/>
        </w:rPr>
        <w:t xml:space="preserve"> в равенствах.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1C671D">
        <w:rPr>
          <w:rFonts w:ascii="Times New Roman" w:hAnsi="Times New Roman" w:cs="Times New Roman"/>
          <w:sz w:val="28"/>
          <w:szCs w:val="28"/>
        </w:rPr>
        <w:t xml:space="preserve">елевая функция задачи должна быть выражена только через небазисные переменные. Некоторые авторы называют такую форму представления задачи линейного программирования </w:t>
      </w:r>
      <w:r w:rsidRPr="001C671D">
        <w:rPr>
          <w:rFonts w:ascii="Times New Roman" w:hAnsi="Times New Roman" w:cs="Times New Roman"/>
          <w:b/>
          <w:sz w:val="28"/>
          <w:szCs w:val="28"/>
        </w:rPr>
        <w:t>канонической</w:t>
      </w:r>
      <w:r w:rsidRPr="001C671D">
        <w:rPr>
          <w:rFonts w:ascii="Times New Roman" w:hAnsi="Times New Roman" w:cs="Times New Roman"/>
          <w:sz w:val="28"/>
          <w:szCs w:val="28"/>
        </w:rPr>
        <w:t>.</w:t>
      </w:r>
    </w:p>
    <w:p w14:paraId="797D0B04" w14:textId="5F9B39E0" w:rsidR="006F4A03" w:rsidRDefault="006F4A03" w:rsidP="006F4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471F7">
        <w:rPr>
          <w:rFonts w:ascii="Times New Roman" w:hAnsi="Times New Roman" w:cs="Times New Roman"/>
          <w:sz w:val="28"/>
          <w:szCs w:val="28"/>
        </w:rPr>
        <w:t>о многих случаях каноническая форма задачи получается автоматически при переходе от стандартной формы к основной с помощью введения новых переменных. Для этого требуется, чтобы свободные члены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1F7">
        <w:rPr>
          <w:rFonts w:ascii="Times New Roman" w:hAnsi="Times New Roman" w:cs="Times New Roman"/>
          <w:sz w:val="28"/>
          <w:szCs w:val="28"/>
        </w:rPr>
        <w:t>неравенствах были неотрицательными, и все неравенства в (1.4) имели единственный знак «=».</w:t>
      </w:r>
    </w:p>
    <w:p w14:paraId="61083D82" w14:textId="77777777" w:rsidR="006F4A03" w:rsidRDefault="006F4A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D405F" w14:textId="4446B592" w:rsidR="006F4A03" w:rsidRPr="006F4A03" w:rsidRDefault="006F4A03" w:rsidP="006F4A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F4A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67B08491" w14:textId="4C18A21B" w:rsidR="006F4A03" w:rsidRDefault="006F4A03" w:rsidP="006F4A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2 (рисунок 1)</w:t>
      </w:r>
    </w:p>
    <w:p w14:paraId="7148306E" w14:textId="3CC38BD5" w:rsidR="006F4A03" w:rsidRDefault="006F4A03" w:rsidP="006F4A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D85201" wp14:editId="69CED238">
            <wp:extent cx="321945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50BF" w14:textId="40FB3343" w:rsidR="006F4A03" w:rsidRPr="00BC0833" w:rsidRDefault="006F4A03" w:rsidP="006F4A0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 xml:space="preserve"> 1-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</w:p>
    <w:p w14:paraId="7FEA6332" w14:textId="38F0B9CE" w:rsidR="006F4A03" w:rsidRPr="00BC0833" w:rsidRDefault="006F4A03" w:rsidP="006F4A0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550EF12" w14:textId="533BE48F" w:rsidR="00BC0833" w:rsidRDefault="006F4A03" w:rsidP="006F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</w:pP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r w:rsidRPr="006F4A03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System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6F4A03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System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Collections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Generic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namespace </w:t>
      </w:r>
      <w:r w:rsidRPr="006F4A03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Ex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_1</w:t>
      </w:r>
      <w:r w:rsidRPr="006F4A03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Simplex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private 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[,]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int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m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List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int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basis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Simplex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[,]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source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m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source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GetLength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n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source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GetLength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table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 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m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n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m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-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basis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List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int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&gt;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m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proofErr w:type="spellStart"/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GetLength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);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)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source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else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b/>
          <w:bCs/>
          <w:color w:val="949494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n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949494"/>
          <w:sz w:val="20"/>
          <w:szCs w:val="20"/>
          <w:lang w:val="en-US" w:eastAsia="ru-RU"/>
        </w:rPr>
        <w:t xml:space="preserve">)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proofErr w:type="spellStart"/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GetLength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n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basis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Add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n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n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GetLength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private 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[,] 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Calculate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[]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while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!</w:t>
      </w:r>
      <w:proofErr w:type="spellStart"/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IsItEnd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FindMainCol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FindMainRow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basis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[,]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newTable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 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m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newTable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/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m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continue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newTable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-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newTable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table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newTable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Length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k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basis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IndexOf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k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!= -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k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else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bool </w:t>
      </w:r>
      <w:proofErr w:type="spellStart"/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IsItEnd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bool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flag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true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m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-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flag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false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break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flag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int </w:t>
      </w:r>
      <w:proofErr w:type="spellStart"/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FindMainCol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m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-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m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-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int </w:t>
      </w:r>
      <w:proofErr w:type="spellStart"/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FindMainRow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m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-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A9E6D0"/>
          <w:lang w:val="en-US" w:eastAsia="ru-RU"/>
        </w:rPr>
        <w:t>{</w:t>
      </w:r>
      <w:r w:rsidRPr="006F4A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break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A9E6D0"/>
          <w:lang w:val="en-US" w:eastAsia="ru-RU"/>
        </w:rPr>
        <w:t>}</w:t>
      </w:r>
      <w:r w:rsidRPr="006F4A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 xml:space="preserve">m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-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b/>
          <w:bCs/>
          <w:color w:val="949494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949494"/>
          <w:sz w:val="20"/>
          <w:szCs w:val="20"/>
          <w:lang w:val="en-US" w:eastAsia="ru-RU"/>
        </w:rPr>
        <w:t xml:space="preserve">)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&amp;&amp;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b/>
          <w:bCs/>
          <w:color w:val="949494"/>
          <w:sz w:val="20"/>
          <w:szCs w:val="20"/>
          <w:lang w:val="en-US" w:eastAsia="ru-RU"/>
        </w:rPr>
        <w:t>((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/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</w:t>
      </w:r>
      <w:r w:rsidRPr="006F4A03">
        <w:rPr>
          <w:rFonts w:ascii="Courier New" w:eastAsia="Times New Roman" w:hAnsi="Courier New" w:cs="Courier New"/>
          <w:b/>
          <w:bCs/>
          <w:color w:val="949494"/>
          <w:sz w:val="20"/>
          <w:szCs w:val="20"/>
          <w:lang w:val="en-US" w:eastAsia="ru-RU"/>
        </w:rPr>
        <w:t xml:space="preserve">)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r w:rsidRPr="006F4A03">
        <w:rPr>
          <w:rFonts w:ascii="Courier New" w:eastAsia="Times New Roman" w:hAnsi="Courier New" w:cs="Courier New"/>
          <w:b/>
          <w:bCs/>
          <w:color w:val="949494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/ </w:t>
      </w:r>
      <w:r w:rsidRPr="006F4A03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mainCol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</w:t>
      </w:r>
      <w:r w:rsidRPr="006F4A03">
        <w:rPr>
          <w:rFonts w:ascii="Courier New" w:eastAsia="Times New Roman" w:hAnsi="Courier New" w:cs="Courier New"/>
          <w:b/>
          <w:bCs/>
          <w:color w:val="949494"/>
          <w:sz w:val="20"/>
          <w:szCs w:val="20"/>
          <w:lang w:val="en-US" w:eastAsia="ru-RU"/>
        </w:rPr>
        <w:t>))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mainRow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class 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Program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static void 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Main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[,]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table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13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},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18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7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},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-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4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-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-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};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[]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result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 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3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Simplex </w:t>
      </w:r>
      <w:r w:rsidR="006C1F90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s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Simplex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table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double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[,]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tableResult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="006C1F90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s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Calculate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WriteLine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"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eastAsia="ru-RU"/>
        </w:rPr>
        <w:t>Решенная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eastAsia="ru-RU"/>
        </w:rPr>
        <w:t>симплекс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-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eastAsia="ru-RU"/>
        </w:rPr>
        <w:t>таблица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:"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tableResult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GetLength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);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;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 xml:space="preserve">j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&lt;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tableResult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GetLength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); 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Write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tableResult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proofErr w:type="spellStart"/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i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,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j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]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" "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WriteLine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WriteLine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WriteLine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"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eastAsia="ru-RU"/>
        </w:rPr>
        <w:t>Решение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:"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WriteLine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"X[1] = "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WriteLine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"X[2] = "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WriteLine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</w:t>
      </w:r>
      <w:r w:rsidRPr="006F4A03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"X[3] = " </w:t>
      </w:r>
      <w:r w:rsidRPr="006F4A03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</w:t>
      </w:r>
      <w:r w:rsidRPr="006F4A03">
        <w:rPr>
          <w:rFonts w:ascii="Courier New" w:eastAsia="Times New Roman" w:hAnsi="Courier New" w:cs="Courier New"/>
          <w:color w:val="1B6600"/>
          <w:sz w:val="20"/>
          <w:szCs w:val="20"/>
          <w:lang w:val="en-US" w:eastAsia="ru-RU"/>
        </w:rPr>
        <w:t>result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[</w:t>
      </w:r>
      <w:r w:rsidRPr="006F4A03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4A03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Console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6F4A03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ReadLine</w:t>
      </w:r>
      <w:proofErr w:type="spellEnd"/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();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  }</w:t>
      </w:r>
      <w:r w:rsidRPr="006F4A03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>}</w:t>
      </w:r>
    </w:p>
    <w:p w14:paraId="3BBC22AF" w14:textId="77777777" w:rsidR="00BC0833" w:rsidRDefault="00BC0833">
      <w:pPr>
        <w:spacing w:after="160" w:line="259" w:lineRule="auto"/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 w:type="page"/>
      </w:r>
    </w:p>
    <w:p w14:paraId="10EC45BC" w14:textId="77777777" w:rsidR="00BC0833" w:rsidRDefault="00BC0833" w:rsidP="006F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</w:pPr>
    </w:p>
    <w:p w14:paraId="5DEC4DDF" w14:textId="6C0E8E6A" w:rsidR="00BC0833" w:rsidRDefault="00BC0833" w:rsidP="00BC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  <w:t>Результат алгоритма</w:t>
      </w:r>
    </w:p>
    <w:p w14:paraId="057A6934" w14:textId="6B3833BA" w:rsidR="00BC0833" w:rsidRPr="00BC0833" w:rsidRDefault="00BC0833" w:rsidP="00BC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Результат выполнения симплекс-метода представлен на рисунке 2.</w:t>
      </w:r>
    </w:p>
    <w:p w14:paraId="0614F612" w14:textId="66254E6B" w:rsidR="006C1F90" w:rsidRDefault="00BC0833" w:rsidP="00BC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6B3758" wp14:editId="095E968A">
            <wp:extent cx="2320636" cy="20637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487" cy="20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5C8" w14:textId="0BAEAB0D" w:rsidR="00BC0833" w:rsidRPr="00BC0833" w:rsidRDefault="00BC0833" w:rsidP="00BC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833">
        <w:rPr>
          <w:rFonts w:ascii="Times New Roman" w:hAnsi="Times New Roman" w:cs="Times New Roman"/>
          <w:sz w:val="28"/>
          <w:szCs w:val="28"/>
        </w:rPr>
        <w:t>Рисунок 2- Вывод алгоритма</w:t>
      </w:r>
    </w:p>
    <w:p w14:paraId="7F7120C9" w14:textId="1ED563E7" w:rsidR="006F4A03" w:rsidRPr="00BC0833" w:rsidRDefault="006C1F90" w:rsidP="00BC08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B665A00" w14:textId="325F920F" w:rsidR="006C1F90" w:rsidRPr="00BC0833" w:rsidRDefault="006C1F90" w:rsidP="00BC08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приобретены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симплекс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BC08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6C1F90" w:rsidRPr="00BC0833" w:rsidSect="00BC083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487F" w14:textId="77777777" w:rsidR="008B1A60" w:rsidRDefault="008B1A60" w:rsidP="00BC0833">
      <w:pPr>
        <w:spacing w:after="0" w:line="240" w:lineRule="auto"/>
      </w:pPr>
      <w:r>
        <w:separator/>
      </w:r>
    </w:p>
  </w:endnote>
  <w:endnote w:type="continuationSeparator" w:id="0">
    <w:p w14:paraId="08B2C34C" w14:textId="77777777" w:rsidR="008B1A60" w:rsidRDefault="008B1A60" w:rsidP="00BC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730807"/>
      <w:docPartObj>
        <w:docPartGallery w:val="Page Numbers (Bottom of Page)"/>
        <w:docPartUnique/>
      </w:docPartObj>
    </w:sdtPr>
    <w:sdtContent>
      <w:p w14:paraId="293AFF96" w14:textId="6183E600" w:rsidR="00BC0833" w:rsidRDefault="00BC08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E5D81D" w14:textId="77777777" w:rsidR="00BC0833" w:rsidRDefault="00BC08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C5CEB" w14:textId="77777777" w:rsidR="008B1A60" w:rsidRDefault="008B1A60" w:rsidP="00BC0833">
      <w:pPr>
        <w:spacing w:after="0" w:line="240" w:lineRule="auto"/>
      </w:pPr>
      <w:r>
        <w:separator/>
      </w:r>
    </w:p>
  </w:footnote>
  <w:footnote w:type="continuationSeparator" w:id="0">
    <w:p w14:paraId="604A089B" w14:textId="77777777" w:rsidR="008B1A60" w:rsidRDefault="008B1A60" w:rsidP="00BC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B1"/>
    <w:rsid w:val="006C1F90"/>
    <w:rsid w:val="006F4A03"/>
    <w:rsid w:val="008B1A60"/>
    <w:rsid w:val="00BC0833"/>
    <w:rsid w:val="00C80CC8"/>
    <w:rsid w:val="00C81B75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98D0"/>
  <w15:chartTrackingRefBased/>
  <w15:docId w15:val="{9B14759C-95AD-4B53-8B33-48A66A58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A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A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C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0833"/>
  </w:style>
  <w:style w:type="paragraph" w:styleId="a5">
    <w:name w:val="footer"/>
    <w:basedOn w:val="a"/>
    <w:link w:val="a6"/>
    <w:uiPriority w:val="99"/>
    <w:unhideWhenUsed/>
    <w:rsid w:val="00BC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4</cp:revision>
  <dcterms:created xsi:type="dcterms:W3CDTF">2023-02-15T11:11:00Z</dcterms:created>
  <dcterms:modified xsi:type="dcterms:W3CDTF">2023-02-15T11:31:00Z</dcterms:modified>
</cp:coreProperties>
</file>