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67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400"/>
      </w:tblPr>
      <w:tblGrid>
        <w:gridCol w:w="4855"/>
        <w:gridCol w:w="4856"/>
        <w:gridCol w:w="4856"/>
        <w:tblGridChange w:id="0">
          <w:tblGrid>
            <w:gridCol w:w="4855"/>
            <w:gridCol w:w="4856"/>
            <w:gridCol w:w="4856"/>
          </w:tblGrid>
        </w:tblGridChange>
      </w:tblGrid>
      <w:tr>
        <w:trPr>
          <w:cantSplit w:val="0"/>
          <w:trHeight w:val="370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6" w:val="single"/>
              <w:right w:color="000000" w:space="0" w:sz="4" w:val="single"/>
            </w:tcBorders>
            <w:shd w:fill="63b2de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fefffe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fefffe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Facteurs Positifs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shd w:fill="63b2de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fefffe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fefffe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Facteurs Négatifs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489bc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357ca2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fefefe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Diagnostic Interne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FAIBLESSES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489bc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8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 projet répond à une demande croissante de solutions de recharge pour les véhicules électriques.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 système proposé est capable de prendre en compte les caractéristiques spécifiques de chaque véhicule, offrant ainsi une expérience utilisateur complète et personnalisée.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La simulation proposée permettra de prédire la charge du réseau en fonction d'un ensemble d'usagers, aidant ainsi les investisseurs et autorités à prendre des décisions éclairées.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>
                <w:rFonts w:ascii="Helvetica Neue" w:cs="Helvetica Neue" w:eastAsia="Helvetica Neue" w:hAnsi="Helvetica Neue"/>
                <w:u w:val="no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Les hypothèses simplificatrices (chemin direct entre toutes les bornes de recharge, tous les véhicules roulent à la même vitesse) pourraient affecter la précision de la simulation.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L'adoption généralisée des véhicules électriques pourrait prendre du temps, ce qui pourrait limiter la portée du projet à court terme.</w:t>
            </w:r>
            <w:r w:rsidDel="00000000" w:rsidR="00000000" w:rsidRPr="00000000">
              <w:rPr>
                <w:rFonts w:ascii="Roboto" w:cs="Roboto" w:eastAsia="Roboto" w:hAnsi="Roboto"/>
                <w:color w:val="d1d5db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489bc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357ca2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fefefe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Diagnostic Externe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OPPORTUNITÉS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489bc9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Les gouvernements et les investisseurs sont de plus en plus enclins à soutenir les solutions de recharge pour les véhicules électriques, offrant ainsi un marché potentiel pour le projet.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Il est possible d'étendre les fonctionnalités du système pour inclure des fonctionnalités de paiement, de réservation de bornes, etc.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 système pourrait être adapté à d'autres types de véhicules électriques tels que les vélos ou les scooters électriques.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La concurrence sur le marché des solutions de recharge pour les véhicules électriques est intense, avec de nombreux acteurs majeurs déjà établis.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Les réglementations et les politiques gouvernementales en matière de recharge des véhicules électriques pourraient changer rapidement, affectant la demande pour le projet.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4" w:right="0" w:hanging="360"/>
              <w:jc w:val="left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Les avancées technologiques pourraient rendre obsolète le système développé, limitant ainsi sa durée de vie utile.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1900" w:w="16840" w:orient="landscape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884" w:hanging="360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60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2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4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6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8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0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2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4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 w:val="en-US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Lienhypertexte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orps" w:customStyle="1">
    <w:name w:val="Corps"/>
    <w:rPr>
      <w:rFonts w:ascii="Helvetica" w:cs="Arial Unicode MS" w:hAnsi="Helvetica"/>
      <w:color w:val="000000"/>
      <w:sz w:val="22"/>
      <w:szCs w:val="22"/>
    </w:rPr>
  </w:style>
  <w:style w:type="paragraph" w:styleId="Styledetableau3" w:customStyle="1">
    <w:name w:val="Style de tableau 3"/>
    <w:rPr>
      <w:rFonts w:ascii="Helvetica" w:cs="Arial Unicode MS" w:hAnsi="Helvetica"/>
      <w:color w:val="fefffe"/>
    </w:rPr>
  </w:style>
  <w:style w:type="paragraph" w:styleId="Styledetableau6" w:customStyle="1">
    <w:name w:val="Style de tableau 6"/>
    <w:rPr>
      <w:rFonts w:ascii="Helvetica" w:cs="Arial Unicode MS" w:hAnsi="Helvetica"/>
      <w:color w:val="357ca2"/>
    </w:rPr>
  </w:style>
  <w:style w:type="paragraph" w:styleId="Styledetableau2" w:customStyle="1">
    <w:name w:val="Style de tableau 2"/>
    <w:rPr>
      <w:rFonts w:ascii="Helvetica" w:cs="Arial Unicode MS" w:hAnsi="Helvetica"/>
      <w:color w:val="00000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vTrOk9Og4lJZMMLqrGbgnEHuPg==">AMUW2mWIkVYE/BPAHVKz7N3vOsnn0Rkh527ajdLRoDiI3RPxJXib8i/+bEO8zJpBl9H6Kbn0vHC7Smi0RCpOII6Oo2PXkKrmjKFMEMGtGEmaYDSxCAGOnuA=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2018-05-29T09:24:00Z</dcterms:created>
</cp:coreProperties>
</file>