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Лаб.4</w:t>
      </w:r>
      <w:r>
        <w:t xml:space="preserve"> </w:t>
      </w: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трех случаев.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Heading2"/>
      </w:pPr>
      <w:bookmarkStart w:id="22" w:name="вариант-23"/>
      <w:r>
        <w:t xml:space="preserve">Вариант 23</w:t>
      </w:r>
      <w:bookmarkEnd w:id="22"/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r>
          <m:t>∫</m:t>
        </m:r>
        <m:r>
          <m:t>∫</m:t>
        </m:r>
        <m:r>
          <m:t>x</m:t>
        </m:r>
        <m:r>
          <m:t>+</m:t>
        </m:r>
        <m:r>
          <m:t>1.5</m:t>
        </m:r>
        <m:r>
          <m:t>x</m:t>
        </m:r>
        <m: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r>
          <m:t>∫</m:t>
        </m:r>
        <m:r>
          <m:t>∫</m:t>
        </m:r>
        <m:r>
          <m:t>x</m:t>
        </m:r>
        <m:r>
          <m:t>+</m:t>
        </m:r>
        <m:r>
          <m:t>0.8</m:t>
        </m:r>
        <m:r>
          <m:t>∫</m:t>
        </m:r>
        <m:r>
          <m:t>x</m:t>
        </m:r>
        <m:r>
          <m:t>+</m:t>
        </m:r>
        <m:r>
          <m:t>3</m:t>
        </m:r>
        <m:r>
          <m:t>x</m:t>
        </m:r>
        <m: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r>
          <m:t>∫</m:t>
        </m:r>
        <m:r>
          <m:t>∫</m:t>
        </m:r>
        <m:r>
          <m:t>x</m:t>
        </m:r>
        <m:r>
          <m:t>+</m:t>
        </m:r>
        <m:r>
          <m:t>3.3</m:t>
        </m:r>
        <m:r>
          <m:t>∫</m:t>
        </m:r>
        <m:r>
          <m:t>x</m:t>
        </m:r>
        <m:r>
          <m:t>+</m:t>
        </m:r>
        <m:r>
          <m:t>0.1</m:t>
        </m:r>
        <m:r>
          <m:t>x</m:t>
        </m:r>
        <m:r>
          <m:t>=</m:t>
        </m:r>
        <m:r>
          <m:t>0.1</m:t>
        </m:r>
        <m:r>
          <m:t>s</m:t>
        </m:r>
        <m:r>
          <m:t>i</m:t>
        </m:r>
        <m:r>
          <m:t>n</m:t>
        </m:r>
        <m:r>
          <m:t>(</m:t>
        </m:r>
        <m:r>
          <m:t>3</m:t>
        </m:r>
        <m:r>
          <m:t>t</m:t>
        </m:r>
        <m:r>
          <m:t>)</m:t>
        </m:r>
      </m:oMath>
    </w:p>
    <w:p>
      <w:pPr>
        <w:pStyle w:val="FirstParagraph"/>
      </w:pPr>
      <w:r>
        <w:t xml:space="preserve">На интервале t</w:t>
      </w:r>
      <m:oMath>
        <m:r>
          <m:t>∈</m:t>
        </m:r>
      </m:oMath>
      <w:r>
        <w:t xml:space="preserve">[0;46] (шаг 0.05) с начальными условиями x</w:t>
      </w:r>
      <w:r>
        <w:rPr>
          <w:vertAlign w:val="subscript"/>
        </w:rPr>
        <w:t xml:space="preserve">0</w:t>
      </w:r>
      <w:r>
        <w:t xml:space="preserve">=0.1,y</w:t>
      </w:r>
      <w:r>
        <w:rPr>
          <w:vertAlign w:val="subscript"/>
        </w:rPr>
        <w:t xml:space="preserve">0</w:t>
      </w:r>
      <w:r>
        <w:t xml:space="preserve">=-1.1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</w:t>
      </w:r>
      <w:bookmarkEnd w:id="23"/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</w:p>
    <w:p>
      <w:pPr>
        <w:pStyle w:val="BodyText"/>
      </w:pPr>
      <m:oMath>
        <m:r>
          <m:t>∫</m:t>
        </m:r>
        <m:r>
          <m:t>∫</m:t>
        </m:r>
        <m:r>
          <m:t>x</m:t>
        </m:r>
        <m:r>
          <m:t>+</m:t>
        </m:r>
        <m:r>
          <m:t>2</m:t>
        </m:r>
        <m:r>
          <m:t>y</m:t>
        </m:r>
        <m:r>
          <m:t>∫</m:t>
        </m:r>
        <m:r>
          <m:t>x</m:t>
        </m:r>
        <m:r>
          <m:t>+</m:t>
        </m:r>
        <m:sSubSup>
          <m:e>
            <m:r>
              <m:t>w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t>=</m:t>
        </m:r>
        <m:r>
          <m:t>0</m:t>
        </m:r>
      </m:oMath>
      <w:r>
        <w:t xml:space="preserve"> </w:t>
      </w:r>
      <w:r>
        <w:t xml:space="preserve">(1)</w:t>
      </w:r>
    </w:p>
    <w:p>
      <w:pPr>
        <w:pStyle w:val="BodyText"/>
      </w:pPr>
      <w:r>
        <w:t xml:space="preserve">где x 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 y – параметр, характеризующий потери энергии (трение в</w:t>
      </w:r>
      <w:r>
        <w:t xml:space="preserve"> </w:t>
      </w:r>
      <w:r>
        <w:t xml:space="preserve">механической системе, сопротивление в контуре), w</w:t>
      </w:r>
      <w:r>
        <w:rPr>
          <w:vertAlign w:val="subscript"/>
        </w:rPr>
        <w:t xml:space="preserve">0</w:t>
      </w:r>
      <w:r>
        <w:t xml:space="preserve"> </w:t>
      </w:r>
      <w:r>
        <w:t xml:space="preserve">–- собственная частота</w:t>
      </w:r>
      <w:r>
        <w:t xml:space="preserve"> </w:t>
      </w:r>
      <w:r>
        <w:t xml:space="preserve">колебаний, t –- время. (Обозначения</w:t>
      </w:r>
      <w:r>
        <w:t xml:space="preserve"> </w:t>
      </w:r>
      <m:oMath>
        <m:r>
          <m:t>∫</m:t>
        </m:r>
        <m:r>
          <m:t>∫</m:t>
        </m:r>
        <m:r>
          <m:t>x</m:t>
        </m:r>
        <m:r>
          <m:t>=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t>d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t>,</m:t>
        </m:r>
        <m:r>
          <m:t>∫</m:t>
        </m:r>
        <m:r>
          <m:t>x</m:t>
        </m:r>
        <m:r>
          <m:t>=</m:t>
        </m:r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)</w:t>
      </w:r>
    </w:p>
    <w:p>
      <w:pPr>
        <w:pStyle w:val="BodyText"/>
      </w:pPr>
      <w:r>
        <w:t xml:space="preserve">Уравнение (1) есть линейное однородное дифференциальное уравнение</w:t>
      </w:r>
      <w:r>
        <w:t xml:space="preserve"> </w:t>
      </w:r>
      <w:r>
        <w:t xml:space="preserve">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(y=0) вместо уравнения (1.1) получаем</w:t>
      </w:r>
      <w:r>
        <w:t xml:space="preserve"> </w:t>
      </w:r>
      <w:r>
        <w:t xml:space="preserve">уравнение консервативного осциллятора энергия колебания которого сохраняется</w:t>
      </w:r>
      <w:r>
        <w:t xml:space="preserve"> </w:t>
      </w:r>
      <w:r>
        <w:t xml:space="preserve">во времени.</w:t>
      </w:r>
    </w:p>
    <w:p>
      <w:pPr>
        <w:pStyle w:val="BodyText"/>
      </w:pPr>
      <m:oMath>
        <m:r>
          <m:t>∫</m:t>
        </m:r>
        <m:r>
          <m:t>∫</m:t>
        </m:r>
        <m:r>
          <m:t>x</m:t>
        </m:r>
        <m:r>
          <m:t>+</m:t>
        </m:r>
        <m:sSubSup>
          <m:e>
            <m:r>
              <m:t>w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t>=</m:t>
        </m:r>
        <m:r>
          <m:t>0</m:t>
        </m:r>
      </m:oMath>
      <w:r>
        <w:t xml:space="preserve"> </w:t>
      </w:r>
      <w:r>
        <w:t xml:space="preserve">(2)</w:t>
      </w:r>
    </w:p>
    <w:p>
      <w:pPr>
        <w:pStyle w:val="BodyText"/>
      </w:pPr>
      <w:r>
        <w:t xml:space="preserve">Для однозначной разрешимости уравнения второго порядка (2) необходимо</w:t>
      </w:r>
      <w:r>
        <w:t xml:space="preserve"> </w:t>
      </w:r>
      <w:r>
        <w:t xml:space="preserve">задать два начальных условия вида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(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)</m:t>
                  </m:r>
                  <m: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  <m:mr>
                <m:e>
                  <m:r>
                    <m:t>∫</m:t>
                  </m:r>
                  <m:r>
                    <m:t>x</m:t>
                  </m:r>
                  <m:r>
                    <m:t>(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)</m:t>
                  </m:r>
                  <m: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(3)</w:t>
      </w:r>
    </w:p>
    <w:p>
      <w:pPr>
        <w:pStyle w:val="BodyText"/>
      </w:pPr>
      <w:r>
        <w:t xml:space="preserve">Уравнение второго порядка (2) можно представить в виде системы двух</w:t>
      </w:r>
      <w:r>
        <w:t xml:space="preserve"> </w:t>
      </w:r>
      <w:r>
        <w:t xml:space="preserve">уравнений первого порядка: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∫</m:t>
                  </m:r>
                  <m:r>
                    <m:t>x</m:t>
                  </m:r>
                  <m:r>
                    <m:t>=</m:t>
                  </m:r>
                  <m:r>
                    <m:t>y</m:t>
                  </m:r>
                </m:e>
              </m:mr>
              <m:mr>
                <m:e>
                  <m:r>
                    <m:t>∫</m:t>
                  </m:r>
                  <m:r>
                    <m:t>y</m:t>
                  </m:r>
                  <m:r>
                    <m:t>=</m:t>
                  </m:r>
                  <m:r>
                    <m:t>−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x</m:t>
                  </m:r>
                </m:e>
              </m:mr>
            </m:m>
          </m:e>
        </m:d>
      </m:oMath>
      <w:r>
        <w:t xml:space="preserve"> </w:t>
      </w:r>
      <w:r>
        <w:t xml:space="preserve">(4)</w:t>
      </w:r>
    </w:p>
    <w:p>
      <w:pPr>
        <w:pStyle w:val="BodyText"/>
      </w:pPr>
      <w:r>
        <w:t xml:space="preserve">Начальные условия (3) для системы (4) примут вид: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(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)</m:t>
                  </m:r>
                  <m: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  <m:mr>
                <m:e>
                  <m:r>
                    <m:t>y</m:t>
                  </m:r>
                  <m:r>
                    <m:t>(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)</m:t>
                  </m:r>
                  <m: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(5)</w:t>
      </w:r>
    </w:p>
    <w:p>
      <w:pPr>
        <w:pStyle w:val="BodyText"/>
      </w:pPr>
      <w:r>
        <w:t xml:space="preserve">Независимые переменные x, y 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</w:p>
    <w:p>
      <w:pPr>
        <w:pStyle w:val="BodyText"/>
      </w:pPr>
      <w:r>
        <w:t xml:space="preserve">Значение фазовых координат x, y в любой момент времени полностью</w:t>
      </w:r>
      <w:r>
        <w:t xml:space="preserve"> </w:t>
      </w:r>
      <w:r>
        <w:t xml:space="preserve">определяет состояние системы. Решению уравнения движения как функции</w:t>
      </w:r>
      <w:r>
        <w:t xml:space="preserve"> </w:t>
      </w:r>
      <w:r>
        <w:t xml:space="preserve">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 начальным условиям) изобразить на одной фазовой плоскости, возникает общая</w:t>
      </w:r>
      <w:r>
        <w:t xml:space="preserve"> </w:t>
      </w:r>
      <w:r>
        <w:t xml:space="preserve">картина поведения системы. Такую картину, образованную набором фазовых</w:t>
      </w:r>
      <w:r>
        <w:t xml:space="preserve"> </w:t>
      </w:r>
      <w:r>
        <w:t xml:space="preserve">траекторий, называют фазовым портретом.</w:t>
      </w:r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pStyle w:val="Heading2"/>
      </w:pPr>
      <w:bookmarkStart w:id="25" w:name="Xaef6aabf4955e3dd5522d3aff3aeea3eeae8774"/>
      <w:r>
        <w:t xml:space="preserve">Построение фазового портрета гармонического осциллятора</w:t>
      </w:r>
      <w:bookmarkEnd w:id="25"/>
    </w:p>
    <w:p>
      <w:pPr>
        <w:pStyle w:val="FirstParagraph"/>
      </w:pPr>
      <w:r>
        <w:t xml:space="preserve">Для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Для колебания гармонического осциллятора c затуханием и без действий внешней</w:t>
      </w:r>
      <w:r>
        <w:t xml:space="preserve"> </w:t>
      </w:r>
      <w:r>
        <w:t xml:space="preserve">силы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Для колебания гармонического осциллятора c затуханием и под действием внешней</w:t>
      </w:r>
      <w:r>
        <w:t xml:space="preserve"> </w:t>
      </w:r>
      <w:r>
        <w:t xml:space="preserve">силы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2"/>
      </w:pPr>
      <w:bookmarkStart w:id="26" w:name="код-программы"/>
      <w:r>
        <w:t xml:space="preserve">Код программы</w:t>
      </w:r>
      <w:bookmarkEnd w:id="26"/>
    </w:p>
    <w:p>
      <w:pPr>
        <w:pStyle w:val="FirstParagraph"/>
      </w:pPr>
      <w:r>
        <w:t xml:space="preserve">Код программы для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Код программы для колебания гармонического осциллятора c затуханием и без действий внешней</w:t>
      </w:r>
      <w:r>
        <w:t xml:space="preserve"> </w:t>
      </w:r>
      <w:r>
        <w:t xml:space="preserve">силы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Код программы Для колебания гармонического осциллятора c затуханием и под действием внешней</w:t>
      </w:r>
      <w:r>
        <w:t xml:space="preserve"> </w:t>
      </w:r>
      <w:r>
        <w:t xml:space="preserve">силы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1"/>
      </w:pPr>
      <w:bookmarkStart w:id="27" w:name="вывод"/>
      <w:r>
        <w:t xml:space="preserve">Вывод</w:t>
      </w:r>
      <w:bookmarkEnd w:id="27"/>
    </w:p>
    <w:p>
      <w:pPr>
        <w:pStyle w:val="FirstParagraph"/>
      </w:pPr>
      <w:r>
        <w:t xml:space="preserve">Построил фазовый портрет гармонического осциллятора и решил уравнения</w:t>
      </w:r>
      <w:r>
        <w:t xml:space="preserve"> </w:t>
      </w:r>
      <w:r>
        <w:t xml:space="preserve">гармонического осциллятора для трех случаев.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Лаб.4 Модель гармонических колебаний</dc:title>
  <dc:creator>Никулин Максим Геннадьевич</dc:creator>
  <dc:language>ru-RU</dc:language>
  <cp:keywords/>
  <dcterms:created xsi:type="dcterms:W3CDTF">2022-05-24T20:51:37Z</dcterms:created>
  <dcterms:modified xsi:type="dcterms:W3CDTF">2022-05-24T20:51:37Z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