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  <Override PartName="/word/media/rId40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Лаб.4</w:t>
      </w:r>
      <w:r>
        <w:t xml:space="preserve"> </w:t>
      </w: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Никулин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трех случаев.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bookmarkStart w:id="21" w:name="вариант-23"/>
    <w:p>
      <w:pPr>
        <w:pStyle w:val="Heading2"/>
      </w:pPr>
      <w:r>
        <w:t xml:space="preserve">Вариант 23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r>
          <m:rPr>
            <m:sty m:val="p"/>
          </m:rPr>
          <m:t>∫</m:t>
        </m:r>
        <m:r>
          <m:rPr>
            <m:sty m:val="p"/>
          </m:rPr>
          <m:t>∫</m:t>
        </m:r>
        <m:r>
          <m:t>x</m:t>
        </m:r>
        <m:r>
          <m:rPr>
            <m:sty m:val="p"/>
          </m:rPr>
          <m:t>+</m:t>
        </m:r>
        <m:r>
          <m:t>1.5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r>
          <m:rPr>
            <m:sty m:val="p"/>
          </m:rPr>
          <m:t>∫</m:t>
        </m:r>
        <m:r>
          <m:rPr>
            <m:sty m:val="p"/>
          </m:rPr>
          <m:t>∫</m:t>
        </m:r>
        <m:r>
          <m:t>x</m:t>
        </m:r>
        <m:r>
          <m:rPr>
            <m:sty m:val="p"/>
          </m:rPr>
          <m:t>+</m:t>
        </m:r>
        <m:r>
          <m:t>0.8</m:t>
        </m:r>
        <m:r>
          <m:rPr>
            <m:sty m:val="p"/>
          </m:rPr>
          <m:t>∫</m:t>
        </m:r>
        <m:r>
          <m:t>x</m:t>
        </m:r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r>
          <m:rPr>
            <m:sty m:val="p"/>
          </m:rPr>
          <m:t>∫</m:t>
        </m:r>
        <m:r>
          <m:rPr>
            <m:sty m:val="p"/>
          </m:rPr>
          <m:t>∫</m:t>
        </m:r>
        <m:r>
          <m:t>x</m:t>
        </m:r>
        <m:r>
          <m:rPr>
            <m:sty m:val="p"/>
          </m:rPr>
          <m:t>+</m:t>
        </m:r>
        <m:r>
          <m:t>3.3</m:t>
        </m:r>
        <m:r>
          <m:rPr>
            <m:sty m:val="p"/>
          </m:rPr>
          <m:t>∫</m:t>
        </m:r>
        <m:r>
          <m:t>x</m:t>
        </m:r>
        <m:r>
          <m:rPr>
            <m:sty m:val="p"/>
          </m:rPr>
          <m:t>+</m:t>
        </m:r>
        <m:r>
          <m:t>0.1</m:t>
        </m:r>
        <m:r>
          <m:t>x</m:t>
        </m:r>
        <m:r>
          <m:rPr>
            <m:sty m:val="p"/>
          </m:rPr>
          <m:t>=</m:t>
        </m:r>
        <m:r>
          <m:t>0.1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t</m:t>
            </m:r>
          </m:e>
        </m:d>
      </m:oMath>
    </w:p>
    <w:p>
      <w:pPr>
        <w:pStyle w:val="FirstParagraph"/>
      </w:pPr>
      <w:r>
        <w:t xml:space="preserve">На интервале t</w:t>
      </w:r>
      <m:oMath>
        <m:r>
          <m:rPr>
            <m:sty m:val="p"/>
          </m:rPr>
          <m:t>∈</m:t>
        </m:r>
      </m:oMath>
      <w:r>
        <w:t xml:space="preserve">[0;46] (шаг 0.05) с начальными условиями x</w:t>
      </w:r>
      <w:r>
        <w:rPr>
          <w:vertAlign w:val="subscript"/>
        </w:rPr>
        <w:t xml:space="preserve">0</w:t>
      </w:r>
      <w:r>
        <w:t xml:space="preserve">=0.1,y</w:t>
      </w:r>
      <w:r>
        <w:rPr>
          <w:vertAlign w:val="subscript"/>
        </w:rPr>
        <w:t xml:space="preserve">0</w:t>
      </w:r>
      <w:r>
        <w:t xml:space="preserve">=-1.1</w:t>
      </w:r>
    </w:p>
    <w:bookmarkEnd w:id="21"/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</w:t>
      </w:r>
      <w:r>
        <w:t xml:space="preserve"> </w:t>
      </w:r>
      <w:r>
        <w:t xml:space="preserve">также эволюция во времени многих систем в физике, химии, биологии и других</w:t>
      </w:r>
      <w:r>
        <w:t xml:space="preserve"> </w:t>
      </w:r>
      <w:r>
        <w:t xml:space="preserve">науках при определенных предположениях можно описать одним и тем же</w:t>
      </w:r>
      <w:r>
        <w:t xml:space="preserve"> </w:t>
      </w:r>
      <w:r>
        <w:t xml:space="preserve">дифференциальным уравнением, которое в теории колебаний выступает в качестве</w:t>
      </w:r>
      <w:r>
        <w:t xml:space="preserve"> </w:t>
      </w:r>
      <w:r>
        <w:t xml:space="preserve">основной модели. Эта модель называется линейным гармоническим осциллятором.</w:t>
      </w:r>
    </w:p>
    <w:p>
      <w:pPr>
        <w:pStyle w:val="BodyText"/>
      </w:pPr>
      <w:r>
        <w:t xml:space="preserve">Уравнение свободных колебаний гармонического осциллятора имеет</w:t>
      </w:r>
      <w:r>
        <w:t xml:space="preserve"> </w:t>
      </w:r>
      <w:r>
        <w:t xml:space="preserve">следующий вид:</w:t>
      </w:r>
    </w:p>
    <w:p>
      <w:pPr>
        <w:pStyle w:val="BodyText"/>
      </w:pPr>
      <m:oMath>
        <m:r>
          <m:rPr>
            <m:sty m:val="p"/>
          </m:rPr>
          <m:t>∫</m:t>
        </m:r>
        <m:r>
          <m:rPr>
            <m:sty m:val="p"/>
          </m:rPr>
          <m:t>∫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∫</m:t>
        </m:r>
        <m:r>
          <m:t>x</m:t>
        </m:r>
        <m:r>
          <m:rPr>
            <m:sty m:val="p"/>
          </m:rPr>
          <m:t>+</m:t>
        </m:r>
        <m:sSubSup>
          <m:e>
            <m:r>
              <m:t>w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(1)</w:t>
      </w:r>
    </w:p>
    <w:p>
      <w:pPr>
        <w:pStyle w:val="BodyText"/>
      </w:pPr>
      <w:r>
        <w:t xml:space="preserve">где x – переменная, описывающая состояние системы (смещение грузика, заряд</w:t>
      </w:r>
      <w:r>
        <w:t xml:space="preserve"> </w:t>
      </w:r>
      <w:r>
        <w:t xml:space="preserve">конденсатора и т.д.), y – параметр, характеризующий потери энергии (трение в</w:t>
      </w:r>
      <w:r>
        <w:t xml:space="preserve"> </w:t>
      </w:r>
      <w:r>
        <w:t xml:space="preserve">механической системе, сопротивление в контуре), w</w:t>
      </w:r>
      <w:r>
        <w:rPr>
          <w:vertAlign w:val="subscript"/>
        </w:rPr>
        <w:t xml:space="preserve">0</w:t>
      </w:r>
      <w:r>
        <w:t xml:space="preserve"> </w:t>
      </w:r>
      <w:r>
        <w:t xml:space="preserve">–- собственная частота</w:t>
      </w:r>
      <w:r>
        <w:t xml:space="preserve"> </w:t>
      </w:r>
      <w:r>
        <w:t xml:space="preserve">колебаний, t –- время. (Обозначения</w:t>
      </w:r>
      <w:r>
        <w:t xml:space="preserve"> </w:t>
      </w:r>
      <m:oMath>
        <m:r>
          <m:rPr>
            <m:sty m:val="p"/>
          </m:rPr>
          <m:t>∫</m:t>
        </m:r>
        <m:r>
          <m:rPr>
            <m:sty m:val="p"/>
          </m:rPr>
          <m:t>∫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r>
              <m:t>x</m:t>
            </m:r>
          </m:num>
          <m:den>
            <m:r>
              <m:t>d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,</m:t>
        </m:r>
        <m:r>
          <m:rPr>
            <m:sty m:val="p"/>
          </m:rPr>
          <m:t>∫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)</w:t>
      </w:r>
    </w:p>
    <w:p>
      <w:pPr>
        <w:pStyle w:val="BodyText"/>
      </w:pPr>
      <w:r>
        <w:t xml:space="preserve">Уравнение (1) есть линейное однородное дифференциальное уравнение</w:t>
      </w:r>
      <w:r>
        <w:t xml:space="preserve"> </w:t>
      </w:r>
      <w:r>
        <w:t xml:space="preserve">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(y=0) вместо уравнения (1.1) получаем</w:t>
      </w:r>
      <w:r>
        <w:t xml:space="preserve"> </w:t>
      </w:r>
      <w:r>
        <w:t xml:space="preserve">уравнение консервативного осциллятора энергия колебания которого сохраняется</w:t>
      </w:r>
      <w:r>
        <w:t xml:space="preserve"> </w:t>
      </w:r>
      <w:r>
        <w:t xml:space="preserve">во времени.</w:t>
      </w:r>
    </w:p>
    <w:p>
      <w:pPr>
        <w:pStyle w:val="BodyText"/>
      </w:pPr>
      <m:oMath>
        <m:r>
          <m:rPr>
            <m:sty m:val="p"/>
          </m:rPr>
          <m:t>∫</m:t>
        </m:r>
        <m:r>
          <m:rPr>
            <m:sty m:val="p"/>
          </m:rPr>
          <m:t>∫</m:t>
        </m:r>
        <m:r>
          <m:t>x</m:t>
        </m:r>
        <m:r>
          <m:rPr>
            <m:sty m:val="p"/>
          </m:rPr>
          <m:t>+</m:t>
        </m:r>
        <m:sSubSup>
          <m:e>
            <m:r>
              <m:t>w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(2)</w:t>
      </w:r>
    </w:p>
    <w:p>
      <w:pPr>
        <w:pStyle w:val="BodyText"/>
      </w:pPr>
      <w:r>
        <w:t xml:space="preserve">Для однозначной разрешимости уравнения второго порядка (2) необходимо</w:t>
      </w:r>
      <w:r>
        <w:t xml:space="preserve"> </w:t>
      </w:r>
      <w:r>
        <w:t xml:space="preserve">задать два начальных условия вида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m:t>∫</m:t>
                  </m:r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 xml:space="preserve">(3)</w:t>
      </w:r>
    </w:p>
    <w:p>
      <w:pPr>
        <w:pStyle w:val="BodyText"/>
      </w:pPr>
      <w:r>
        <w:t xml:space="preserve">Уравнение второго порядка (2) можно представить в виде системы двух</w:t>
      </w:r>
      <w:r>
        <w:t xml:space="preserve"> </w:t>
      </w:r>
      <w:r>
        <w:t xml:space="preserve">уравнений первого порядка: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∫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m:t>∫</m:t>
                  </m:r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w</m:t>
                      </m:r>
                    </m:e>
                    <m:sub>
                      <m:r>
                        <m:t>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x</m:t>
                  </m:r>
                </m:e>
              </m:mr>
            </m:m>
          </m:e>
        </m:d>
      </m:oMath>
      <w:r>
        <w:t xml:space="preserve"> </w:t>
      </w:r>
      <w:r>
        <w:t xml:space="preserve">(4)</w:t>
      </w:r>
    </w:p>
    <w:p>
      <w:pPr>
        <w:pStyle w:val="BodyText"/>
      </w:pPr>
      <w:r>
        <w:t xml:space="preserve">Начальные условия (3) для системы (4) примут вид: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mr>
              <m:mr>
                <m:e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 xml:space="preserve">(5)</w:t>
      </w:r>
    </w:p>
    <w:p>
      <w:pPr>
        <w:pStyle w:val="BodyText"/>
      </w:pPr>
      <w:r>
        <w:t xml:space="preserve">Независимые переменные x, y определяют пространство, в котором</w:t>
      </w:r>
      <w:r>
        <w:t xml:space="preserve"> </w:t>
      </w:r>
      <w:r>
        <w:t xml:space="preserve">«движется» решение. Это фазовое пространство системы, поскольку оно двумерно</w:t>
      </w:r>
      <w:r>
        <w:t xml:space="preserve"> </w:t>
      </w:r>
      <w:r>
        <w:t xml:space="preserve">будем называть его фазовой плоскостью.</w:t>
      </w:r>
    </w:p>
    <w:p>
      <w:pPr>
        <w:pStyle w:val="BodyText"/>
      </w:pPr>
      <w:r>
        <w:t xml:space="preserve">Значение фазовых координат x, y в любой момент времени полностью</w:t>
      </w:r>
      <w:r>
        <w:t xml:space="preserve"> </w:t>
      </w:r>
      <w:r>
        <w:t xml:space="preserve">определяет состояние системы. Решению уравнения движения как функции</w:t>
      </w:r>
      <w:r>
        <w:t xml:space="preserve"> </w:t>
      </w:r>
      <w:r>
        <w:t xml:space="preserve">времени отвечает гладкая кривая в фазовой плоскости. Она называется фазовой</w:t>
      </w:r>
      <w:r>
        <w:t xml:space="preserve"> </w:t>
      </w:r>
      <w:r>
        <w:t xml:space="preserve">траекторией. Если множество различных решений (соответствующих различным начальным условиям) изобразить на одной фазовой плоскости, возникает общая</w:t>
      </w:r>
      <w:r>
        <w:t xml:space="preserve"> </w:t>
      </w:r>
      <w:r>
        <w:t xml:space="preserve">картина поведения системы. Такую картину, образованную набором фазовых</w:t>
      </w:r>
      <w:r>
        <w:t xml:space="preserve"> </w:t>
      </w:r>
      <w:r>
        <w:t xml:space="preserve">траекторий, называют фазовым портретом.</w:t>
      </w:r>
    </w:p>
    <w:bookmarkEnd w:id="23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3" w:name="Xaef6aabf4955e3dd5522d3aff3aeea3eeae8774"/>
    <w:p>
      <w:pPr>
        <w:pStyle w:val="Heading2"/>
      </w:pPr>
      <w:r>
        <w:t xml:space="preserve">Построение фазового портрета гармонического осциллятора</w:t>
      </w:r>
    </w:p>
    <w:p>
      <w:pPr>
        <w:pStyle w:val="FirstParagraph"/>
      </w:pPr>
      <w:r>
        <w:t xml:space="preserve">Для колебания гармонического осциллятора без затуханий и без действий внешней</w:t>
      </w:r>
      <w:r>
        <w:t xml:space="preserve"> </w:t>
      </w:r>
      <w:r>
        <w:t xml:space="preserve">силы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5334000" cy="2243571"/>
            <wp:effectExtent b="0" l="0" r="0" t="0"/>
            <wp:docPr descr="2" title="" id="25" name="Picture"/>
            <a:graphic>
              <a:graphicData uri="http://schemas.openxmlformats.org/drawingml/2006/picture">
                <pic:pic>
                  <pic:nvPicPr>
                    <pic:cNvPr descr="math_mo/4/graph_3_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Для колебания гармонического осциллятора c затуханием и без действий внешней</w:t>
      </w:r>
      <w:r>
        <w:t xml:space="preserve"> </w:t>
      </w:r>
      <w:r>
        <w:t xml:space="preserve">силы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5334000" cy="2243571"/>
            <wp:effectExtent b="0" l="0" r="0" t="0"/>
            <wp:docPr descr="2" title="" id="28" name="Picture"/>
            <a:graphic>
              <a:graphicData uri="http://schemas.openxmlformats.org/drawingml/2006/picture">
                <pic:pic>
                  <pic:nvPicPr>
                    <pic:cNvPr descr="math_mo/4/graph_3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Для колебания гармонического осциллятора c затуханием и под действием внешней</w:t>
      </w:r>
      <w:r>
        <w:t xml:space="preserve"> </w:t>
      </w:r>
      <w:r>
        <w:t xml:space="preserve">силы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5334000" cy="2028313"/>
            <wp:effectExtent b="0" l="0" r="0" t="0"/>
            <wp:docPr descr="2" title="" id="31" name="Picture"/>
            <a:graphic>
              <a:graphicData uri="http://schemas.openxmlformats.org/drawingml/2006/picture">
                <pic:pic>
                  <pic:nvPicPr>
                    <pic:cNvPr descr="math_mo/4/graph_3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bookmarkEnd w:id="33"/>
    <w:bookmarkStart w:id="43" w:name="код-программы"/>
    <w:p>
      <w:pPr>
        <w:pStyle w:val="Heading2"/>
      </w:pPr>
      <w:r>
        <w:t xml:space="preserve">Код программы</w:t>
      </w:r>
    </w:p>
    <w:p>
      <w:pPr>
        <w:pStyle w:val="FirstParagraph"/>
      </w:pPr>
      <w:r>
        <w:t xml:space="preserve">Код программы для колебания гармонического осциллятора без затуханий и без действий внешней</w:t>
      </w:r>
      <w:r>
        <w:t xml:space="preserve"> </w:t>
      </w:r>
      <w:r>
        <w:t xml:space="preserve">силы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BodyText"/>
      </w:pPr>
      <w:r>
        <w:drawing>
          <wp:inline>
            <wp:extent cx="3619098" cy="1925052"/>
            <wp:effectExtent b="0" l="0" r="0" t="0"/>
            <wp:docPr descr="2" title="" id="35" name="Picture"/>
            <a:graphic>
              <a:graphicData uri="http://schemas.openxmlformats.org/drawingml/2006/picture">
                <pic:pic>
                  <pic:nvPicPr>
                    <pic:cNvPr descr="math_mo/4/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192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Код программы для колебания гармонического осциллятора c затуханием и без действий внешней</w:t>
      </w:r>
      <w:r>
        <w:t xml:space="preserve"> </w:t>
      </w:r>
      <w:r>
        <w:t xml:space="preserve">силы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BodyText"/>
      </w:pPr>
      <w:r>
        <w:drawing>
          <wp:inline>
            <wp:extent cx="2502568" cy="1655545"/>
            <wp:effectExtent b="0" l="0" r="0" t="0"/>
            <wp:docPr descr="2" title="" id="38" name="Picture"/>
            <a:graphic>
              <a:graphicData uri="http://schemas.openxmlformats.org/drawingml/2006/picture">
                <pic:pic>
                  <pic:nvPicPr>
                    <pic:cNvPr descr="math_mo/4/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68" cy="165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Код программы Для колебания гармонического осциллятора c затуханием и под действием внешней</w:t>
      </w:r>
      <w:r>
        <w:t xml:space="preserve"> </w:t>
      </w:r>
      <w:r>
        <w:t xml:space="preserve">силы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4032985" cy="1645920"/>
            <wp:effectExtent b="0" l="0" r="0" t="0"/>
            <wp:docPr descr="2" title="" id="41" name="Picture"/>
            <a:graphic>
              <a:graphicData uri="http://schemas.openxmlformats.org/drawingml/2006/picture">
                <pic:pic>
                  <pic:nvPicPr>
                    <pic:cNvPr descr="math_mo/4/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bookmarkEnd w:id="43"/>
    <w:bookmarkEnd w:id="44"/>
    <w:bookmarkStart w:id="4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Построил фазовый портрет гармонического осциллятора и решил уравнения</w:t>
      </w:r>
      <w:r>
        <w:t xml:space="preserve"> </w:t>
      </w:r>
      <w:r>
        <w:t xml:space="preserve">гармонического осциллятора для трех случаев.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Лаб.4 Модель гармонических колебаний</dc:title>
  <dc:creator>Никулин Максим Геннадьевич</dc:creator>
  <dc:language>ru-RU</dc:language>
  <cp:keywords/>
  <dcterms:created xsi:type="dcterms:W3CDTF">2022-05-24T23:19:51Z</dcterms:created>
  <dcterms:modified xsi:type="dcterms:W3CDTF">2022-05-24T23:19:51Z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