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000" cy="1636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-0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636061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spacing w:before="240" w:after="0" w:line="360" w:lineRule="auto"/>
        <w:jc w:val="center"/>
      </w:pPr>
      <w:r>
        <w:rPr>
          <w:b/>
          <w:bCs/>
          <w:sz w:val="24"/>
          <w:szCs w:val="24"/>
        </w:rPr>
        <w:t xml:space="preserve">Universidad Católica de Córdoba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Sede Río Cuarto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Facultad de Ingeniería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Carrera: Ingeniería en Informática</w:t>
      </w:r>
    </w:p>
    <w:p xmlns:a="http://schemas.openxmlformats.org/drawingml/2006/main" xmlns:pic="http://schemas.openxmlformats.org/drawingml/2006/picture">
      <w:pPr>
        <w:spacing w:before="1500" w:after="0" w:line="360" w:lineRule="auto"/>
        <w:jc w:val="center"/>
      </w:pPr>
      <w:r>
        <w:rPr>
          <w:b/>
          <w:bCs/>
          <w:sz w:val="32"/>
          <w:szCs w:val="32"/>
        </w:rPr>
        <w:t xml:space="preserve">Trabajo Integrador de Estadística Multivariada</w:t>
      </w:r>
    </w:p>
    <w:p xmlns:a="http://schemas.openxmlformats.org/drawingml/2006/main" xmlns:pic="http://schemas.openxmlformats.org/drawingml/2006/picture">
      <w:pPr>
        <w:spacing w:before="120" w:after="0" w:line="360" w:lineRule="auto"/>
        <w:jc w:val="center"/>
      </w:pPr>
      <w:r>
        <w:rPr>
          <w:b/>
          <w:bCs/>
          <w:sz w:val="28"/>
          <w:szCs w:val="28"/>
        </w:rPr>
        <w:t xml:space="preserve">Análisis del tráfico de red para distinguir ataques del tráfico normal (base UNSW-NB15)</w:t>
      </w:r>
    </w:p>
    <w:p xmlns:a="http://schemas.openxmlformats.org/drawingml/2006/main" xmlns:pic="http://schemas.openxmlformats.org/drawingml/2006/picture">
      <w:pPr>
        <w:spacing w:before="1500" w:after="0" w:line="360" w:lineRule="auto"/>
        <w:jc w:val="center"/>
      </w:pPr>
      <w:r>
        <w:rPr>
          <w:b/>
          <w:bCs/>
          <w:sz w:val="22"/>
          <w:szCs w:val="22"/>
        </w:rPr>
        <w:t xml:space="preserve">Autores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Maximiliano Gimenez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Lisandro Monti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Ignacio Marinelli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Mateo Camelino</w:t>
      </w:r>
    </w:p>
    <w:p xmlns:a="http://schemas.openxmlformats.org/drawingml/2006/main" xmlns:pic="http://schemas.openxmlformats.org/drawingml/2006/picture">
      <w:pPr>
        <w:spacing w:before="600" w:after="0" w:line="360" w:lineRule="auto"/>
        <w:jc w:val="center"/>
      </w:pPr>
      <w:r>
        <w:rPr>
          <w:sz w:val="22"/>
          <w:szCs w:val="22"/>
        </w:rPr>
        <w:t xml:space="preserve">Materia: Estadística Multivariada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Docente: Prof. Silvana Malpassi</w:t>
      </w:r>
    </w:p>
    <w:p xmlns:a="http://schemas.openxmlformats.org/drawingml/2006/main" xmlns:pic="http://schemas.openxmlformats.org/drawingml/2006/picture">
      <w:pPr>
        <w:spacing w:before="0" w:after="0" w:line="360" w:lineRule="auto"/>
        <w:jc w:val="center"/>
      </w:pPr>
      <w:r>
        <w:rPr>
          <w:sz w:val="22"/>
          <w:szCs w:val="22"/>
        </w:rPr>
        <w:t xml:space="preserve">Fecha de entrega: 30 de octubre de 2026</w:t>
      </w:r>
    </w:p>
    <w:p xmlns:a="http://schemas.openxmlformats.org/drawingml/2006/main" xmlns:pic="http://schemas.openxmlformats.org/drawingml/2006/picture">
      <w:pPr>
        <w:pStyle w:val="TituloIndice"/>
        <w:pageBreakBefore/>
      </w:pPr>
      <w:r>
        <w:t xml:space="preserve">Índice</w:t>
      </w:r>
    </w:p>
    <w:p xmlns:a="http://schemas.openxmlformats.org/drawingml/2006/main" xmlns:pic="http://schemas.openxmlformats.org/drawingml/2006/picture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_h1" w:history="1">
        <w:r>
          <w:t xml:space="preserve">1. Introducción</w:t>
        </w:r>
        <w:r>
          <w:tab/>
        </w:r>
        <w:r>
          <w:t>4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h2" w:history="1">
        <w:r>
          <w:t xml:space="preserve">2. Datos</w:t>
        </w:r>
        <w:r>
          <w:tab/>
        </w:r>
        <w:r>
          <w:t>4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3" w:history="1">
        <w:r>
          <w:t xml:space="preserve">2.1 Base y variables</w:t>
        </w:r>
        <w:r>
          <w:tab/>
        </w:r>
        <w:r>
          <w:t>4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4" w:history="1">
        <w:r>
          <w:t xml:space="preserve">2.2 Calidad</w:t>
        </w:r>
        <w:r>
          <w:tab/>
        </w:r>
        <w:r>
          <w:t>5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5" w:history="1">
        <w:r>
          <w:t xml:space="preserve">2.3 Descriptiva y transformación</w:t>
        </w:r>
        <w:r>
          <w:tab/>
        </w:r>
        <w:r>
          <w:t>5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6" w:history="1">
        <w:r>
          <w:t xml:space="preserve">2.4 Supuestos</w:t>
        </w:r>
        <w:r>
          <w:tab/>
        </w:r>
        <w:r>
          <w:t>6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h7" w:history="1">
        <w:r>
          <w:t xml:space="preserve">3. Análisis de componentes principales (ACP)</w:t>
        </w:r>
        <w:r>
          <w:tab/>
        </w:r>
        <w:r>
          <w:t>8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8" w:history="1">
        <w:r>
          <w:t xml:space="preserve">3.1 H1: ¿el tráfico se asocia con ser ataque?</w:t>
        </w:r>
        <w:r>
          <w:tab/>
        </w:r>
        <w:r>
          <w:t>8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9" w:history="1">
        <w:r>
          <w:t xml:space="preserve">3.2 Estandarización y cantidad de componentes</w:t>
        </w:r>
        <w:r>
          <w:tab/>
        </w:r>
        <w:r>
          <w:t>8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10" w:history="1">
        <w:r>
          <w:t xml:space="preserve">3.3 Interpretación</w:t>
        </w:r>
        <w:r>
          <w:tab/>
        </w:r>
        <w:r>
          <w:t>9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11" w:history="1">
        <w:r>
          <w:t xml:space="preserve">3.4 Biplot y observaciones extremas</w:t>
        </w:r>
        <w:r>
          <w:tab/>
        </w:r>
        <w:r>
          <w:t>10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h12" w:history="1">
        <w:r>
          <w:t xml:space="preserve">4. Análisis factorial (AF)</w:t>
        </w:r>
        <w:r>
          <w:tab/>
        </w:r>
        <w:r>
          <w:t>10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13" w:history="1">
        <w:r>
          <w:t xml:space="preserve">4.1 Supuestos y cantidad de factores</w:t>
        </w:r>
        <w:r>
          <w:tab/>
        </w:r>
        <w:r>
          <w:t>11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14" w:history="1">
        <w:r>
          <w:t xml:space="preserve">4.2 Estimación e interpretación</w:t>
        </w:r>
        <w:r>
          <w:tab/>
        </w:r>
        <w:r>
          <w:t>11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15" w:history="1">
        <w:r>
          <w:t xml:space="preserve">4.3 ACP frente a AF</w:t>
        </w:r>
        <w:r>
          <w:tab/>
        </w:r>
        <w:r>
          <w:t>11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h16" w:history="1">
        <w:r>
          <w:t xml:space="preserve">5. Clustering</w:t>
        </w:r>
        <w:r>
          <w:tab/>
        </w:r>
        <w:r>
          <w:t>12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17" w:history="1">
        <w:r>
          <w:t xml:space="preserve">5.1 Cantidad de grupos</w:t>
        </w:r>
        <w:r>
          <w:tab/>
        </w:r>
        <w:r>
          <w:t>12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18" w:history="1">
        <w:r>
          <w:t xml:space="preserve">5.2 K-means, Ward y efecto del preprocesamiento</w:t>
        </w:r>
        <w:r>
          <w:tab/>
        </w:r>
        <w:r>
          <w:t>13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19" w:history="1">
        <w:r>
          <w:t xml:space="preserve">5.3 Cluster de variables</w:t>
        </w:r>
        <w:r>
          <w:tab/>
        </w:r>
        <w:r>
          <w:t>13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20" w:history="1">
        <w:r>
          <w:t xml:space="preserve">5.4 Perfiles de los grupos</w:t>
        </w:r>
        <w:r>
          <w:tab/>
        </w:r>
        <w:r>
          <w:t>13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21" w:history="1">
        <w:r>
          <w:t xml:space="preserve">5.5 Cruce con el tipo de tráfico y evaluación de H2</w:t>
        </w:r>
        <w:r>
          <w:tab/>
        </w:r>
        <w:r>
          <w:t>15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h22" w:history="1">
        <w:r>
          <w:t xml:space="preserve">6. Análisis de correspondencias (ACS y ACM)</w:t>
        </w:r>
        <w:r>
          <w:tab/>
        </w:r>
        <w:r>
          <w:t>15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23" w:history="1">
        <w:r>
          <w:t xml:space="preserve">6.1 Variables categóricas (X_cat)</w:t>
        </w:r>
        <w:r>
          <w:tab/>
        </w:r>
        <w:r>
          <w:t>15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24" w:history="1">
        <w:r>
          <w:t xml:space="preserve">6.2 Análisis de correspondencias simple: tipo de tráfico y estado</w:t>
        </w:r>
        <w:r>
          <w:tab/>
        </w:r>
        <w:r>
          <w:t>16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25" w:history="1">
        <w:r>
          <w:t xml:space="preserve">6.3 Análisis de correspondencias múltiple</w:t>
        </w:r>
        <w:r>
          <w:tab/>
        </w:r>
        <w:r>
          <w:t>16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26" w:history="1">
        <w:r>
          <w:t xml:space="preserve">6.4 Vínculo con el clustering y evaluación de H3</w:t>
        </w:r>
        <w:r>
          <w:tab/>
        </w:r>
        <w:r>
          <w:t>17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h27" w:history="1">
        <w:r>
          <w:t xml:space="preserve">7. Integración y conclusiones</w:t>
        </w:r>
        <w:r>
          <w:tab/>
        </w:r>
        <w:r>
          <w:t>18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28" w:history="1">
        <w:r>
          <w:t xml:space="preserve">7.1 Qué dijo cada técnica</w:t>
        </w:r>
        <w:r>
          <w:tab/>
        </w:r>
        <w:r>
          <w:t>18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29" w:history="1">
        <w:r>
          <w:t xml:space="preserve">7.2 Respuestas a las preguntas de la integración</w:t>
        </w:r>
        <w:r>
          <w:tab/>
        </w:r>
        <w:r>
          <w:t>19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30" w:history="1">
        <w:r>
          <w:t xml:space="preserve">7.3 Respuesta a la pregunta guía</w:t>
        </w:r>
        <w:r>
          <w:tab/>
        </w:r>
        <w:r>
          <w:t>19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h31" w:history="1">
        <w:r>
          <w:t xml:space="preserve">7.4 Limitaciones y próximos pasos</w:t>
        </w:r>
        <w:r>
          <w:tab/>
        </w:r>
        <w:r>
          <w:t>19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ref" w:history="1">
        <w:r>
          <w:t xml:space="preserve">Referencias</w:t>
        </w:r>
        <w:r>
          <w:tab/>
        </w:r>
        <w:r>
          <w:t>20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anA" w:history="1">
        <w:r>
          <w:t xml:space="preserve">Anexo A. Diccionario de variables</w:t>
        </w:r>
        <w:r>
          <w:tab/>
        </w:r>
        <w:r>
          <w:t>21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anB" w:history="1">
        <w:r>
          <w:t xml:space="preserve">Anexo B. Glosario</w:t>
        </w:r>
        <w:r>
          <w:tab/>
        </w:r>
        <w:r>
          <w:t>27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anC" w:history="1">
        <w:r>
          <w:t xml:space="preserve">Anexo C. Elección de la cantidad de grupos</w:t>
        </w:r>
        <w:r>
          <w:tab/>
        </w:r>
        <w:r>
          <w:t>28</w:t>
        </w:r>
      </w:hyperlink>
    </w:p>
    <w:p xmlns:a="http://schemas.openxmlformats.org/drawingml/2006/main" xmlns:pic="http://schemas.openxmlformats.org/drawingml/2006/picture">
      <w:pPr>
        <w:pStyle w:val="TOC1"/>
      </w:pPr>
      <w:hyperlink w:anchor="_Toc_anD" w:history="1">
        <w:r>
          <w:t xml:space="preserve">Anexo D. Código en R por etapa</w:t>
        </w:r>
        <w:r>
          <w:tab/>
        </w:r>
        <w:r>
          <w:t>29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d0" w:history="1">
        <w:r>
          <w:t xml:space="preserve">D.0 Bloque 0 · Paquetes, semilla, rutas y utilidades</w:t>
        </w:r>
        <w:r>
          <w:tab/>
        </w:r>
        <w:r>
          <w:t>30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d1" w:history="1">
        <w:r>
          <w:t xml:space="preserve">D.1 Etapa 0 · Exploración y preparación</w:t>
        </w:r>
        <w:r>
          <w:tab/>
        </w:r>
        <w:r>
          <w:t>33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d2" w:history="1">
        <w:r>
          <w:t xml:space="preserve">D.2 Etapa 1 · ACP</w:t>
        </w:r>
        <w:r>
          <w:tab/>
        </w:r>
        <w:r>
          <w:t>37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d3" w:history="1">
        <w:r>
          <w:t xml:space="preserve">D.3 Etapa 2 · AF</w:t>
        </w:r>
        <w:r>
          <w:tab/>
        </w:r>
        <w:r>
          <w:t>39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d4" w:history="1">
        <w:r>
          <w:t xml:space="preserve">D.4 Etapa 3 · Conglomerados</w:t>
        </w:r>
        <w:r>
          <w:tab/>
        </w:r>
        <w:r>
          <w:t>42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d5" w:history="1">
        <w:r>
          <w:t xml:space="preserve">D.5 Etapa 4 · ACS y ACM</w:t>
        </w:r>
        <w:r>
          <w:tab/>
        </w:r>
        <w:r>
          <w:t>45</w:t>
        </w:r>
      </w:hyperlink>
    </w:p>
    <w:p xmlns:a="http://schemas.openxmlformats.org/drawingml/2006/main" xmlns:pic="http://schemas.openxmlformats.org/drawingml/2006/picture">
      <w:pPr>
        <w:pStyle w:val="TOC2"/>
      </w:pPr>
      <w:hyperlink w:anchor="_Toc_d6" w:history="1">
        <w:r>
          <w:t xml:space="preserve">D.6 Etapa 6 · Integración</w:t>
        </w:r>
        <w:r>
          <w:tab/>
        </w:r>
        <w:r>
          <w:t>49</w:t>
        </w:r>
      </w:hyperlink>
      <w:r>
        <w:fldChar w:fldCharType="end"/>
      </w:r>
    </w:p>
    <w:p xmlns:a="http://schemas.openxmlformats.org/drawingml/2006/main" xmlns:pic="http://schemas.openxmlformats.org/drawingml/2006/picture">
      <w:pPr>
        <w:pStyle w:val="TituloIndice"/>
        <w:spacing w:before="240"/>
      </w:pPr>
      <w:r>
        <w:t xml:space="preserve">Índice de tablas</w:t>
      </w:r>
    </w:p>
    <w:p xmlns:a="http://schemas.openxmlformats.org/drawingml/2006/main" xmlns:pic="http://schemas.openxmlformats.org/drawingml/2006/picture">
      <w:pPr>
        <w:pStyle w:val="TableofFigures"/>
      </w:pPr>
      <w:r>
        <w:fldChar w:fldCharType="begin"/>
      </w:r>
      <w:r>
        <w:instrText xml:space="preserve"> TOC \h \z \f T </w:instrText>
      </w:r>
      <w:r>
        <w:fldChar w:fldCharType="separate"/>
      </w:r>
      <w:hyperlink w:anchor="_Toc_tab1" w:history="1">
        <w:r>
          <w:t xml:space="preserve">Tabla 1. Variables numéricas del análisis (X_num)</w:t>
        </w:r>
        <w:r>
          <w:tab/>
        </w:r>
        <w:r>
          <w:t>5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2" w:history="1">
        <w:r>
          <w:t xml:space="preserve">Tabla 2. Correlación de cada variable con ser ataque</w:t>
        </w:r>
        <w:r>
          <w:tab/>
        </w:r>
        <w:r>
          <w:t>8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3" w:history="1">
        <w:r>
          <w:t xml:space="preserve">Tabla 3. Autovalores y varianza explicada</w:t>
        </w:r>
        <w:r>
          <w:tab/>
        </w:r>
        <w:r>
          <w:t>8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4" w:history="1">
        <w:r>
          <w:t xml:space="preserve">Tabla 4. Correlación de cada variable con las componentes y calidad de representación</w:t>
        </w:r>
        <w:r>
          <w:tab/>
        </w:r>
        <w:r>
          <w:t>9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5" w:history="1">
        <w:r>
          <w:t xml:space="preserve">Tabla 5. Matriz de patrón</w:t>
        </w:r>
        <w:r>
          <w:tab/>
        </w:r>
        <w:r>
          <w:t>11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6" w:history="1">
        <w:r>
          <w:t xml:space="preserve">Tabla 6. Comparación entre ACP y AF</w:t>
        </w:r>
        <w:r>
          <w:tab/>
        </w:r>
        <w:r>
          <w:t>11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7" w:history="1">
        <w:r>
          <w:t xml:space="preserve">Tabla 7. Perfil de cada grupo: tamaño, promedios en unidades originales y porcentaje de ataques</w:t>
        </w:r>
        <w:r>
          <w:tab/>
        </w:r>
        <w:r>
          <w:t>13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8" w:history="1">
        <w:r>
          <w:t xml:space="preserve">Tabla 8. Composición de cada grupo según tipo de tráfico (% por fila)</w:t>
        </w:r>
        <w:r>
          <w:tab/>
        </w:r>
        <w:r>
          <w:t>15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9" w:history="1">
        <w:r>
          <w:t xml:space="preserve">Tabla 9. Variables categóricas y categorías finales</w:t>
        </w:r>
        <w:r>
          <w:tab/>
        </w:r>
        <w:r>
          <w:t>15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10" w:history="1">
        <w:r>
          <w:t xml:space="preserve">Tabla 10. Estado de la conexión según tipo de tráfico (% por fila)</w:t>
        </w:r>
        <w:r>
          <w:tab/>
        </w:r>
        <w:r>
          <w:t>16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11" w:history="1">
        <w:r>
          <w:t xml:space="preserve">Tabla 11. Categorías que más contribuyen a cada dimensión</w:t>
        </w:r>
        <w:r>
          <w:tab/>
        </w:r>
        <w:r>
          <w:t>17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12" w:history="1">
        <w:r>
          <w:t xml:space="preserve">Tabla 12. Síntesis de las técnicas</w:t>
        </w:r>
        <w:r>
          <w:tab/>
        </w:r>
        <w:r>
          <w:t>18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A1" w:history="1">
        <w:r>
          <w:t xml:space="preserve">Tabla A1. Las 68 columnas de la base: descripción, unidad, tipo y rol en el análisis</w:t>
        </w:r>
        <w:r>
          <w:tab/>
        </w:r>
        <w:r>
          <w:t>21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B1" w:history="1">
        <w:r>
          <w:t xml:space="preserve">Tabla B1. Glosario de términos de redes, seguridad y software</w:t>
        </w:r>
        <w:r>
          <w:tab/>
        </w:r>
        <w:r>
          <w:t>27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C1" w:history="1">
        <w:r>
          <w:t xml:space="preserve">Tabla C1. Suma de cuadrados dentro de grupos y silhouette promedio según k</w:t>
        </w:r>
        <w:r>
          <w:tab/>
        </w:r>
        <w:r>
          <w:t>28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tabD1" w:history="1">
        <w:r>
          <w:t xml:space="preserve">Tabla D1. Etapas del archivo ejecutable y lo que produce cada una</w:t>
        </w:r>
        <w:r>
          <w:tab/>
        </w:r>
        <w:r>
          <w:t>29</w:t>
        </w:r>
      </w:hyperlink>
      <w:r>
        <w:fldChar w:fldCharType="end"/>
      </w:r>
    </w:p>
    <w:p xmlns:a="http://schemas.openxmlformats.org/drawingml/2006/main" xmlns:pic="http://schemas.openxmlformats.org/drawingml/2006/picture">
      <w:pPr>
        <w:pStyle w:val="TituloIndice"/>
        <w:spacing w:before="240"/>
      </w:pPr>
      <w:r>
        <w:t xml:space="preserve">Índice de figuras</w:t>
      </w:r>
    </w:p>
    <w:p xmlns:a="http://schemas.openxmlformats.org/drawingml/2006/main" xmlns:pic="http://schemas.openxmlformats.org/drawingml/2006/picture">
      <w:pPr>
        <w:pStyle w:val="TableofFigures"/>
      </w:pPr>
      <w:r>
        <w:fldChar w:fldCharType="begin"/>
      </w:r>
      <w:r>
        <w:instrText xml:space="preserve"> TOC \h \z \f F </w:instrText>
      </w:r>
      <w:r>
        <w:fldChar w:fldCharType="separate"/>
      </w:r>
      <w:hyperlink w:anchor="_Toc_fig1" w:history="1">
        <w:r>
          <w:t xml:space="preserve">Figura 1. Boxplots de las 12 variables (en log, estandarizadas)</w:t>
        </w:r>
        <w:r>
          <w:tab/>
        </w:r>
        <w:r>
          <w:t>6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2" w:history="1">
        <w:r>
          <w:t xml:space="preserve">Figura 2. Bytes enviados por el origen, antes y después del log</w:t>
        </w:r>
        <w:r>
          <w:tab/>
        </w:r>
        <w:r>
          <w:t>6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3" w:history="1">
        <w:r>
          <w:t xml:space="preserve">Figura 3. Matriz de correlaciones</w:t>
        </w:r>
        <w:r>
          <w:tab/>
        </w:r>
        <w:r>
          <w:t>7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4" w:history="1">
        <w:r>
          <w:t xml:space="preserve">Figura 4. Gráfico del codo del ACP</w:t>
        </w:r>
        <w:r>
          <w:tab/>
        </w:r>
        <w:r>
          <w:t>9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5" w:history="1">
        <w:r>
          <w:t xml:space="preserve">Figura 5. Biplot del ACP</w:t>
        </w:r>
        <w:r>
          <w:tab/>
        </w:r>
        <w:r>
          <w:t>10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6" w:history="1">
        <w:r>
          <w:t xml:space="preserve">Figura 6. Análisis paralelo del AF</w:t>
        </w:r>
        <w:r>
          <w:tab/>
        </w:r>
        <w:r>
          <w:t>12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7" w:history="1">
        <w:r>
          <w:t xml:space="preserve">Figura 7. Codo y silhouette según la cantidad de grupos</w:t>
        </w:r>
        <w:r>
          <w:tab/>
        </w:r>
        <w:r>
          <w:t>13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8" w:history="1">
        <w:r>
          <w:t xml:space="preserve">Figura 8. Dendrograma de variables</w:t>
        </w:r>
        <w:r>
          <w:tab/>
        </w:r>
        <w:r>
          <w:t>14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9" w:history="1">
        <w:r>
          <w:t xml:space="preserve">Figura 9. Perfil estandarizado de los grupos</w:t>
        </w:r>
        <w:r>
          <w:tab/>
        </w:r>
        <w:r>
          <w:t>14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10" w:history="1">
        <w:r>
          <w:t xml:space="preserve">Figura 10. Mapa del ACS: tipo de tráfico y estado de la conexión</w:t>
        </w:r>
        <w:r>
          <w:tab/>
        </w:r>
        <w:r>
          <w:t>16</w:t>
        </w:r>
      </w:hyperlink>
    </w:p>
    <w:p xmlns:a="http://schemas.openxmlformats.org/drawingml/2006/main" xmlns:pic="http://schemas.openxmlformats.org/drawingml/2006/picture">
      <w:pPr>
        <w:pStyle w:val="TableofFigures"/>
      </w:pPr>
      <w:hyperlink w:anchor="_Toc_fig11" w:history="1">
        <w:r>
          <w:t xml:space="preserve">Figura 11. Mapa del ACM con las variables suplementarias</w:t>
        </w:r>
        <w:r>
          <w:tab/>
        </w:r>
        <w:r>
          <w:t>18</w:t>
        </w:r>
      </w:hyperlink>
      <w:r>
        <w:fldChar w:fldCharType="end"/>
      </w:r>
    </w:p>
    <w:p xmlns:a="http://schemas.openxmlformats.org/drawingml/2006/main" xmlns:pic="http://schemas.openxmlformats.org/drawingml/2006/picture">
      <w:pPr>
        <w:pStyle w:val="Heading1"/>
        <w:pageBreakBefore/>
      </w:pPr>
      <w:bookmarkStart w:id="101" w:name="_Toc_h1"/>
      <w:r>
        <w:t xml:space="preserve">1. Introducción</w:t>
      </w:r>
      <w:bookmarkEnd w:id="101"/>
    </w:p>
    <w:p xmlns:a="http://schemas.openxmlformats.org/drawingml/2006/main" xmlns:pic="http://schemas.openxmlformats.org/drawingml/2006/picture">
      <w:pPr/>
      <w:r>
        <w:t xml:space="preserve">Una red de computadoras recibe a la vez tráfico legítimo y ataques. Para detectarlos de forma automática hace falta saber qué rasgos del tráfico los distinguen. En este trabajo aplicamos técnicas de análisis multivariado para describir esos rasgos y preparar un modelo de regresión logística que se desarrollará en una etapa posterior.</w:t>
      </w:r>
    </w:p>
    <w:p xmlns:a="http://schemas.openxmlformats.org/drawingml/2006/main" xmlns:pic="http://schemas.openxmlformats.org/drawingml/2006/picture">
      <w:pPr/>
      <w:r>
        <w:t xml:space="preserve">Usamos la base UNSW-NB15, generada en un laboratorio de la Universidad de Nueva Gales del Sur que combina tráfico normal y ataques simulados (Moustafa y Slay, 2015). Cada fila es un flujo: una conversación entre dos equipos, en la que el origen inicia y el destino responde. Trabajamos con una muestra estratificada de 5.000 flujos sin duplicados: 2.408 normales (48,2 %) y 2.592 ataques (51,8 %). Los términos de redes y seguridad se explican en el glosario (Anexo B).</w:t>
      </w:r>
    </w:p>
    <w:p xmlns:a="http://schemas.openxmlformats.org/drawingml/2006/main" xmlns:pic="http://schemas.openxmlformats.org/drawingml/2006/picture">
      <w:pPr/>
      <w:r>
        <w:t xml:space="preserve">Nuestra intuición de partida es que muchos ataques son conversaciones de un solo lado: el atacante envía y el otro equipo responde poco o nada. De ahí surge la pregunta guía:</w:t>
      </w:r>
    </w:p>
    <w:p xmlns:a="http://schemas.openxmlformats.org/drawingml/2006/main" xmlns:pic="http://schemas.openxmlformats.org/drawingml/2006/picture">
      <w:pPr/>
      <w:r>
        <w:rPr>
          <w:b/>
          <w:bCs/>
        </w:rPr>
        <w:t xml:space="preserve">¿Se puede distinguir un ataque del tráfico normal observando cómo es la conversación entre dos equipos?</w:t>
      </w:r>
    </w:p>
    <w:p xmlns:a="http://schemas.openxmlformats.org/drawingml/2006/main" xmlns:pic="http://schemas.openxmlformats.org/drawingml/2006/picture">
      <w:pPr/>
      <w:r>
        <w:t xml:space="preserve">Para responderla planteamos tres hipótesis: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H1.</w:t>
      </w:r>
      <w:r>
        <w:t xml:space="preserve"> Las características del tráfico (volumen, tiempos y repetición de conexiones) están asociadas con que el flujo sea un ataque.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H2.</w:t>
      </w:r>
      <w:r>
        <w:t xml:space="preserve"> Sin usar la etiqueta, los flujos forman grupos en los que predomina el tráfico normal o predominan los ataques.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H3.</w:t>
      </w:r>
      <w:r>
        <w:t xml:space="preserve"> Los ataques dejan conversaciones a medias: se asocian con conexiones incompletas y sin respuesta, mientras que el tráfico normal se asocia con conexiones cerradas.</w:t>
      </w:r>
    </w:p>
    <w:p xmlns:a="http://schemas.openxmlformats.org/drawingml/2006/main" xmlns:pic="http://schemas.openxmlformats.org/drawingml/2006/picture">
      <w:pPr>
        <w:pStyle w:val="Heading1"/>
      </w:pPr>
      <w:bookmarkStart w:id="102" w:name="_Toc_h2"/>
      <w:r>
        <w:t xml:space="preserve">2. Datos</w:t>
      </w:r>
      <w:bookmarkEnd w:id="102"/>
    </w:p>
    <w:p xmlns:a="http://schemas.openxmlformats.org/drawingml/2006/main" xmlns:pic="http://schemas.openxmlformats.org/drawingml/2006/picture">
      <w:pPr>
        <w:pStyle w:val="Heading2"/>
      </w:pPr>
      <w:bookmarkStart w:id="103" w:name="_Toc_h3"/>
      <w:r>
        <w:t xml:space="preserve">2.1 Base y variables</w:t>
      </w:r>
      <w:bookmarkEnd w:id="103"/>
    </w:p>
    <w:p xmlns:a="http://schemas.openxmlformats.org/drawingml/2006/main" xmlns:pic="http://schemas.openxmlformats.org/drawingml/2006/picture">
      <w:pPr/>
      <w:r>
        <w:t xml:space="preserve">La base tiene 5.000 flujos y 68 columnas: 47 numéricas (14 de ellas copias en escala log(x + 1)) y 21 categóricas. El diccionario completo está en el Anexo A. Elegimos 12 variables numéricas (X_num) que describen la conversación en tres aspectos: cuánto se envía, a qué ritmo y cuántas veces se repite (Tabla 1). Excluimos las que se calculan a partir de otras, las casi constantes y las redundantes.</w:t>
      </w:r>
    </w:p>
    <w:p xmlns:a="http://schemas.openxmlformats.org/drawingml/2006/main" xmlns:pic="http://schemas.openxmlformats.org/drawingml/2006/picture">
      <w:pPr/>
      <w:r>
        <w:t xml:space="preserve">Las variables categóricas (tipo de tráfico, protocolo, servicio y estado de la conexión) y sus frecuencias están en la Tabla 9 (capítulo 6). “Otros ataques” reúne seis tipos que por separado no llegan al 5 %.</w:t>
      </w:r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04" w:name="_Toc_tab1"/>
      <w:r>
        <w:rPr>
          <w:vanish/>
        </w:rPr>
        <w:fldChar w:fldCharType="begin"/>
      </w:r>
      <w:r>
        <w:rPr>
          <w:vanish/>
        </w:rPr>
        <w:instrText xml:space="preserve"> TC "Tabla 1. Variables numéricas del análisis (X_num)"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Variables numéricas del análisis (X_num)</w:t>
      </w:r>
      <w:bookmarkEnd w:id="104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1075"/>
        <w:gridCol w:w="1678"/>
        <w:gridCol w:w="2805"/>
        <w:gridCol w:w="1258"/>
        <w:gridCol w:w="1049"/>
        <w:gridCol w:w="1205"/>
      </w:tblGrid>
      <w:tr>
        <w:trPr>
          <w:cantSplit/>
          <w:tblHeader/>
        </w:trPr>
        <w:tc>
          <w:tcPr>
            <w:tcW w:w="107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Bloque</w:t>
            </w:r>
          </w:p>
        </w:tc>
        <w:tc>
          <w:tcPr>
            <w:tcW w:w="167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w="280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Qué mide</w:t>
            </w:r>
          </w:p>
        </w:tc>
        <w:tc>
          <w:tcPr>
            <w:tcW w:w="125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Unidad</w:t>
            </w:r>
          </w:p>
        </w:tc>
        <w:tc>
          <w:tcPr>
            <w:tcW w:w="104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Mediana</w:t>
            </w:r>
          </w:p>
        </w:tc>
        <w:tc>
          <w:tcPr>
            <w:tcW w:w="120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Máximo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Volumen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spkts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Paquetes enviados por el origen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paquetes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10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9.616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Volumen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sbytes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Bytes enviados por el origen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bytes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918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12.965.233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Volumen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dbytes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Bytes devueltos por el destino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bytes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354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12.422.665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Ritmo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dur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Duración del flujo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0,297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60,0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Ritmo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sinpkt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Tiempo entre paquetes del origen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ms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19,9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60.001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Ritmo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sjit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Variación de ese tiempo (jitter)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ms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1.186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934.346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Ritmo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synack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Demora del destino en aceptar la conexión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0,001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0,731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Repetición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ct_srv_src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Conexiones con el mismo servicio y origen*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conexiones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3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63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Repetición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ct_srv_dst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Conexiones con el mismo servicio y destino*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conexiones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3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62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Repetición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ct_src_ltm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Conexiones con el mismo origen*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conexiones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2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50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Repetición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ct_src_dport_ltm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Conexiones con el mismo origen y puerto de destino*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conexiones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1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50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Repetición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ct_dst_sport_ltm</w:t>
            </w:r>
          </w:p>
        </w:tc>
        <w:tc>
          <w:tcPr>
            <w:tcW w:w="2805" w:type="dxa"/>
          </w:tcPr>
          <w:p>
            <w:pPr>
              <w:pStyle w:val="TablaTexto"/>
              <w:keepNext/>
            </w:pPr>
            <w:r>
              <w:t xml:space="preserve">Conexiones con el mismo destino y puerto de origen*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conexiones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1</w:t>
            </w:r>
          </w:p>
        </w:tc>
        <w:tc>
          <w:tcPr>
            <w:tcW w:w="1205" w:type="dxa"/>
          </w:tcPr>
          <w:p>
            <w:pPr>
              <w:pStyle w:val="TablaTexto"/>
              <w:keepNext/>
            </w:pPr>
            <w:r>
              <w:t xml:space="preserve">28</w:t>
            </w:r>
          </w:p>
        </w:tc>
      </w:tr>
    </w:tbl>
    <w:p xmlns:a="http://schemas.openxmlformats.org/drawingml/2006/main" xmlns:pic="http://schemas.openxmlformats.org/drawingml/2006/picture">
      <w:pPr>
        <w:spacing w:before="60"/>
      </w:pPr>
      <w:r>
        <w:rPr>
          <w:sz w:val="20"/>
          <w:szCs w:val="20"/>
        </w:rPr>
        <w:t xml:space="preserve">* Entre las últimas 100 conexiones.</w:t>
      </w:r>
    </w:p>
    <w:p xmlns:a="http://schemas.openxmlformats.org/drawingml/2006/main" xmlns:pic="http://schemas.openxmlformats.org/drawingml/2006/picture">
      <w:pPr>
        <w:pStyle w:val="Heading2"/>
      </w:pPr>
      <w:bookmarkStart w:id="105" w:name="_Toc_h4"/>
      <w:r>
        <w:t xml:space="preserve">2.2 Calidad</w:t>
      </w:r>
      <w:bookmarkEnd w:id="105"/>
    </w:p>
    <w:p xmlns:a="http://schemas.openxmlformats.org/drawingml/2006/main" xmlns:pic="http://schemas.openxmlformats.org/drawingml/2006/picture">
      <w:pPr/>
      <w:r>
        <w:t xml:space="preserve">No hay valores faltantes ni flujos duplicados. El servicio “-” (no identificado) se recodificó como “ninguno”. Los ceros en los bytes devueltos por el destino (dbytes, 18,9 %), en la demora en aceptar la conexión (synack, 29,6 %) y en la irregularidad del ritmo (sjit, 25,9 %) son válidos: corresponden a flujos sin respuesta o que no usan TCP. Hay un valor imposible (el indicador de inicio de sesión FTP, is_ftp_login, vale 4 en un flujo); esa variable no entra en el análisis, así que solo se registró.</w:t>
      </w:r>
    </w:p>
    <w:p xmlns:a="http://schemas.openxmlformats.org/drawingml/2006/main" xmlns:pic="http://schemas.openxmlformats.org/drawingml/2006/picture">
      <w:pPr/>
      <w:r>
        <w:t xml:space="preserve">Para los atípicos usamos el criterio de Tukey (1977) sobre cada variable en log: es atípico el valor que queda fuera de [Q1 − 1,5 · RIC ; Q3 + 1,5 · RIC], donde RIC = Q3 − Q1 es el ancho de la mitad central de los datos. Con este criterio, 1.715 flujos (34,3 %) tienen al menos una variable atípica (Figura 1), sobre todo en los bytes devueltos por el destino (dbytes, 1.056 flujos) y en dos conteos de repetición (ct_src_dport_ltm, 581; ct_dst_sport_ltm, 466).</w:t>
      </w:r>
    </w:p>
    <w:p xmlns:a="http://schemas.openxmlformats.org/drawingml/2006/main" xmlns:pic="http://schemas.openxmlformats.org/drawingml/2006/picture">
      <w:pPr/>
      <w:r>
        <w:t xml:space="preserve">Los conservamos por dos motivos. Casi todos los atípicos en bytes devueltos son flujos sin respuesta (945 flujos con 0 bytes): no son errores, son las conversaciones que H3 quiere estudiar. Y en seguridad informática un valor extremo puede ser justamente el ataque; borrarlo sería borrar el fenómeno.</w:t>
      </w:r>
    </w:p>
    <w:p xmlns:a="http://schemas.openxmlformats.org/drawingml/2006/main" xmlns:pic="http://schemas.openxmlformats.org/drawingml/2006/picture">
      <w:pPr>
        <w:pStyle w:val="Heading2"/>
      </w:pPr>
      <w:bookmarkStart w:id="106" w:name="_Toc_h5"/>
      <w:r>
        <w:t xml:space="preserve">2.3 Descriptiva y transformación</w:t>
      </w:r>
      <w:bookmarkEnd w:id="106"/>
    </w:p>
    <w:p xmlns:a="http://schemas.openxmlformats.org/drawingml/2006/main" xmlns:pic="http://schemas.openxmlformats.org/drawingml/2006/picture">
      <w:pPr/>
      <w:r>
        <w:t xml:space="preserve">Las variables son muy asimétricas: en los bytes enviados por el origen (sbytes) la media es 16.918 bytes y la mediana, 918. Por eso trabajamos con log(x + 1), que reduce la asimetría y conserva los ceros (Figura 2).</w:t>
      </w:r>
    </w:p>
    <w:p>
      <w:pPr>
        <w:keepNext/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3393"/>
            <wp:docPr id="2" name="Figura 1" descr="Figura 1. Boxplots de las 12 variables en log(x + 1), estandarizadas para compartir el ej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boxplo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3393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07" w:name="_Toc_fig1"/>
      <w:r>
        <w:rPr>
          <w:vanish/>
        </w:rPr>
        <w:fldChar w:fldCharType="begin"/>
      </w:r>
      <w:r>
        <w:rPr>
          <w:vanish/>
        </w:rPr>
        <w:instrText xml:space="preserve"> TC "Figura 1. Boxplots de las 12 variables (en log, estandarizadas)"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Boxplots de las 12 variables en log(x + 1), estandarizadas para compartir el eje. Los puntos azules son atípicos según las bisagras de Tukey (mismo criterio que el texto: 1.715 flujos); concentran más los bytes devueltos (dbytes) y los dos conteos con puertos (ct_src_dport_ltm y ct_dst_sport_ltm). Código: Etapa 0 (Exploración y preparación), sección «ETAPA 0» de Proyecto_Integrador_UNSW-NB15.R; genera figura01_etapa0_boxplots.png.</w:t>
      </w:r>
      <w:bookmarkEnd w:id="107"/>
    </w:p>
    <w:p>
      <w:pPr>
        <w:keepNext/>
        <w:spacing w:before="1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192589"/>
            <wp:docPr id="3" name="Figura 2" descr="Figura 2. Bytes enviados por el origen antes y después de la transform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histogram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2589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08" w:name="_Toc_fig2"/>
      <w:r>
        <w:rPr>
          <w:vanish/>
        </w:rPr>
        <w:fldChar w:fldCharType="begin"/>
      </w:r>
      <w:r>
        <w:rPr>
          <w:vanish/>
        </w:rPr>
        <w:instrText xml:space="preserve"> TC "Figura 2. Bytes enviados por el origen, antes y después del log"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2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Bytes enviados por el origen antes y después de la transformación. En escala original casi todos los flujos quedan en la primera barra; en log se ve la forma de la distribución. Código: Etapa 0 (Exploración y preparación), sección «ETAPA 0» de Proyecto_Integrador_UNSW-NB15.R; genera figura02_etapa0_histogramas.png.</w:t>
      </w:r>
      <w:bookmarkEnd w:id="108"/>
    </w:p>
    <w:p xmlns:a="http://schemas.openxmlformats.org/drawingml/2006/main" xmlns:pic="http://schemas.openxmlformats.org/drawingml/2006/picture">
      <w:pPr>
        <w:spacing w:before="100"/>
      </w:pPr>
      <w:r>
        <w:t xml:space="preserve">La Figura 3 muestra tres bloques: la correlación media dentro del bloque es 0,75 en volumen, 0,63 en ritmo y 0,56 en repetición, y entre bloques es −0,12 en promedio.</w:t>
      </w:r>
    </w:p>
    <w:p xmlns:a="http://schemas.openxmlformats.org/drawingml/2006/main" xmlns:pic="http://schemas.openxmlformats.org/drawingml/2006/picture">
      <w:pPr>
        <w:pStyle w:val="Heading2"/>
      </w:pPr>
      <w:bookmarkStart w:id="109" w:name="_Toc_h6"/>
      <w:r>
        <w:t xml:space="preserve">2.4 Supuestos</w:t>
      </w:r>
      <w:bookmarkEnd w:id="109"/>
    </w:p>
    <w:p xmlns:a="http://schemas.openxmlformats.org/drawingml/2006/main" xmlns:pic="http://schemas.openxmlformats.org/drawingml/2006/picture">
      <w:pPr/>
      <w:r>
        <w:t xml:space="preserve">Con las 14 variables candidatas iniciales, el determinante de la matriz de correlaciones era 1,03 × 10⁻⁷, por debajo del mínimo pedido (0,00001). Excluimos los paquetes devueltos por el destino (dpkts, r = 0,95 con dbytes) y los paquetes por segundo (rate), que se calculan con paquetes y duración. Con las 12 restantes: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t xml:space="preserve">Determinante: 0,000063 &gt; 0,00001.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t xml:space="preserve">Bartlett: χ²(66) = 48.303,5; p &lt; 0,001. Con 5.000 flujos este test rechaza casi siempre, por eso nos apoyamos más en el KMO.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t xml:space="preserve">KMO global: 0,748, “mediano” en la escala de Kaiser (1974): alcanza para aplicar las técnicas, aunque no es excelente. Todas las MSA superan 0,5; la menor es la de paquetes enviados (spkts, 0,621).</w:t>
      </w:r>
    </w:p>
    <w:p xmlns:a="http://schemas.openxmlformats.org/drawingml/2006/main" xmlns:pic="http://schemas.openxmlformats.org/drawingml/2006/picture">
      <w:pPr/>
      <w:r>
        <w:t xml:space="preserve">Quedan congelados X_num (las 12 variables de la Tabla 1, en log) y X_cat, que se arma en el capítulo 6. Todo el procesamiento se hizo en R (R Core Team, 2024), con semilla fija 42; el código, separado por etapa, está en el Anexo D y en el archivo ejecutable Proyecto_Integrador_UNSW-NB15.R.</w:t>
      </w:r>
    </w:p>
    <w:p>
      <w:pPr>
        <w:keepNext/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241768"/>
            <wp:docPr id="4" name="Figura 3" descr="Figura 3. Las variables se correlacionan fuerte dentro de cada bloque y poco entre bloq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orrel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41768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10" w:name="_Toc_fig3"/>
      <w:r>
        <w:rPr>
          <w:vanish/>
        </w:rPr>
        <w:fldChar w:fldCharType="begin"/>
      </w:r>
      <w:r>
        <w:rPr>
          <w:vanish/>
        </w:rPr>
        <w:instrText xml:space="preserve"> TC "Figura 3. Matriz de correlaciones"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3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Las variables se correlacionan fuerte dentro de cada bloque y poco entre bloques. Código: Etapa 0 (Exploración y preparación), sección «ETAPA 0» de Proyecto_Integrador_UNSW-NB15.R; genera figura03_etapa0_correlaciones.png.</w:t>
      </w:r>
      <w:bookmarkEnd w:id="110"/>
    </w:p>
    <w:p xmlns:a="http://schemas.openxmlformats.org/drawingml/2006/main" xmlns:pic="http://schemas.openxmlformats.org/drawingml/2006/picture">
      <w:pPr>
        <w:pStyle w:val="Heading1"/>
        <w:spacing w:before="140"/>
      </w:pPr>
      <w:bookmarkStart w:id="111" w:name="_Toc_h7"/>
      <w:r>
        <w:t xml:space="preserve">3. Análisis de componentes principales (ACP)</w:t>
      </w:r>
      <w:bookmarkEnd w:id="111"/>
    </w:p>
    <w:p xmlns:a="http://schemas.openxmlformats.org/drawingml/2006/main" xmlns:pic="http://schemas.openxmlformats.org/drawingml/2006/picture">
      <w:pPr>
        <w:pStyle w:val="Heading2"/>
      </w:pPr>
      <w:bookmarkStart w:id="112" w:name="_Toc_h8"/>
      <w:r>
        <w:t xml:space="preserve">3.1 H1: ¿el tráfico se asocia con ser ataque?</w:t>
      </w:r>
      <w:bookmarkEnd w:id="112"/>
    </w:p>
    <w:p xmlns:a="http://schemas.openxmlformats.org/drawingml/2006/main" xmlns:pic="http://schemas.openxmlformats.org/drawingml/2006/picture">
      <w:pPr/>
      <w:r>
        <w:t xml:space="preserve">Para H1 (Introducción) medimos la asociación de cada variable con Y (1 = ataque, 0 = normal) mediante la correlación punto-biserial ρ: H₀: ρ(Xⱼ, Y) = 0 para las 12 variables; H₁: ρ(Xⱼ, Y) ≠ 0 para al menos una (α = 0,05).</w:t>
      </w:r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13" w:name="_Toc_tab2"/>
      <w:r>
        <w:rPr>
          <w:vanish/>
        </w:rPr>
        <w:fldChar w:fldCharType="begin"/>
      </w:r>
      <w:r>
        <w:rPr>
          <w:vanish/>
        </w:rPr>
        <w:instrText xml:space="preserve"> TC "Tabla 2. Correlación de cada variable con ser ataque"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2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Correlación de cada variable con ser ataque</w:t>
      </w:r>
      <w:bookmarkEnd w:id="113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2490"/>
        <w:gridCol w:w="760"/>
        <w:gridCol w:w="2425"/>
        <w:gridCol w:w="760"/>
        <w:gridCol w:w="1874"/>
        <w:gridCol w:w="761"/>
      </w:tblGrid>
      <w:tr>
        <w:trPr>
          <w:cantSplit/>
          <w:tblHeader/>
        </w:trPr>
        <w:tc>
          <w:tcPr>
            <w:tcW w:w="2490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w="760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242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w="760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87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w="761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r</w:t>
            </w:r>
          </w:p>
        </w:tc>
      </w:tr>
      <w:tr>
        <w:trPr>
          <w:cantSplit/>
        </w:trPr>
        <w:tc>
          <w:tcPr>
            <w:tcW w:w="2490" w:type="dxa"/>
          </w:tcPr>
          <w:p>
            <w:pPr>
              <w:pStyle w:val="TablaTexto"/>
              <w:keepNext/>
            </w:pPr>
            <w:r>
              <w:t xml:space="preserve">Bytes devueltos (dbytes)</w:t>
            </w:r>
          </w:p>
        </w:tc>
        <w:tc>
          <w:tcPr>
            <w:tcW w:w="760" w:type="dxa"/>
          </w:tcPr>
          <w:p>
            <w:pPr>
              <w:pStyle w:val="TablaTexto"/>
              <w:keepNext/>
            </w:pPr>
            <w:r>
              <w:t xml:space="preserve">−0,33</w:t>
            </w:r>
          </w:p>
        </w:tc>
        <w:tc>
          <w:tcPr>
            <w:tcW w:w="2425" w:type="dxa"/>
          </w:tcPr>
          <w:p>
            <w:pPr>
              <w:pStyle w:val="TablaTexto"/>
              <w:keepNext/>
            </w:pPr>
            <w:r>
              <w:t xml:space="preserve">Paquetes enviados (spkts)</w:t>
            </w:r>
          </w:p>
        </w:tc>
        <w:tc>
          <w:tcPr>
            <w:tcW w:w="760" w:type="dxa"/>
          </w:tcPr>
          <w:p>
            <w:pPr>
              <w:pStyle w:val="TablaTexto"/>
              <w:keepNext/>
            </w:pPr>
            <w:r>
              <w:t xml:space="preserve">−0,17</w:t>
            </w:r>
          </w:p>
        </w:tc>
        <w:tc>
          <w:tcPr>
            <w:tcW w:w="1874" w:type="dxa"/>
          </w:tcPr>
          <w:p>
            <w:pPr>
              <w:pStyle w:val="TablaTexto"/>
              <w:keepNext/>
            </w:pPr>
            <w:r>
              <w:t xml:space="preserve">Irregularidad del ritmo (sjit)</w:t>
            </w:r>
          </w:p>
        </w:tc>
        <w:tc>
          <w:tcPr>
            <w:tcW w:w="761" w:type="dxa"/>
          </w:tcPr>
          <w:p>
            <w:pPr>
              <w:pStyle w:val="TablaTexto"/>
              <w:keepNext/>
            </w:pPr>
            <w:r>
              <w:t xml:space="preserve">0,19</w:t>
            </w:r>
          </w:p>
        </w:tc>
      </w:tr>
      <w:tr>
        <w:trPr>
          <w:cantSplit/>
        </w:trPr>
        <w:tc>
          <w:tcPr>
            <w:tcW w:w="2490" w:type="dxa"/>
          </w:tcPr>
          <w:p>
            <w:pPr>
              <w:pStyle w:val="TablaTexto"/>
              <w:keepNext/>
            </w:pPr>
            <w:r>
              <w:t xml:space="preserve">Mismo servicio y destino (ct_srv_dst)</w:t>
            </w:r>
          </w:p>
        </w:tc>
        <w:tc>
          <w:tcPr>
            <w:tcW w:w="760" w:type="dxa"/>
          </w:tcPr>
          <w:p>
            <w:pPr>
              <w:pStyle w:val="TablaTexto"/>
              <w:keepNext/>
            </w:pPr>
            <w:r>
              <w:t xml:space="preserve">−0,26</w:t>
            </w:r>
          </w:p>
        </w:tc>
        <w:tc>
          <w:tcPr>
            <w:tcW w:w="2425" w:type="dxa"/>
          </w:tcPr>
          <w:p>
            <w:pPr>
              <w:pStyle w:val="TablaTexto"/>
              <w:keepNext/>
            </w:pPr>
            <w:r>
              <w:t xml:space="preserve">Bytes enviados (sbytes)</w:t>
            </w:r>
          </w:p>
        </w:tc>
        <w:tc>
          <w:tcPr>
            <w:tcW w:w="760" w:type="dxa"/>
          </w:tcPr>
          <w:p>
            <w:pPr>
              <w:pStyle w:val="TablaTexto"/>
              <w:keepNext/>
            </w:pPr>
            <w:r>
              <w:t xml:space="preserve">−0,07</w:t>
            </w:r>
          </w:p>
        </w:tc>
        <w:tc>
          <w:tcPr>
            <w:tcW w:w="1874" w:type="dxa"/>
          </w:tcPr>
          <w:p>
            <w:pPr>
              <w:pStyle w:val="TablaTexto"/>
              <w:keepNext/>
            </w:pPr>
            <w:r>
              <w:t xml:space="preserve">Duración (dur)</w:t>
            </w:r>
          </w:p>
        </w:tc>
        <w:tc>
          <w:tcPr>
            <w:tcW w:w="761" w:type="dxa"/>
          </w:tcPr>
          <w:p>
            <w:pPr>
              <w:pStyle w:val="TablaTexto"/>
              <w:keepNext/>
            </w:pPr>
            <w:r>
              <w:t xml:space="preserve">0,20</w:t>
            </w:r>
          </w:p>
        </w:tc>
      </w:tr>
      <w:tr>
        <w:trPr>
          <w:cantSplit/>
        </w:trPr>
        <w:tc>
          <w:tcPr>
            <w:tcW w:w="2490" w:type="dxa"/>
          </w:tcPr>
          <w:p>
            <w:pPr>
              <w:pStyle w:val="TablaTexto"/>
              <w:keepNext/>
            </w:pPr>
            <w:r>
              <w:t xml:space="preserve">Mismo servicio y origen (ct_srv_src)</w:t>
            </w:r>
          </w:p>
        </w:tc>
        <w:tc>
          <w:tcPr>
            <w:tcW w:w="760" w:type="dxa"/>
          </w:tcPr>
          <w:p>
            <w:pPr>
              <w:pStyle w:val="TablaTexto"/>
              <w:keepNext/>
            </w:pPr>
            <w:r>
              <w:t xml:space="preserve">−0,23</w:t>
            </w:r>
          </w:p>
        </w:tc>
        <w:tc>
          <w:tcPr>
            <w:tcW w:w="2425" w:type="dxa"/>
          </w:tcPr>
          <w:p>
            <w:pPr>
              <w:pStyle w:val="TablaTexto"/>
              <w:keepNext/>
            </w:pPr>
            <w:r>
              <w:t xml:space="preserve">Mismo origen y puerto destino (ct_src_dport_ltm)</w:t>
            </w:r>
          </w:p>
        </w:tc>
        <w:tc>
          <w:tcPr>
            <w:tcW w:w="760" w:type="dxa"/>
          </w:tcPr>
          <w:p>
            <w:pPr>
              <w:pStyle w:val="TablaTexto"/>
              <w:keepNext/>
            </w:pPr>
            <w:r>
              <w:t xml:space="preserve">0,08</w:t>
            </w:r>
          </w:p>
        </w:tc>
        <w:tc>
          <w:tcPr>
            <w:tcW w:w="1874" w:type="dxa"/>
          </w:tcPr>
          <w:p>
            <w:pPr>
              <w:pStyle w:val="TablaTexto"/>
              <w:keepNext/>
            </w:pPr>
            <w:r>
              <w:t xml:space="preserve">Mismo destino y puerto origen (ct_dst_sport_ltm)</w:t>
            </w:r>
          </w:p>
        </w:tc>
        <w:tc>
          <w:tcPr>
            <w:tcW w:w="761" w:type="dxa"/>
          </w:tcPr>
          <w:p>
            <w:pPr>
              <w:pStyle w:val="TablaTexto"/>
              <w:keepNext/>
            </w:pPr>
            <w:r>
              <w:t xml:space="preserve">0,22</w:t>
            </w:r>
          </w:p>
        </w:tc>
      </w:tr>
      <w:tr>
        <w:trPr>
          <w:cantSplit/>
        </w:trPr>
        <w:tc>
          <w:tcPr>
            <w:tcW w:w="2490" w:type="dxa"/>
          </w:tcPr>
          <w:p>
            <w:pPr>
              <w:pStyle w:val="TablaTexto"/>
            </w:pPr>
            <w:r>
              <w:t xml:space="preserve">Mismo origen (ct_src_ltm)</w:t>
            </w:r>
          </w:p>
        </w:tc>
        <w:tc>
          <w:tcPr>
            <w:tcW w:w="760" w:type="dxa"/>
          </w:tcPr>
          <w:p>
            <w:pPr>
              <w:pStyle w:val="TablaTexto"/>
            </w:pPr>
            <w:r>
              <w:t xml:space="preserve">−0,20</w:t>
            </w:r>
          </w:p>
        </w:tc>
        <w:tc>
          <w:tcPr>
            <w:tcW w:w="2425" w:type="dxa"/>
          </w:tcPr>
          <w:p>
            <w:pPr>
              <w:pStyle w:val="TablaTexto"/>
            </w:pPr>
            <w:r>
              <w:t xml:space="preserve">Tiempo entre paquetes (sinpkt)</w:t>
            </w:r>
          </w:p>
        </w:tc>
        <w:tc>
          <w:tcPr>
            <w:tcW w:w="760" w:type="dxa"/>
          </w:tcPr>
          <w:p>
            <w:pPr>
              <w:pStyle w:val="TablaTexto"/>
            </w:pPr>
            <w:r>
              <w:t xml:space="preserve">0,24</w:t>
            </w:r>
          </w:p>
        </w:tc>
        <w:tc>
          <w:tcPr>
            <w:tcW w:w="1874" w:type="dxa"/>
          </w:tcPr>
          <w:p>
            <w:pPr>
              <w:pStyle w:val="TablaTexto"/>
            </w:pPr>
            <w:r>
              <w:t xml:space="preserve">Demora en aceptar (synack)</w:t>
            </w:r>
          </w:p>
        </w:tc>
        <w:tc>
          <w:tcPr>
            <w:tcW w:w="761" w:type="dxa"/>
          </w:tcPr>
          <w:p>
            <w:pPr>
              <w:pStyle w:val="TablaTexto"/>
            </w:pPr>
            <w:r>
              <w:t xml:space="preserve">0,33</w:t>
            </w:r>
          </w:p>
        </w:tc>
      </w:tr>
    </w:tbl>
    <w:p xmlns:a="http://schemas.openxmlformats.org/drawingml/2006/main" xmlns:pic="http://schemas.openxmlformats.org/drawingml/2006/picture">
      <w:pPr>
        <w:spacing w:before="100"/>
      </w:pPr>
      <w:r>
        <w:t xml:space="preserve">Las 12 correlaciones son distintas de cero (p &lt; 0,001), así que se rechaza H₀: </w:t>
      </w:r>
      <w:r>
        <w:rPr>
          <w:b/>
          <w:bCs/>
        </w:rPr>
        <w:t xml:space="preserve">H1 se confirma.</w:t>
      </w:r>
      <w:r>
        <w:t xml:space="preserve"> Los ataques reciben menos bytes de respuesta y son más lentos y espaciados. Pero ninguna correlación supera 0,33 en valor absoluto: ninguna variable sola separa bien los dos grupos, y por eso conviene mirarlas en conjunto.</w:t>
      </w:r>
    </w:p>
    <w:p xmlns:a="http://schemas.openxmlformats.org/drawingml/2006/main" xmlns:pic="http://schemas.openxmlformats.org/drawingml/2006/picture">
      <w:pPr>
        <w:pStyle w:val="Heading2"/>
      </w:pPr>
      <w:bookmarkStart w:id="114" w:name="_Toc_h9"/>
      <w:r>
        <w:t xml:space="preserve">3.2 Estandarización y cantidad de componentes</w:t>
      </w:r>
      <w:bookmarkEnd w:id="114"/>
    </w:p>
    <w:p xmlns:a="http://schemas.openxmlformats.org/drawingml/2006/main" xmlns:pic="http://schemas.openxmlformats.org/drawingml/2006/picture">
      <w:pPr/>
      <w:r>
        <w:t xml:space="preserve">Estandarizamos porque las varianzas van de 0,002 (synack) a 13,6 (sjit). Sin estandarizar, la primera componente explica el 66,4 % casi solo por sjit y dbytes, las de mayor varianza; estandarizada, explica el 43,3 % y todas pesan por igual.</w:t>
      </w:r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15" w:name="_Toc_tab3"/>
      <w:r>
        <w:rPr>
          <w:vanish/>
        </w:rPr>
        <w:fldChar w:fldCharType="begin"/>
      </w:r>
      <w:r>
        <w:rPr>
          <w:vanish/>
        </w:rPr>
        <w:instrText xml:space="preserve"> TC "Tabla 3. Autovalores y varianza explicada"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3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Autovalores y varianza explicada</w:t>
      </w:r>
      <w:bookmarkEnd w:id="115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2543"/>
        <w:gridCol w:w="2268"/>
        <w:gridCol w:w="2110"/>
        <w:gridCol w:w="2149"/>
      </w:tblGrid>
      <w:tr>
        <w:trPr>
          <w:cantSplit/>
          <w:tblHeader/>
        </w:trPr>
        <w:tc>
          <w:tcPr>
            <w:tcW w:w="2543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Autovalor</w:t>
            </w:r>
          </w:p>
        </w:tc>
        <w:tc>
          <w:tcPr>
            <w:tcW w:w="2110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% varianza</w:t>
            </w:r>
          </w:p>
        </w:tc>
        <w:tc>
          <w:tcPr>
            <w:tcW w:w="214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% acumulado</w:t>
            </w:r>
          </w:p>
        </w:tc>
      </w:tr>
      <w:tr>
        <w:trPr>
          <w:cantSplit/>
        </w:trPr>
        <w:tc>
          <w:tcPr>
            <w:tcW w:w="2543" w:type="dxa"/>
          </w:tcPr>
          <w:p>
            <w:pPr>
              <w:pStyle w:val="TablaTexto"/>
              <w:keepNext/>
            </w:pPr>
            <w:r>
              <w:t xml:space="preserve">CP1</w:t>
            </w:r>
          </w:p>
        </w:tc>
        <w:tc>
          <w:tcPr>
            <w:tcW w:w="2268" w:type="dxa"/>
          </w:tcPr>
          <w:p>
            <w:pPr>
              <w:pStyle w:val="TablaTexto"/>
              <w:keepNext/>
            </w:pPr>
            <w:r>
              <w:t xml:space="preserve">5,20</w:t>
            </w:r>
          </w:p>
        </w:tc>
        <w:tc>
          <w:tcPr>
            <w:tcW w:w="2110" w:type="dxa"/>
          </w:tcPr>
          <w:p>
            <w:pPr>
              <w:pStyle w:val="TablaTexto"/>
              <w:keepNext/>
            </w:pPr>
            <w:r>
              <w:t xml:space="preserve">43,3</w:t>
            </w:r>
          </w:p>
        </w:tc>
        <w:tc>
          <w:tcPr>
            <w:tcW w:w="2149" w:type="dxa"/>
          </w:tcPr>
          <w:p>
            <w:pPr>
              <w:pStyle w:val="TablaTexto"/>
              <w:keepNext/>
            </w:pPr>
            <w:r>
              <w:t xml:space="preserve">43,3</w:t>
            </w:r>
          </w:p>
        </w:tc>
      </w:tr>
      <w:tr>
        <w:trPr>
          <w:cantSplit/>
        </w:trPr>
        <w:tc>
          <w:tcPr>
            <w:tcW w:w="2543" w:type="dxa"/>
          </w:tcPr>
          <w:p>
            <w:pPr>
              <w:pStyle w:val="TablaTexto"/>
              <w:keepNext/>
            </w:pPr>
            <w:r>
              <w:t xml:space="preserve">CP2</w:t>
            </w:r>
          </w:p>
        </w:tc>
        <w:tc>
          <w:tcPr>
            <w:tcW w:w="2268" w:type="dxa"/>
          </w:tcPr>
          <w:p>
            <w:pPr>
              <w:pStyle w:val="TablaTexto"/>
              <w:keepNext/>
            </w:pPr>
            <w:r>
              <w:t xml:space="preserve">2,03</w:t>
            </w:r>
          </w:p>
        </w:tc>
        <w:tc>
          <w:tcPr>
            <w:tcW w:w="2110" w:type="dxa"/>
          </w:tcPr>
          <w:p>
            <w:pPr>
              <w:pStyle w:val="TablaTexto"/>
              <w:keepNext/>
            </w:pPr>
            <w:r>
              <w:t xml:space="preserve">16,9</w:t>
            </w:r>
          </w:p>
        </w:tc>
        <w:tc>
          <w:tcPr>
            <w:tcW w:w="2149" w:type="dxa"/>
          </w:tcPr>
          <w:p>
            <w:pPr>
              <w:pStyle w:val="TablaTexto"/>
              <w:keepNext/>
            </w:pPr>
            <w:r>
              <w:t xml:space="preserve">60,2</w:t>
            </w:r>
          </w:p>
        </w:tc>
      </w:tr>
      <w:tr>
        <w:trPr>
          <w:cantSplit/>
        </w:trPr>
        <w:tc>
          <w:tcPr>
            <w:tcW w:w="2543" w:type="dxa"/>
          </w:tcPr>
          <w:p>
            <w:pPr>
              <w:pStyle w:val="TablaTexto"/>
              <w:keepNext/>
            </w:pPr>
            <w:r>
              <w:t xml:space="preserve">CP3</w:t>
            </w:r>
          </w:p>
        </w:tc>
        <w:tc>
          <w:tcPr>
            <w:tcW w:w="2268" w:type="dxa"/>
          </w:tcPr>
          <w:p>
            <w:pPr>
              <w:pStyle w:val="TablaTexto"/>
              <w:keepNext/>
            </w:pPr>
            <w:r>
              <w:t xml:space="preserve">1,72</w:t>
            </w:r>
          </w:p>
        </w:tc>
        <w:tc>
          <w:tcPr>
            <w:tcW w:w="2110" w:type="dxa"/>
          </w:tcPr>
          <w:p>
            <w:pPr>
              <w:pStyle w:val="TablaTexto"/>
              <w:keepNext/>
            </w:pPr>
            <w:r>
              <w:t xml:space="preserve">14,3</w:t>
            </w:r>
          </w:p>
        </w:tc>
        <w:tc>
          <w:tcPr>
            <w:tcW w:w="2149" w:type="dxa"/>
          </w:tcPr>
          <w:p>
            <w:pPr>
              <w:pStyle w:val="TablaTexto"/>
              <w:keepNext/>
            </w:pPr>
            <w:r>
              <w:t xml:space="preserve">74,5</w:t>
            </w:r>
          </w:p>
        </w:tc>
      </w:tr>
      <w:tr>
        <w:trPr>
          <w:cantSplit/>
        </w:trPr>
        <w:tc>
          <w:tcPr>
            <w:tcW w:w="2543" w:type="dxa"/>
          </w:tcPr>
          <w:p>
            <w:pPr>
              <w:pStyle w:val="TablaTexto"/>
              <w:keepNext/>
            </w:pPr>
            <w:r>
              <w:t xml:space="preserve">CP4</w:t>
            </w:r>
          </w:p>
        </w:tc>
        <w:tc>
          <w:tcPr>
            <w:tcW w:w="2268" w:type="dxa"/>
          </w:tcPr>
          <w:p>
            <w:pPr>
              <w:pStyle w:val="TablaTexto"/>
              <w:keepNext/>
            </w:pPr>
            <w:r>
              <w:t xml:space="preserve">0,76</w:t>
            </w:r>
          </w:p>
        </w:tc>
        <w:tc>
          <w:tcPr>
            <w:tcW w:w="2110" w:type="dxa"/>
          </w:tcPr>
          <w:p>
            <w:pPr>
              <w:pStyle w:val="TablaTexto"/>
              <w:keepNext/>
            </w:pPr>
            <w:r>
              <w:t xml:space="preserve">6,3</w:t>
            </w:r>
          </w:p>
        </w:tc>
        <w:tc>
          <w:tcPr>
            <w:tcW w:w="2149" w:type="dxa"/>
          </w:tcPr>
          <w:p>
            <w:pPr>
              <w:pStyle w:val="TablaTexto"/>
              <w:keepNext/>
            </w:pPr>
            <w:r>
              <w:t xml:space="preserve">80,8</w:t>
            </w:r>
          </w:p>
        </w:tc>
      </w:tr>
      <w:tr>
        <w:trPr>
          <w:cantSplit/>
        </w:trPr>
        <w:tc>
          <w:tcPr>
            <w:tcW w:w="2543" w:type="dxa"/>
          </w:tcPr>
          <w:p>
            <w:pPr>
              <w:pStyle w:val="TablaTexto"/>
            </w:pPr>
            <w:r>
              <w:t xml:space="preserve">CP5</w:t>
            </w:r>
          </w:p>
        </w:tc>
        <w:tc>
          <w:tcPr>
            <w:tcW w:w="2268" w:type="dxa"/>
          </w:tcPr>
          <w:p>
            <w:pPr>
              <w:pStyle w:val="TablaTexto"/>
            </w:pPr>
            <w:r>
              <w:t xml:space="preserve">0,61</w:t>
            </w:r>
          </w:p>
        </w:tc>
        <w:tc>
          <w:tcPr>
            <w:tcW w:w="2110" w:type="dxa"/>
          </w:tcPr>
          <w:p>
            <w:pPr>
              <w:pStyle w:val="TablaTexto"/>
            </w:pPr>
            <w:r>
              <w:t xml:space="preserve">5,1</w:t>
            </w:r>
          </w:p>
        </w:tc>
        <w:tc>
          <w:tcPr>
            <w:tcW w:w="2149" w:type="dxa"/>
          </w:tcPr>
          <w:p>
            <w:pPr>
              <w:pStyle w:val="TablaTexto"/>
            </w:pPr>
            <w:r>
              <w:t xml:space="preserve">85,9</w:t>
            </w:r>
          </w:p>
        </w:tc>
      </w:tr>
    </w:tbl>
    <w:p xmlns:a="http://schemas.openxmlformats.org/drawingml/2006/main" xmlns:pic="http://schemas.openxmlformats.org/drawingml/2006/picture">
      <w:pPr>
        <w:spacing w:before="100"/>
      </w:pPr>
      <w:r>
        <w:t xml:space="preserve">Retenemos tres componentes (74,5 % de la varianza). Coinciden tres criterios: son las únicas con autovalor mayor que 1 (Kaiser), el codo se quiebra después de la tercera (Figura 4) y el análisis paralelo (Horn, 1965) también indica tres.</w:t>
      </w:r>
    </w:p>
    <w:p>
      <w:pPr>
        <w:keepNext/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192589"/>
            <wp:docPr id="5" name="Figura 4" descr="Figura 4. La caída de los autovalores se aplana a partir de la cuarta compon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odo_ac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2589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16" w:name="_Toc_fig4"/>
      <w:r>
        <w:rPr>
          <w:vanish/>
        </w:rPr>
        <w:fldChar w:fldCharType="begin"/>
      </w:r>
      <w:r>
        <w:rPr>
          <w:vanish/>
        </w:rPr>
        <w:instrText xml:space="preserve"> TC "Figura 4. Gráfico del codo del ACP"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La caída de los autovalores se aplana a partir de la cuarta componente. La línea punteada marca el criterio de Kaiser (autovalor = 1). Código: Etapa 1 (ACP), sección «ETAPA 1» de Proyecto_Integrador_UNSW-NB15.R; genera figura04_etapa1_codo_acp.png.</w:t>
      </w:r>
      <w:bookmarkEnd w:id="116"/>
    </w:p>
    <w:p xmlns:a="http://schemas.openxmlformats.org/drawingml/2006/main" xmlns:pic="http://schemas.openxmlformats.org/drawingml/2006/picture">
      <w:pPr>
        <w:pStyle w:val="Heading2"/>
        <w:spacing w:before="140"/>
      </w:pPr>
      <w:bookmarkStart w:id="117" w:name="_Toc_h10"/>
      <w:r>
        <w:t xml:space="preserve">3.3 Interpretación</w:t>
      </w:r>
      <w:bookmarkEnd w:id="117"/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18" w:name="_Toc_tab4"/>
      <w:r>
        <w:rPr>
          <w:vanish/>
        </w:rPr>
        <w:fldChar w:fldCharType="begin"/>
      </w:r>
      <w:r>
        <w:rPr>
          <w:vanish/>
        </w:rPr>
        <w:instrText xml:space="preserve"> TC "Tabla 4. Correlación de cada variable con las componentes y calidad de representación"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Correlación de cada variable con las componentes y calidad de representación</w:t>
      </w:r>
      <w:bookmarkEnd w:id="118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4587"/>
        <w:gridCol w:w="944"/>
        <w:gridCol w:w="944"/>
        <w:gridCol w:w="944"/>
        <w:gridCol w:w="1651"/>
      </w:tblGrid>
      <w:tr>
        <w:trPr>
          <w:cantSplit/>
          <w:tblHeader/>
        </w:trPr>
        <w:tc>
          <w:tcPr>
            <w:tcW w:w="458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w="94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CP1</w:t>
            </w:r>
          </w:p>
        </w:tc>
        <w:tc>
          <w:tcPr>
            <w:tcW w:w="94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CP2</w:t>
            </w:r>
          </w:p>
        </w:tc>
        <w:tc>
          <w:tcPr>
            <w:tcW w:w="94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CP3</w:t>
            </w:r>
          </w:p>
        </w:tc>
        <w:tc>
          <w:tcPr>
            <w:tcW w:w="1651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cos² (3 CP)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Paquetes enviados (spkts)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0,64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0,64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−0,35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0,94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Bytes enviados (sbytes)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0,60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0,56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−0,32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Bytes devueltos (dbytes)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0,64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0,45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−0,39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0,76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Duración (dur)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0,64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0,27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0,40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0,64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Tiempo entre paquetes (sinpkt)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0,72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0,03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0,59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0,86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Irregularidad del ritmo (sjit)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0,82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0,23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0,36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0,87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Demora en aceptar (synack)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0,54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0,00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0,58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0,63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Mismo servicio y origen (ct_srv_src)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−0,68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0,51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0,08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0,73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Mismo servicio y destino (ct_srv_dst)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−0,70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0,49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0,04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0,73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Mismo origen (ct_src_ltm)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−0,56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0,45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0,00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0,52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Mismo origen y puerto destino (ct_src_dport_ltm)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−0,69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0,43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0,41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0,82</w:t>
            </w:r>
          </w:p>
        </w:tc>
      </w:tr>
      <w:tr>
        <w:trPr>
          <w:cantSplit/>
        </w:trPr>
        <w:tc>
          <w:tcPr>
            <w:tcW w:w="4587" w:type="dxa"/>
          </w:tcPr>
          <w:p>
            <w:pPr>
              <w:pStyle w:val="TablaTexto"/>
              <w:keepNext/>
            </w:pPr>
            <w:r>
              <w:t xml:space="preserve">Mismo destino y puerto origen (ct_dst_sport_ltm)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−0,61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0,29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0,44</w:t>
            </w:r>
          </w:p>
        </w:tc>
        <w:tc>
          <w:tcPr>
            <w:tcW w:w="1651" w:type="dxa"/>
          </w:tcPr>
          <w:p>
            <w:pPr>
              <w:pStyle w:val="TablaTexto"/>
              <w:keepNext/>
            </w:pPr>
            <w:r>
              <w:t xml:space="preserve">0,65</w:t>
            </w:r>
          </w:p>
        </w:tc>
      </w:tr>
    </w:tbl>
    <w:p xmlns:a="http://schemas.openxmlformats.org/drawingml/2006/main" xmlns:pic="http://schemas.openxmlformats.org/drawingml/2006/picture">
      <w:pPr>
        <w:spacing w:before="60"/>
      </w:pPr>
      <w:r>
        <w:t xml:space="preserve">En negrita, las correlaciones que definen cada componente. Todos los cos² superan 0,5.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CP1, “conversación larga frente a conexiones repetidas” (43,3 %).</w:t>
      </w:r>
      <w:r>
        <w:t xml:space="preserve"> De un lado, duración, tiempos y volumen; del otro, los cinco conteos de repetición. Las que más contribuyen son sjit (13,1 %) y sinpkt (9,9 %), por encima del 8,3 % que aportaría cada variable si todas contribuyeran igual.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CP2, “actividad” (16,9 %).</w:t>
      </w:r>
      <w:r>
        <w:t xml:space="preserve"> Paquetes, bytes y repetición crecen juntos. La dominan spkts (20,1 %) y sbytes (15,7 %).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CP3, “lentitud frente a volumen” (14,3 %).</w:t>
      </w:r>
      <w:r>
        <w:t xml:space="preserve"> Opone los tiempos (sinpkt, 20,1 %; synack, 19,6 %) al volumen.</w:t>
      </w:r>
    </w:p>
    <w:p xmlns:a="http://schemas.openxmlformats.org/drawingml/2006/main" xmlns:pic="http://schemas.openxmlformats.org/drawingml/2006/picture">
      <w:pPr/>
      <w:r>
        <w:t xml:space="preserve">Las componentes no reproducen los tres bloques por separado: CP1 mezcla tiempos y volumen, porque el ACP busca máxima varianza, no bloques.</w:t>
      </w:r>
    </w:p>
    <w:p xmlns:a="http://schemas.openxmlformats.org/drawingml/2006/main" xmlns:pic="http://schemas.openxmlformats.org/drawingml/2006/picture">
      <w:pPr>
        <w:pStyle w:val="Heading2"/>
      </w:pPr>
      <w:bookmarkStart w:id="119" w:name="_Toc_h11"/>
      <w:r>
        <w:t xml:space="preserve">3.4 Biplot y observaciones extremas</w:t>
      </w:r>
      <w:bookmarkEnd w:id="119"/>
    </w:p>
    <w:p xmlns:a="http://schemas.openxmlformats.org/drawingml/2006/main" xmlns:pic="http://schemas.openxmlformats.org/drawingml/2006/picture">
      <w:pPr/>
      <w:r>
        <w:t xml:space="preserve">“Ataque” no es un comportamiento único: Otros ataques (puntaje medio en CP1 = −2,1) cae del lado de la repetición, Exploits (1,7) del lado de las conversaciones largas y el tráfico normal en el medio (−0,2). La componente que mejor separa normal de ataque es la tercera (−0,62 frente a 0,58). Tres observaciones extremas: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Flujo 127446 (extremo negativo de CP1).</w:t>
      </w:r>
      <w:r>
        <w:t xml:space="preserve"> Otros ataques por UDP: dos paquetes, ninguna respuesta y 50 conexiones iguales en las últimas 100.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Flujo 97189 (extremo positivo de CP2).</w:t>
      </w:r>
      <w:r>
        <w:t xml:space="preserve"> Exploits por TCP de 60 s que envía 13 MB, el máximo de la muestra, y recibe solo 62 KB.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Flujo 44648 (extremo negativo de CP2).</w:t>
      </w:r>
      <w:r>
        <w:t xml:space="preserve"> Tráfico normal de un solo paquete y sin respuesta: un normal que “parece” ataque.</w:t>
      </w:r>
    </w:p>
    <w:p>
      <w:pPr>
        <w:keepNext/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140857"/>
            <wp:docPr id="6" name="Figura 5" descr="Figura 5. Cada punto es un flujo, coloreado según su tipo de tráfico; los círculos grandes son el flujo promedio de cada ti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bi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857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20" w:name="_Toc_fig5"/>
      <w:r>
        <w:rPr>
          <w:vanish/>
        </w:rPr>
        <w:fldChar w:fldCharType="begin"/>
      </w:r>
      <w:r>
        <w:rPr>
          <w:vanish/>
        </w:rPr>
        <w:instrText xml:space="preserve"> TC "Figura 5. Biplot del ACP"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Cada punto es un flujo, coloreado según su tipo de tráfico; los círculos grandes son el flujo promedio de cada tipo. Las flechas son las variables (correlación con la componente × 4,5) y apuntan hacia donde cada una crece. Se rotulan los tres flujos extremos descritos en el texto. Otros ataques queda del lado de la repetición y Exploits del lado de las conversaciones largas. Código: Etapa 1 (ACP), sección «ETAPA 1» de Proyecto_Integrador_UNSW-NB15.R; genera figura05_etapa1_biplot.png.</w:t>
      </w:r>
      <w:bookmarkEnd w:id="120"/>
    </w:p>
    <w:p xmlns:a="http://schemas.openxmlformats.org/drawingml/2006/main" xmlns:pic="http://schemas.openxmlformats.org/drawingml/2006/picture">
      <w:pPr>
        <w:pStyle w:val="Heading1"/>
        <w:spacing w:before="140"/>
      </w:pPr>
      <w:bookmarkStart w:id="121" w:name="_Toc_h12"/>
      <w:r>
        <w:t xml:space="preserve">4. Análisis factorial (AF)</w:t>
      </w:r>
      <w:bookmarkEnd w:id="121"/>
    </w:p>
    <w:p xmlns:a="http://schemas.openxmlformats.org/drawingml/2006/main" xmlns:pic="http://schemas.openxmlformats.org/drawingml/2006/picture">
      <w:pPr/>
      <w:r>
        <w:t xml:space="preserve">El ACP mezcló bloques en sus ejes. El AF busca unos pocos factores latentes que expliquen por qué las variables se correlacionan; la pregunta es si coinciden con volumen, ritmo y repetición.</w:t>
      </w:r>
    </w:p>
    <w:p xmlns:a="http://schemas.openxmlformats.org/drawingml/2006/main" xmlns:pic="http://schemas.openxmlformats.org/drawingml/2006/picture">
      <w:pPr>
        <w:pStyle w:val="Heading2"/>
      </w:pPr>
      <w:bookmarkStart w:id="122" w:name="_Toc_h13"/>
      <w:r>
        <w:t xml:space="preserve">4.1 Supuestos y cantidad de factores</w:t>
      </w:r>
      <w:bookmarkEnd w:id="122"/>
    </w:p>
    <w:p xmlns:a="http://schemas.openxmlformats.org/drawingml/2006/main" xmlns:pic="http://schemas.openxmlformats.org/drawingml/2006/picture">
      <w:pPr/>
      <w:r>
        <w:t xml:space="preserve">Los supuestos se verificaron en 2.4. El análisis paralelo (Figura 6) sugiere cuatro factores, pero el cuarto autovalor (0,13) apenas supera al azar, y el criterio de Kaiser indica tres. Retenemos </w:t>
      </w:r>
      <w:r>
        <w:rPr>
          <w:b/>
          <w:bCs/>
        </w:rPr>
        <w:t xml:space="preserve">tres factores</w:t>
      </w:r>
      <w:r>
        <w:t xml:space="preserve">: es la solución más simple, y en la de cuatro el factor extra solo parte en dos el bloque de repetición.</w:t>
      </w:r>
    </w:p>
    <w:p xmlns:a="http://schemas.openxmlformats.org/drawingml/2006/main" xmlns:pic="http://schemas.openxmlformats.org/drawingml/2006/picture">
      <w:pPr>
        <w:pStyle w:val="Heading2"/>
      </w:pPr>
      <w:bookmarkStart w:id="123" w:name="_Toc_h14"/>
      <w:r>
        <w:t xml:space="preserve">4.2 Estimación e interpretación</w:t>
      </w:r>
      <w:bookmarkEnd w:id="123"/>
    </w:p>
    <w:p xmlns:a="http://schemas.openxmlformats.org/drawingml/2006/main" xmlns:pic="http://schemas.openxmlformats.org/drawingml/2006/picture">
      <w:pPr/>
      <w:r>
        <w:t xml:space="preserve">Estimamos por máxima verosimilitud con rotación varimax, que busca que cada variable cargue fuerte en un solo factor.</w:t>
      </w:r>
    </w:p>
    <w:p xmlns:a="http://schemas.openxmlformats.org/drawingml/2006/main" xmlns:pic="http://schemas.openxmlformats.org/drawingml/2006/picture">
      <w:pPr/>
      <w:r>
        <w:t xml:space="preserve">Los tres factores reproducen exactamente los bloques esperados: </w:t>
      </w:r>
      <w:r>
        <w:rPr>
          <w:b/>
          <w:bCs/>
        </w:rPr>
        <w:t xml:space="preserve">F1, repetición</w:t>
      </w:r>
      <w:r>
        <w:t xml:space="preserve"> (los cinco conteos), </w:t>
      </w:r>
      <w:r>
        <w:rPr>
          <w:b/>
          <w:bCs/>
        </w:rPr>
        <w:t xml:space="preserve">F2, ritmo</w:t>
      </w:r>
      <w:r>
        <w:t xml:space="preserve"> (sinpkt, sjit, dur y synack) y </w:t>
      </w:r>
      <w:r>
        <w:rPr>
          <w:b/>
          <w:bCs/>
        </w:rPr>
        <w:t xml:space="preserve">F3, volumen</w:t>
      </w:r>
      <w:r>
        <w:t xml:space="preserve"> (spkts, sbytes y dbytes). No hay cargas cruzadas: la diferencia entre la carga principal y la segunda es al menos 0,28 en todas las variables, por encima del 0,20 pedido.</w:t>
      </w:r>
    </w:p>
    <w:p xmlns:a="http://schemas.openxmlformats.org/drawingml/2006/main" xmlns:pic="http://schemas.openxmlformats.org/drawingml/2006/picture">
      <w:pPr/>
      <w:r>
        <w:t xml:space="preserve">Dos advertencias. La cantidad de paquetes enviados (spkts) tiene unicidad casi nula (0,005): es un caso Heywood, porque esa variable es casi redundante con sbytes y dbytes (r = 0,86 y 0,80); su carga debe leerse con cautela. Y el test de bondad de ajuste rechaza el modelo (χ²(33) = 6.887; p &lt; 0,001), pero con 5.000 flujos rechaza ante diferencias mínimas: las correlaciones no reproducidas promedian 0,06. Los puntajes factoriales se guardaron (método de regresión); son estimaciones, no valores observados.</w:t>
      </w:r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24" w:name="_Toc_tab5"/>
      <w:r>
        <w:rPr>
          <w:vanish/>
        </w:rPr>
        <w:fldChar w:fldCharType="begin"/>
      </w:r>
      <w:r>
        <w:rPr>
          <w:vanish/>
        </w:rPr>
        <w:instrText xml:space="preserve"> TC "Tabla 5. Matriz de patrón"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Matriz de patrón (se ocultan cargas menores que 0,40), comunalidades (h²) y unicidades (u²)</w:t>
      </w:r>
      <w:bookmarkEnd w:id="124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4325"/>
        <w:gridCol w:w="1311"/>
        <w:gridCol w:w="1049"/>
        <w:gridCol w:w="1258"/>
        <w:gridCol w:w="564"/>
        <w:gridCol w:w="563"/>
      </w:tblGrid>
      <w:tr>
        <w:trPr>
          <w:cantSplit/>
          <w:tblHeader/>
        </w:trPr>
        <w:tc>
          <w:tcPr>
            <w:tcW w:w="432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w="1311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F1 Repetición</w:t>
            </w:r>
          </w:p>
        </w:tc>
        <w:tc>
          <w:tcPr>
            <w:tcW w:w="104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F2 Ritmo</w:t>
            </w:r>
          </w:p>
        </w:tc>
        <w:tc>
          <w:tcPr>
            <w:tcW w:w="125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F3 Volumen</w:t>
            </w:r>
          </w:p>
        </w:tc>
        <w:tc>
          <w:tcPr>
            <w:tcW w:w="56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h²</w:t>
            </w:r>
          </w:p>
        </w:tc>
        <w:tc>
          <w:tcPr>
            <w:tcW w:w="563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u²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Mismo servicio y origen (ct_srv_src)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  <w:r>
              <w:t xml:space="preserve">0,88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0,82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0,18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Mismo servicio y destino (ct_srv_dst)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  <w:r>
              <w:t xml:space="preserve">0,87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0,81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0,19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Mismo origen y puerto destino (ct_src_dport_ltm)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  <w:r>
              <w:t xml:space="preserve">0,71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0,57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0,43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Mismo destino y puerto origen (ct_dst_sport_ltm)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  <w:r>
              <w:t xml:space="preserve">0,55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0,36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0,64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Mismo origen (ct_src_ltm)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  <w:r>
              <w:t xml:space="preserve">0,51</w:t>
            </w:r>
          </w:p>
        </w:tc>
        <w:tc>
          <w:tcPr>
            <w:tcW w:w="1049" w:type="dxa"/>
          </w:tcPr>
          <w:p>
            <w:pPr>
              <w:pStyle w:val="TablaTexto"/>
              <w:keepNext/>
            </w:pP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0,32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0,68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Tiempo entre paquetes (sinpkt)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0,95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0,97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0,03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Irregularidad del ritmo (sjit)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0,81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0,85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0,15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Duración (dur)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0,64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0,55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0,45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Demora en aceptar (synack)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</w:p>
        </w:tc>
        <w:tc>
          <w:tcPr>
            <w:tcW w:w="1049" w:type="dxa"/>
          </w:tcPr>
          <w:p>
            <w:pPr>
              <w:pStyle w:val="TablaTexto"/>
              <w:keepNext/>
            </w:pPr>
            <w:r>
              <w:t xml:space="preserve">0,61</w:t>
            </w:r>
          </w:p>
        </w:tc>
        <w:tc>
          <w:tcPr>
            <w:tcW w:w="1258" w:type="dxa"/>
          </w:tcPr>
          <w:p>
            <w:pPr>
              <w:pStyle w:val="TablaTexto"/>
              <w:keepNext/>
            </w:pP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0,40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0,60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Paquetes enviados (spkts)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</w:p>
        </w:tc>
        <w:tc>
          <w:tcPr>
            <w:tcW w:w="1049" w:type="dxa"/>
          </w:tcPr>
          <w:p>
            <w:pPr>
              <w:pStyle w:val="TablaTexto"/>
              <w:keepNext/>
            </w:pP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0,98</w:t>
            </w: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0,99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0,01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Bytes enviados (sbytes)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</w:p>
        </w:tc>
        <w:tc>
          <w:tcPr>
            <w:tcW w:w="1049" w:type="dxa"/>
          </w:tcPr>
          <w:p>
            <w:pPr>
              <w:pStyle w:val="TablaTexto"/>
              <w:keepNext/>
            </w:pP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0,84</w:t>
            </w: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0,75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0,25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Bytes devueltos (dbytes)</w:t>
            </w:r>
          </w:p>
        </w:tc>
        <w:tc>
          <w:tcPr>
            <w:tcW w:w="1311" w:type="dxa"/>
          </w:tcPr>
          <w:p>
            <w:pPr>
              <w:pStyle w:val="TablaTexto"/>
              <w:keepNext/>
            </w:pPr>
          </w:p>
        </w:tc>
        <w:tc>
          <w:tcPr>
            <w:tcW w:w="1049" w:type="dxa"/>
          </w:tcPr>
          <w:p>
            <w:pPr>
              <w:pStyle w:val="TablaTexto"/>
              <w:keepNext/>
            </w:pPr>
          </w:p>
        </w:tc>
        <w:tc>
          <w:tcPr>
            <w:tcW w:w="1258" w:type="dxa"/>
          </w:tcPr>
          <w:p>
            <w:pPr>
              <w:pStyle w:val="TablaTexto"/>
              <w:keepNext/>
            </w:pPr>
            <w:r>
              <w:t xml:space="preserve">0,76</w:t>
            </w:r>
          </w:p>
        </w:tc>
        <w:tc>
          <w:tcPr>
            <w:tcW w:w="564" w:type="dxa"/>
          </w:tcPr>
          <w:p>
            <w:pPr>
              <w:pStyle w:val="TablaTexto"/>
              <w:keepNext/>
            </w:pPr>
            <w:r>
              <w:t xml:space="preserve">0,66</w:t>
            </w:r>
          </w:p>
        </w:tc>
        <w:tc>
          <w:tcPr>
            <w:tcW w:w="563" w:type="dxa"/>
          </w:tcPr>
          <w:p>
            <w:pPr>
              <w:pStyle w:val="TablaTexto"/>
              <w:keepNext/>
            </w:pPr>
            <w:r>
              <w:t xml:space="preserve">0,34</w:t>
            </w:r>
          </w:p>
        </w:tc>
      </w:tr>
      <w:tr>
        <w:trPr>
          <w:cantSplit/>
        </w:trPr>
        <w:tc>
          <w:tcPr>
            <w:tcW w:w="4325" w:type="dxa"/>
          </w:tcPr>
          <w:p>
            <w:pPr>
              <w:pStyle w:val="TablaTexto"/>
            </w:pPr>
            <w:r>
              <w:t xml:space="preserve">% de varianza</w:t>
            </w:r>
          </w:p>
        </w:tc>
        <w:tc>
          <w:tcPr>
            <w:tcW w:w="1311" w:type="dxa"/>
          </w:tcPr>
          <w:p>
            <w:pPr>
              <w:pStyle w:val="TablaTexto"/>
            </w:pPr>
            <w:r>
              <w:t xml:space="preserve">23,7</w:t>
            </w:r>
          </w:p>
        </w:tc>
        <w:tc>
          <w:tcPr>
            <w:tcW w:w="1049" w:type="dxa"/>
          </w:tcPr>
          <w:p>
            <w:pPr>
              <w:pStyle w:val="TablaTexto"/>
            </w:pPr>
            <w:r>
              <w:t xml:space="preserve">21,7</w:t>
            </w:r>
          </w:p>
        </w:tc>
        <w:tc>
          <w:tcPr>
            <w:tcW w:w="1258" w:type="dxa"/>
          </w:tcPr>
          <w:p>
            <w:pPr>
              <w:pStyle w:val="TablaTexto"/>
            </w:pPr>
            <w:r>
              <w:t xml:space="preserve">21,6</w:t>
            </w:r>
          </w:p>
        </w:tc>
        <w:tc>
          <w:tcPr>
            <w:tcW w:w="564" w:type="dxa"/>
          </w:tcPr>
          <w:p>
            <w:pPr>
              <w:pStyle w:val="TablaTexto"/>
            </w:pPr>
            <w:r>
              <w:t xml:space="preserve">67,0</w:t>
            </w:r>
          </w:p>
        </w:tc>
        <w:tc>
          <w:tcPr>
            <w:tcW w:w="563" w:type="dxa"/>
          </w:tcPr>
          <w:p>
            <w:pPr>
              <w:pStyle w:val="TablaTexto"/>
            </w:pPr>
          </w:p>
        </w:tc>
      </w:tr>
    </w:tbl>
    <w:p xmlns:a="http://schemas.openxmlformats.org/drawingml/2006/main" xmlns:pic="http://schemas.openxmlformats.org/drawingml/2006/picture">
      <w:pPr>
        <w:pStyle w:val="Heading2"/>
        <w:spacing w:before="140"/>
      </w:pPr>
      <w:bookmarkStart w:id="125" w:name="_Toc_h15"/>
      <w:r>
        <w:t xml:space="preserve">4.3 ACP frente a AF</w:t>
      </w:r>
      <w:bookmarkEnd w:id="125"/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26" w:name="_Toc_tab6"/>
      <w:r>
        <w:rPr>
          <w:vanish/>
        </w:rPr>
        <w:fldChar w:fldCharType="begin"/>
      </w:r>
      <w:r>
        <w:rPr>
          <w:vanish/>
        </w:rPr>
        <w:instrText xml:space="preserve"> TC "Tabla 6. Comparación entre ACP y AF"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6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Comparación entre ACP y AF</w:t>
      </w:r>
      <w:bookmarkEnd w:id="126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2517"/>
        <w:gridCol w:w="3237"/>
        <w:gridCol w:w="3316"/>
      </w:tblGrid>
      <w:tr>
        <w:trPr>
          <w:cantSplit/>
          <w:tblHeader/>
        </w:trPr>
        <w:tc>
          <w:tcPr>
            <w:tcW w:w="251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</w:p>
        </w:tc>
        <w:tc>
          <w:tcPr>
            <w:tcW w:w="323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ACP</w:t>
            </w:r>
          </w:p>
        </w:tc>
        <w:tc>
          <w:tcPr>
            <w:tcW w:w="3316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AF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Varianza que usa</w:t>
            </w:r>
          </w:p>
        </w:tc>
        <w:tc>
          <w:tcPr>
            <w:tcW w:w="3237" w:type="dxa"/>
          </w:tcPr>
          <w:p>
            <w:pPr>
              <w:pStyle w:val="TablaTexto"/>
              <w:keepNext/>
            </w:pPr>
            <w:r>
              <w:t xml:space="preserve">Total (común y propia de cada variable)</w:t>
            </w:r>
          </w:p>
        </w:tc>
        <w:tc>
          <w:tcPr>
            <w:tcW w:w="3316" w:type="dxa"/>
          </w:tcPr>
          <w:p>
            <w:pPr>
              <w:pStyle w:val="TablaTexto"/>
              <w:keepNext/>
            </w:pPr>
            <w:r>
              <w:t xml:space="preserve">Solo la común entre variables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Cantidad retenida</w:t>
            </w:r>
          </w:p>
        </w:tc>
        <w:tc>
          <w:tcPr>
            <w:tcW w:w="3237" w:type="dxa"/>
          </w:tcPr>
          <w:p>
            <w:pPr>
              <w:pStyle w:val="TablaTexto"/>
              <w:keepNext/>
            </w:pPr>
            <w:r>
              <w:t xml:space="preserve">3 componentes, 74,5 %</w:t>
            </w:r>
          </w:p>
        </w:tc>
        <w:tc>
          <w:tcPr>
            <w:tcW w:w="3316" w:type="dxa"/>
          </w:tcPr>
          <w:p>
            <w:pPr>
              <w:pStyle w:val="TablaTexto"/>
              <w:keepNext/>
            </w:pPr>
            <w:r>
              <w:t xml:space="preserve">3 factores, 67,0 %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Qué representan los ejes</w:t>
            </w:r>
          </w:p>
        </w:tc>
        <w:tc>
          <w:tcPr>
            <w:tcW w:w="3237" w:type="dxa"/>
          </w:tcPr>
          <w:p>
            <w:pPr>
              <w:pStyle w:val="TablaTexto"/>
              <w:keepNext/>
            </w:pPr>
            <w:r>
              <w:t xml:space="preserve">Combinaciones que maximizan la varianza</w:t>
            </w:r>
          </w:p>
        </w:tc>
        <w:tc>
          <w:tcPr>
            <w:tcW w:w="3316" w:type="dxa"/>
          </w:tcPr>
          <w:p>
            <w:pPr>
              <w:pStyle w:val="TablaTexto"/>
              <w:keepNext/>
            </w:pPr>
            <w:r>
              <w:t xml:space="preserve">Causas latentes de las correlaciones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</w:pPr>
            <w:r>
              <w:t xml:space="preserve">Variables en cada eje</w:t>
            </w:r>
          </w:p>
        </w:tc>
        <w:tc>
          <w:tcPr>
            <w:tcW w:w="3237" w:type="dxa"/>
          </w:tcPr>
          <w:p>
            <w:pPr>
              <w:pStyle w:val="TablaTexto"/>
            </w:pPr>
            <w:r>
              <w:t xml:space="preserve">CP1: ritmo y volumen frente a repetición. CP2: actividad. CP3: lentitud frente a volumen</w:t>
            </w:r>
          </w:p>
        </w:tc>
        <w:tc>
          <w:tcPr>
            <w:tcW w:w="3316" w:type="dxa"/>
          </w:tcPr>
          <w:p>
            <w:pPr>
              <w:pStyle w:val="TablaTexto"/>
            </w:pPr>
            <w:r>
              <w:t xml:space="preserve">F1: repetición. F2: ritmo. F3: volumen</w:t>
            </w:r>
          </w:p>
        </w:tc>
      </w:tr>
    </w:tbl>
    <w:p xmlns:a="http://schemas.openxmlformats.org/drawingml/2006/main" xmlns:pic="http://schemas.openxmlformats.org/drawingml/2006/picture">
      <w:pPr>
        <w:spacing w:before="100"/>
      </w:pPr>
      <w:r>
        <w:t xml:space="preserve">Para esta base, </w:t>
      </w:r>
      <w:r>
        <w:rPr>
          <w:b/>
          <w:bCs/>
        </w:rPr>
        <w:t xml:space="preserve">el AF es más adecuado para interpretar</w:t>
      </w:r>
      <w:r>
        <w:t xml:space="preserve">: separa los tres aspectos de la conversación, mientras que el ACP los mezcla. </w:t>
      </w:r>
      <w:r>
        <w:rPr>
          <w:b/>
          <w:bCs/>
        </w:rPr>
        <w:t xml:space="preserve">El ACP es más adecuado para reducir</w:t>
      </w:r>
      <w:r>
        <w:t xml:space="preserve">: explica más varianza, sus puntajes son exactos y no tiene el problema de spkts. Por eso usamos sus puntajes para repetir el agrupamiento.</w:t>
      </w:r>
    </w:p>
    <w:p>
      <w:pPr>
        <w:keepNext/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192589"/>
            <wp:docPr id="7" name="Figura 6" descr="Figura 6. Los tres primeros factores superan claramente a los de datos aleatorios; el cuarto lo hace por muy po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aralelo_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2589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27" w:name="_Toc_fig6"/>
      <w:r>
        <w:rPr>
          <w:vanish/>
        </w:rPr>
        <w:fldChar w:fldCharType="begin"/>
      </w:r>
      <w:r>
        <w:rPr>
          <w:vanish/>
        </w:rPr>
        <w:instrText xml:space="preserve"> TC "Figura 6. Análisis paralelo del AF"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6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Los tres primeros factores superan claramente a los de datos aleatorios; el cuarto lo hace por muy poco. Código: Etapa 2 (AF), sección «ETAPA 2» de Proyecto_Integrador_UNSW-NB15.R; genera figura06_etapa2_paralelo_af.png.</w:t>
      </w:r>
      <w:bookmarkEnd w:id="127"/>
    </w:p>
    <w:p xmlns:a="http://schemas.openxmlformats.org/drawingml/2006/main" xmlns:pic="http://schemas.openxmlformats.org/drawingml/2006/picture">
      <w:pPr>
        <w:pStyle w:val="Heading1"/>
        <w:spacing w:before="140"/>
      </w:pPr>
      <w:bookmarkStart w:id="128" w:name="_Toc_h16"/>
      <w:r>
        <w:t xml:space="preserve">5. Clustering</w:t>
      </w:r>
      <w:bookmarkEnd w:id="128"/>
    </w:p>
    <w:p xmlns:a="http://schemas.openxmlformats.org/drawingml/2006/main" xmlns:pic="http://schemas.openxmlformats.org/drawingml/2006/picture">
      <w:pPr/>
      <w:r>
        <w:t xml:space="preserve">Ahora agrupamos flujos, no variables, usando solo las 12 variables de tráfico y sin mirar la etiqueta. Recién al final cruzamos los grupos con ella.</w:t>
      </w:r>
    </w:p>
    <w:p xmlns:a="http://schemas.openxmlformats.org/drawingml/2006/main" xmlns:pic="http://schemas.openxmlformats.org/drawingml/2006/picture">
      <w:pPr/>
      <w:r>
        <w:t xml:space="preserve">Si H2 (Introducción) es cierta, deberían aparecer grupos con mayoría clara de un lado y del otro, y no grupos que repitan la proporción general (52 % de ataques).</w:t>
      </w:r>
    </w:p>
    <w:p xmlns:a="http://schemas.openxmlformats.org/drawingml/2006/main" xmlns:pic="http://schemas.openxmlformats.org/drawingml/2006/picture">
      <w:pPr>
        <w:pStyle w:val="Heading2"/>
      </w:pPr>
      <w:bookmarkStart w:id="129" w:name="_Toc_h17"/>
      <w:r>
        <w:t xml:space="preserve">5.1 Cantidad de grupos</w:t>
      </w:r>
      <w:bookmarkEnd w:id="129"/>
    </w:p>
    <w:p xmlns:a="http://schemas.openxmlformats.org/drawingml/2006/main" xmlns:pic="http://schemas.openxmlformats.org/drawingml/2006/picture">
      <w:pPr/>
      <w:r>
        <w:t xml:space="preserve">Usamos las 12 variables estandarizadas y distancia euclidiana. Corrimos Ward (1963) y k-means con k = 2 a 8 y miramos el codo (cuánto baja la suma de cuadrados dentro de los grupos) y el silhouette promedio (Kaufman y Rousseeuw, 1990: qué tan cerca está cada flujo de su grupo frente al vecino; va de −1 a 1). Los valores están en el Anexo C.</w:t>
      </w:r>
    </w:p>
    <w:p xmlns:a="http://schemas.openxmlformats.org/drawingml/2006/main" xmlns:pic="http://schemas.openxmlformats.org/drawingml/2006/picture">
      <w:pPr/>
      <w:r>
        <w:t xml:space="preserve">El silhouette no decide: entre k = 2 y k = 6 difiere en milésimas (0,328 a 0,333). Retenemos </w:t>
      </w:r>
      <w:r>
        <w:rPr>
          <w:b/>
          <w:bCs/>
        </w:rPr>
        <w:t xml:space="preserve">k = 4</w:t>
      </w:r>
      <w:r>
        <w:t xml:space="preserve"> porque ahí se quiebra el codo (de 3 a 4 grupos la suma de cuadrados baja 6.722; de 4 a 5, solo 3.046), ningún grupo queda mal formado (silhouette por grupo de 0,26 a 0,41) y cada uno tiene un perfil claro. Con k = 6 dos grupos quedan con silhouette de 0,06 y 0,12, y con k = 2 los grupos no difieren en ataques (54 % y 47 %). Un silhouette cercano a 0,33 indica grupos reales pero de bordes difusos.</w:t>
      </w:r>
    </w:p>
    <w:p>
      <w:pPr>
        <w:keepNext/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361249"/>
            <wp:docPr id="8" name="Figura 7" descr="Figura 7. La suma de cuadrados cae fuerte hasta k = 4 y después se aplana; el silhouette casi no cambia entre 2 y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eleccion_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1249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30" w:name="_Toc_fig7"/>
      <w:r>
        <w:rPr>
          <w:vanish/>
        </w:rPr>
        <w:fldChar w:fldCharType="begin"/>
      </w:r>
      <w:r>
        <w:rPr>
          <w:vanish/>
        </w:rPr>
        <w:instrText xml:space="preserve"> TC "Figura 7. Codo y silhouette según la cantidad de grupos"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7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La suma de cuadrados cae fuerte hasta k = 4 y después se aplana; el silhouette casi no cambia entre 2 y 6. Código: Etapa 3 (Conglomerados), sección «ETAPA 3» de Proyecto_Integrador_UNSW-NB15.R; genera figura07_etapa3_eleccion_k.png.</w:t>
      </w:r>
      <w:bookmarkEnd w:id="130"/>
    </w:p>
    <w:p xmlns:a="http://schemas.openxmlformats.org/drawingml/2006/main" xmlns:pic="http://schemas.openxmlformats.org/drawingml/2006/picture">
      <w:pPr>
        <w:pStyle w:val="Heading2"/>
        <w:spacing w:before="140"/>
      </w:pPr>
      <w:bookmarkStart w:id="131" w:name="_Toc_h18"/>
      <w:r>
        <w:t xml:space="preserve">5.2 K-means, Ward y efecto del preprocesamiento</w:t>
      </w:r>
      <w:bookmarkEnd w:id="131"/>
    </w:p>
    <w:p xmlns:a="http://schemas.openxmlformats.org/drawingml/2006/main" xmlns:pic="http://schemas.openxmlformats.org/drawingml/2006/picture">
      <w:pPr/>
      <w:r>
        <w:t xml:space="preserve">K-means con k = 4, 25 arranques y semilla fija coincide con el corte de Ward en el 90 % de los flujos (índice de Rand ajustado, ARI = 0,77, Hubert y Arabie, 1985; 1 = particiones idénticas, 0 = coincidencia al azar). Sobre los puntajes de las tres componentes del ACP, el 97,9 % queda en el grupo equivalente (ARI = 0,96): las componentes conservan las direcciones en que difieren los grupos.</w:t>
      </w:r>
    </w:p>
    <w:p xmlns:a="http://schemas.openxmlformats.org/drawingml/2006/main" xmlns:pic="http://schemas.openxmlformats.org/drawingml/2006/picture">
      <w:pPr>
        <w:pStyle w:val="Heading2"/>
      </w:pPr>
      <w:bookmarkStart w:id="132" w:name="_Toc_h19"/>
      <w:r>
        <w:t xml:space="preserve">5.3 Cluster de variables</w:t>
      </w:r>
      <w:bookmarkEnd w:id="132"/>
    </w:p>
    <w:p xmlns:a="http://schemas.openxmlformats.org/drawingml/2006/main" xmlns:pic="http://schemas.openxmlformats.org/drawingml/2006/picture">
      <w:pPr/>
      <w:r>
        <w:t xml:space="preserve">Aplicamos Ward a las 12 columnas estandarizadas y cortamos en tres bloques (Figura 8). Coinciden exactamente con los factores del AF: volumen, ritmo y repetición.</w:t>
      </w:r>
    </w:p>
    <w:p xmlns:a="http://schemas.openxmlformats.org/drawingml/2006/main" xmlns:pic="http://schemas.openxmlformats.org/drawingml/2006/picture">
      <w:pPr>
        <w:pStyle w:val="Heading2"/>
      </w:pPr>
      <w:bookmarkStart w:id="133" w:name="_Toc_h20"/>
      <w:r>
        <w:t xml:space="preserve">5.4 Perfiles de los grupos</w:t>
      </w:r>
      <w:bookmarkEnd w:id="133"/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34" w:name="_Toc_tab7"/>
      <w:r>
        <w:rPr>
          <w:vanish/>
        </w:rPr>
        <w:fldChar w:fldCharType="begin"/>
      </w:r>
      <w:r>
        <w:rPr>
          <w:vanish/>
        </w:rPr>
        <w:instrText xml:space="preserve"> TC "Tabla 7. Perfil de cada grupo: tamaño, promedios en unidades originales y porcentaje de ataques"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7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Perfil de cada grupo: tamaño, promedios en unidades originales y porcentaje de ataques</w:t>
      </w:r>
      <w:bookmarkEnd w:id="134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2228"/>
        <w:gridCol w:w="708"/>
        <w:gridCol w:w="944"/>
        <w:gridCol w:w="1022"/>
        <w:gridCol w:w="1101"/>
        <w:gridCol w:w="1966"/>
        <w:gridCol w:w="1101"/>
      </w:tblGrid>
      <w:tr>
        <w:trPr>
          <w:cantSplit/>
          <w:tblHeader/>
        </w:trPr>
        <w:tc>
          <w:tcPr>
            <w:tcW w:w="222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Grupo</w:t>
            </w:r>
          </w:p>
        </w:tc>
        <w:tc>
          <w:tcPr>
            <w:tcW w:w="70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94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Duración (s)</w:t>
            </w:r>
          </w:p>
        </w:tc>
        <w:tc>
          <w:tcPr>
            <w:tcW w:w="1022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Paquetes enviados</w:t>
            </w:r>
          </w:p>
        </w:tc>
        <w:tc>
          <w:tcPr>
            <w:tcW w:w="1101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Bytes devueltos</w:t>
            </w:r>
          </w:p>
        </w:tc>
        <w:tc>
          <w:tcPr>
            <w:tcW w:w="1966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Conexiones repetidas (mismo servicio y origen)</w:t>
            </w:r>
          </w:p>
        </w:tc>
        <w:tc>
          <w:tcPr>
            <w:tcW w:w="1101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% ataques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aTexto"/>
              <w:keepNext/>
            </w:pPr>
            <w:r>
              <w:t xml:space="preserve">G1 Cortos</w:t>
            </w:r>
          </w:p>
        </w:tc>
        <w:tc>
          <w:tcPr>
            <w:tcW w:w="708" w:type="dxa"/>
          </w:tcPr>
          <w:p>
            <w:pPr>
              <w:pStyle w:val="TablaTexto"/>
              <w:keepNext/>
            </w:pPr>
            <w:r>
              <w:t xml:space="preserve">1.220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0,007</w:t>
            </w:r>
          </w:p>
        </w:tc>
        <w:tc>
          <w:tcPr>
            <w:tcW w:w="1022" w:type="dxa"/>
          </w:tcPr>
          <w:p>
            <w:pPr>
              <w:pStyle w:val="TablaTexto"/>
              <w:keepNext/>
            </w:pPr>
            <w:r>
              <w:t xml:space="preserve">2,3</w:t>
            </w:r>
          </w:p>
        </w:tc>
        <w:tc>
          <w:tcPr>
            <w:tcW w:w="1101" w:type="dxa"/>
          </w:tcPr>
          <w:p>
            <w:pPr>
              <w:pStyle w:val="TablaTexto"/>
              <w:keepNext/>
            </w:pPr>
            <w:r>
              <w:t xml:space="preserve">133</w:t>
            </w:r>
          </w:p>
        </w:tc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5,1</w:t>
            </w:r>
          </w:p>
        </w:tc>
        <w:tc>
          <w:tcPr>
            <w:tcW w:w="1101" w:type="dxa"/>
          </w:tcPr>
          <w:p>
            <w:pPr>
              <w:pStyle w:val="TablaTexto"/>
              <w:keepNext/>
            </w:pPr>
            <w:r>
              <w:t xml:space="preserve">46 %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aTexto"/>
              <w:keepNext/>
            </w:pPr>
            <w:r>
              <w:t xml:space="preserve">G2 Largos y lentos</w:t>
            </w:r>
          </w:p>
        </w:tc>
        <w:tc>
          <w:tcPr>
            <w:tcW w:w="708" w:type="dxa"/>
          </w:tcPr>
          <w:p>
            <w:pPr>
              <w:pStyle w:val="TablaTexto"/>
              <w:keepNext/>
            </w:pPr>
            <w:r>
              <w:t xml:space="preserve">2.444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2,51</w:t>
            </w:r>
          </w:p>
        </w:tc>
        <w:tc>
          <w:tcPr>
            <w:tcW w:w="1022" w:type="dxa"/>
          </w:tcPr>
          <w:p>
            <w:pPr>
              <w:pStyle w:val="TablaTexto"/>
              <w:keepNext/>
            </w:pPr>
            <w:r>
              <w:t xml:space="preserve">33,0</w:t>
            </w:r>
          </w:p>
        </w:tc>
        <w:tc>
          <w:tcPr>
            <w:tcW w:w="1101" w:type="dxa"/>
          </w:tcPr>
          <w:p>
            <w:pPr>
              <w:pStyle w:val="TablaTexto"/>
              <w:keepNext/>
            </w:pPr>
            <w:r>
              <w:t xml:space="preserve">22.679</w:t>
            </w:r>
          </w:p>
        </w:tc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2,7</w:t>
            </w:r>
          </w:p>
        </w:tc>
        <w:tc>
          <w:tcPr>
            <w:tcW w:w="1101" w:type="dxa"/>
          </w:tcPr>
          <w:p>
            <w:pPr>
              <w:pStyle w:val="TablaTexto"/>
              <w:keepNext/>
            </w:pPr>
            <w:r>
              <w:t xml:space="preserve">73 %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aTexto"/>
              <w:keepNext/>
            </w:pPr>
            <w:r>
              <w:t xml:space="preserve">G3 Conversación completa</w:t>
            </w:r>
          </w:p>
        </w:tc>
        <w:tc>
          <w:tcPr>
            <w:tcW w:w="708" w:type="dxa"/>
          </w:tcPr>
          <w:p>
            <w:pPr>
              <w:pStyle w:val="TablaTexto"/>
              <w:keepNext/>
            </w:pPr>
            <w:r>
              <w:t xml:space="preserve">1.121</w:t>
            </w:r>
          </w:p>
        </w:tc>
        <w:tc>
          <w:tcPr>
            <w:tcW w:w="944" w:type="dxa"/>
          </w:tcPr>
          <w:p>
            <w:pPr>
              <w:pStyle w:val="TablaTexto"/>
              <w:keepNext/>
            </w:pPr>
            <w:r>
              <w:t xml:space="preserve">0,50</w:t>
            </w:r>
          </w:p>
        </w:tc>
        <w:tc>
          <w:tcPr>
            <w:tcW w:w="1022" w:type="dxa"/>
          </w:tcPr>
          <w:p>
            <w:pPr>
              <w:pStyle w:val="TablaTexto"/>
              <w:keepNext/>
            </w:pPr>
            <w:r>
              <w:t xml:space="preserve">69,8</w:t>
            </w:r>
          </w:p>
        </w:tc>
        <w:tc>
          <w:tcPr>
            <w:tcW w:w="1101" w:type="dxa"/>
          </w:tcPr>
          <w:p>
            <w:pPr>
              <w:pStyle w:val="TablaTexto"/>
              <w:keepNext/>
            </w:pPr>
            <w:r>
              <w:t xml:space="preserve">68.327</w:t>
            </w:r>
          </w:p>
        </w:tc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6,4</w:t>
            </w:r>
          </w:p>
        </w:tc>
        <w:tc>
          <w:tcPr>
            <w:tcW w:w="1101" w:type="dxa"/>
          </w:tcPr>
          <w:p>
            <w:pPr>
              <w:pStyle w:val="TablaTexto"/>
              <w:keepNext/>
            </w:pPr>
            <w:r>
              <w:t xml:space="preserve">5 %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aTexto"/>
            </w:pPr>
            <w:r>
              <w:t xml:space="preserve">G4 Repetitivos sin respuesta</w:t>
            </w:r>
          </w:p>
        </w:tc>
        <w:tc>
          <w:tcPr>
            <w:tcW w:w="708" w:type="dxa"/>
          </w:tcPr>
          <w:p>
            <w:pPr>
              <w:pStyle w:val="TablaTexto"/>
            </w:pPr>
            <w:r>
              <w:t xml:space="preserve">215</w:t>
            </w:r>
          </w:p>
        </w:tc>
        <w:tc>
          <w:tcPr>
            <w:tcW w:w="944" w:type="dxa"/>
          </w:tcPr>
          <w:p>
            <w:pPr>
              <w:pStyle w:val="TablaTexto"/>
            </w:pPr>
            <w:r>
              <w:t xml:space="preserve">0,10</w:t>
            </w:r>
          </w:p>
        </w:tc>
        <w:tc>
          <w:tcPr>
            <w:tcW w:w="1022" w:type="dxa"/>
          </w:tcPr>
          <w:p>
            <w:pPr>
              <w:pStyle w:val="TablaTexto"/>
            </w:pPr>
            <w:r>
              <w:t xml:space="preserve">2,0</w:t>
            </w:r>
          </w:p>
        </w:tc>
        <w:tc>
          <w:tcPr>
            <w:tcW w:w="1101" w:type="dxa"/>
          </w:tcPr>
          <w:p>
            <w:pPr>
              <w:pStyle w:val="TablaTexto"/>
            </w:pPr>
            <w:r>
              <w:t xml:space="preserve">0,4</w:t>
            </w:r>
          </w:p>
        </w:tc>
        <w:tc>
          <w:tcPr>
            <w:tcW w:w="1966" w:type="dxa"/>
          </w:tcPr>
          <w:p>
            <w:pPr>
              <w:pStyle w:val="TablaTexto"/>
            </w:pPr>
            <w:r>
              <w:t xml:space="preserve">25,9</w:t>
            </w:r>
          </w:p>
        </w:tc>
        <w:tc>
          <w:tcPr>
            <w:tcW w:w="1101" w:type="dxa"/>
          </w:tcPr>
          <w:p>
            <w:pPr>
              <w:pStyle w:val="TablaTexto"/>
            </w:pPr>
            <w:r>
              <w:t xml:space="preserve">91 %</w:t>
            </w:r>
          </w:p>
        </w:tc>
      </w:tr>
    </w:tbl>
    <w:p xmlns:a="http://schemas.openxmlformats.org/drawingml/2006/main" xmlns:pic="http://schemas.openxmlformats.org/drawingml/2006/picture">
      <w:pPr>
        <w:numPr>
          <w:ilvl w:val="0"/>
          <w:numId w:val="90"/>
        </w:numPr>
        <w:spacing w:before="100"/>
      </w:pPr>
      <w:r>
        <w:rPr>
          <w:b/>
          <w:bCs/>
        </w:rPr>
        <w:t xml:space="preserve">G1, cortos (24 %).</w:t>
      </w:r>
      <w:r>
        <w:t xml:space="preserve"> Uno o dos paquetes, milésimas de segundo, poca respuesta; 54 % normal. Posiblemente consultas breves que hacen tanto equipos normales como atacantes.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G2, largos y lentos (49 %).</w:t>
      </w:r>
      <w:r>
        <w:t xml:space="preserve"> Duran segundos, con paquetes espaciados; 73 % ataques, sobre todo Exploits (34 %). Posiblemente el atacante sostiene la conexión mientras prueba una vulnerabilidad.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G3, conversación completa (22 %).</w:t>
      </w:r>
      <w:r>
        <w:t xml:space="preserve"> Muchos paquetes y el destino devuelve más de lo que recibe; 95 % normal. Posiblemente descargas y navegación.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G4, repetitivos sin respuesta (4 %).</w:t>
      </w:r>
      <w:r>
        <w:t xml:space="preserve"> Dos paquetes, ninguna respuesta y la misma conexión repetida unas 26 veces entre las últimas 100; 91 % ataques, sobre todo Otros ataques (75 %). Posiblemente barridos o inundaciones.</w:t>
      </w:r>
    </w:p>
    <w:p>
      <w:pPr>
        <w:keepNext/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698571"/>
            <wp:docPr id="9" name="Figura 8" descr="Figura 8. Las variables se juntan en los mismos tres bloques que encontró el análisis factor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dendrograma_variab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8571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35" w:name="_Toc_fig8"/>
      <w:r>
        <w:rPr>
          <w:vanish/>
        </w:rPr>
        <w:fldChar w:fldCharType="begin"/>
      </w:r>
      <w:r>
        <w:rPr>
          <w:vanish/>
        </w:rPr>
        <w:instrText xml:space="preserve"> TC "Figura 8. Dendrograma de variables"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8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Las variables se juntan en los mismos tres bloques que encontró el análisis factorial. Los recuadros marcan el corte en tres bloques. Código: Etapa 3 (Conglomerados), sección «ETAPA 3» de Proyecto_Integrador_UNSW-NB15.R; genera figura08_etapa3_dendrograma_variables.png.</w:t>
      </w:r>
      <w:bookmarkEnd w:id="135"/>
    </w:p>
    <w:p>
      <w:pPr>
        <w:keepNext/>
        <w:spacing w:before="1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5892"/>
            <wp:docPr id="10" name="Figura 9" descr="Figura 9. Cada grupo se destaca en un bloque distinto: G3 en volumen, G2 en ritmo lento, G4 en repetición; G1 queda bajo en to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erfiles_grup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892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36" w:name="_Toc_fig9"/>
      <w:r>
        <w:rPr>
          <w:vanish/>
        </w:rPr>
        <w:fldChar w:fldCharType="begin"/>
      </w:r>
      <w:r>
        <w:rPr>
          <w:vanish/>
        </w:rPr>
        <w:instrText xml:space="preserve"> TC "Figura 9. Perfil estandarizado de los grupos"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9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Cada grupo se destaca en un bloque distinto: G3 en volumen, G2 en ritmo lento, G4 en repetición; G1 queda bajo en todo. Código: Etapa 3 (Conglomerados), sección «ETAPA 3» de Proyecto_Integrador_UNSW-NB15.R; genera figura09_etapa3_perfiles_grupos.png.</w:t>
      </w:r>
      <w:bookmarkEnd w:id="136"/>
    </w:p>
    <w:p xmlns:a="http://schemas.openxmlformats.org/drawingml/2006/main" xmlns:pic="http://schemas.openxmlformats.org/drawingml/2006/picture">
      <w:pPr>
        <w:pStyle w:val="Heading2"/>
        <w:spacing w:before="140"/>
      </w:pPr>
      <w:bookmarkStart w:id="137" w:name="_Toc_h21"/>
      <w:r>
        <w:t xml:space="preserve">5.5 Cruce con el tipo de tráfico y evaluación de H2</w:t>
      </w:r>
      <w:bookmarkEnd w:id="137"/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38" w:name="_Toc_tab8"/>
      <w:r>
        <w:rPr>
          <w:vanish/>
        </w:rPr>
        <w:fldChar w:fldCharType="begin"/>
      </w:r>
      <w:r>
        <w:rPr>
          <w:vanish/>
        </w:rPr>
        <w:instrText xml:space="preserve"> TC "Tabla 8. Composición de cada grupo según tipo de tráfico (% por fila)"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8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Composición de cada grupo según tipo de tráfico (% por fila)</w:t>
      </w:r>
      <w:bookmarkEnd w:id="138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2621"/>
        <w:gridCol w:w="1075"/>
        <w:gridCol w:w="1075"/>
        <w:gridCol w:w="1075"/>
        <w:gridCol w:w="1678"/>
        <w:gridCol w:w="1546"/>
      </w:tblGrid>
      <w:tr>
        <w:trPr>
          <w:cantSplit/>
          <w:tblHeader/>
        </w:trPr>
        <w:tc>
          <w:tcPr>
            <w:tcW w:w="2621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Grupo</w:t>
            </w:r>
          </w:p>
        </w:tc>
        <w:tc>
          <w:tcPr>
            <w:tcW w:w="107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Normal</w:t>
            </w:r>
          </w:p>
        </w:tc>
        <w:tc>
          <w:tcPr>
            <w:tcW w:w="107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Exploits</w:t>
            </w:r>
          </w:p>
        </w:tc>
        <w:tc>
          <w:tcPr>
            <w:tcW w:w="107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Fuzzers</w:t>
            </w:r>
          </w:p>
        </w:tc>
        <w:tc>
          <w:tcPr>
            <w:tcW w:w="167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Reconnaissance</w:t>
            </w:r>
          </w:p>
        </w:tc>
        <w:tc>
          <w:tcPr>
            <w:tcW w:w="1546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Otros ataques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pStyle w:val="TablaTexto"/>
              <w:keepNext/>
            </w:pPr>
            <w:r>
              <w:t xml:space="preserve">G1 Cortos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54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6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17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7</w:t>
            </w:r>
          </w:p>
        </w:tc>
        <w:tc>
          <w:tcPr>
            <w:tcW w:w="1546" w:type="dxa"/>
          </w:tcPr>
          <w:p>
            <w:pPr>
              <w:pStyle w:val="TablaTexto"/>
              <w:keepNext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pStyle w:val="TablaTexto"/>
              <w:keepNext/>
            </w:pPr>
            <w:r>
              <w:t xml:space="preserve">G2 Largos y lentos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27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34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20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11</w:t>
            </w:r>
          </w:p>
        </w:tc>
        <w:tc>
          <w:tcPr>
            <w:tcW w:w="1546" w:type="dxa"/>
          </w:tcPr>
          <w:p>
            <w:pPr>
              <w:pStyle w:val="TablaTexto"/>
              <w:keepNext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pStyle w:val="TablaTexto"/>
              <w:keepNext/>
            </w:pPr>
            <w:r>
              <w:t xml:space="preserve">G3 Conversación completa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95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2</w:t>
            </w:r>
          </w:p>
        </w:tc>
        <w:tc>
          <w:tcPr>
            <w:tcW w:w="1075" w:type="dxa"/>
          </w:tcPr>
          <w:p>
            <w:pPr>
              <w:pStyle w:val="TablaTexto"/>
              <w:keepNext/>
            </w:pPr>
            <w:r>
              <w:t xml:space="preserve">2</w:t>
            </w:r>
          </w:p>
        </w:tc>
        <w:tc>
          <w:tcPr>
            <w:tcW w:w="1678" w:type="dxa"/>
          </w:tcPr>
          <w:p>
            <w:pPr>
              <w:pStyle w:val="TablaTexto"/>
              <w:keepNext/>
            </w:pPr>
            <w:r>
              <w:t xml:space="preserve">0</w:t>
            </w:r>
          </w:p>
        </w:tc>
        <w:tc>
          <w:tcPr>
            <w:tcW w:w="1546" w:type="dxa"/>
          </w:tcPr>
          <w:p>
            <w:pPr>
              <w:pStyle w:val="TablaTexto"/>
              <w:keepNext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pStyle w:val="TablaTexto"/>
            </w:pPr>
            <w:r>
              <w:t xml:space="preserve">G4 Repetitivos sin respuesta</w:t>
            </w:r>
          </w:p>
        </w:tc>
        <w:tc>
          <w:tcPr>
            <w:tcW w:w="1075" w:type="dxa"/>
          </w:tcPr>
          <w:p>
            <w:pPr>
              <w:pStyle w:val="TablaTexto"/>
            </w:pPr>
            <w:r>
              <w:t xml:space="preserve">9</w:t>
            </w:r>
          </w:p>
        </w:tc>
        <w:tc>
          <w:tcPr>
            <w:tcW w:w="1075" w:type="dxa"/>
          </w:tcPr>
          <w:p>
            <w:pPr>
              <w:pStyle w:val="TablaTexto"/>
            </w:pPr>
            <w:r>
              <w:t xml:space="preserve">1</w:t>
            </w:r>
          </w:p>
        </w:tc>
        <w:tc>
          <w:tcPr>
            <w:tcW w:w="1075" w:type="dxa"/>
          </w:tcPr>
          <w:p>
            <w:pPr>
              <w:pStyle w:val="TablaTexto"/>
            </w:pPr>
            <w:r>
              <w:t xml:space="preserve">12</w:t>
            </w:r>
          </w:p>
        </w:tc>
        <w:tc>
          <w:tcPr>
            <w:tcW w:w="1678" w:type="dxa"/>
          </w:tcPr>
          <w:p>
            <w:pPr>
              <w:pStyle w:val="TablaTexto"/>
            </w:pPr>
            <w:r>
              <w:t xml:space="preserve">2</w:t>
            </w:r>
          </w:p>
        </w:tc>
        <w:tc>
          <w:tcPr>
            <w:tcW w:w="1546" w:type="dxa"/>
          </w:tcPr>
          <w:p>
            <w:pPr>
              <w:pStyle w:val="TablaTexto"/>
            </w:pPr>
            <w:r>
              <w:t xml:space="preserve">75</w:t>
            </w:r>
          </w:p>
        </w:tc>
      </w:tr>
    </w:tbl>
    <w:p xmlns:a="http://schemas.openxmlformats.org/drawingml/2006/main" xmlns:pic="http://schemas.openxmlformats.org/drawingml/2006/picture">
      <w:pPr>
        <w:spacing w:before="100"/>
      </w:pPr>
      <w:r>
        <w:rPr>
          <w:b/>
          <w:bCs/>
        </w:rPr>
        <w:t xml:space="preserve">H2 se sostiene.</w:t>
      </w:r>
      <w:r>
        <w:t xml:space="preserve"> Sin usar la etiqueta aparecen un grupo casi puramente normal (G3) y dos donde predominan los ataques (G2 y G4). El matiz es G1, donde normal y ataque conviven. Además, los ataques no forman un único grupo: Exploits se concentra en G2 y Otros ataques en G4, como mostró el biplot. El grupo de cada flujo se guardó para el capítulo siguiente.</w:t>
      </w:r>
    </w:p>
    <w:p xmlns:a="http://schemas.openxmlformats.org/drawingml/2006/main" xmlns:pic="http://schemas.openxmlformats.org/drawingml/2006/picture">
      <w:pPr>
        <w:pStyle w:val="Heading1"/>
      </w:pPr>
      <w:bookmarkStart w:id="139" w:name="_Toc_h22"/>
      <w:r>
        <w:t xml:space="preserve">6. Análisis de correspondencias (ACS y ACM)</w:t>
      </w:r>
      <w:bookmarkEnd w:id="139"/>
    </w:p>
    <w:p xmlns:a="http://schemas.openxmlformats.org/drawingml/2006/main" xmlns:pic="http://schemas.openxmlformats.org/drawingml/2006/picture">
      <w:pPr/>
      <w:r>
        <w:t xml:space="preserve">H3 (Introducción) habla de cómo termina la conversación, algo que está en variables categóricas.</w:t>
      </w:r>
    </w:p>
    <w:p xmlns:a="http://schemas.openxmlformats.org/drawingml/2006/main" xmlns:pic="http://schemas.openxmlformats.org/drawingml/2006/picture">
      <w:pPr/>
      <w:r>
        <w:t xml:space="preserve">Evaluamos sus dos partes por separado: si interrumpida (INT) y sin respuesta aparecen más en los ataques, y si cerrada normalmente (FIN) aparece más en el tráfico normal.</w:t>
      </w:r>
    </w:p>
    <w:p xmlns:a="http://schemas.openxmlformats.org/drawingml/2006/main" xmlns:pic="http://schemas.openxmlformats.org/drawingml/2006/picture">
      <w:pPr>
        <w:pStyle w:val="Heading2"/>
      </w:pPr>
      <w:bookmarkStart w:id="140" w:name="_Toc_h23"/>
      <w:r>
        <w:t xml:space="preserve">6.1 Variables categóricas (X_cat)</w:t>
      </w:r>
      <w:bookmarkEnd w:id="140"/>
    </w:p>
    <w:p xmlns:a="http://schemas.openxmlformats.org/drawingml/2006/main" xmlns:pic="http://schemas.openxmlformats.org/drawingml/2006/picture">
      <w:pPr/>
      <w:r>
        <w:t xml:space="preserve">Tomamos tres categóricas de la base y discretizamos tres numéricas (Tabla 9). La duración y los bytes enviados se cortaron en terciles, sin usar la etiqueta; los bytes devueltos, en cero, porque cero significa que el destino no respondió.</w:t>
      </w:r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41" w:name="_Toc_tab9"/>
      <w:r>
        <w:rPr>
          <w:vanish/>
        </w:rPr>
        <w:fldChar w:fldCharType="begin"/>
      </w:r>
      <w:r>
        <w:rPr>
          <w:vanish/>
        </w:rPr>
        <w:instrText xml:space="preserve"> TC "Tabla 9. Variables categóricas y categorías finales"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9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Variables categóricas y categorías finales</w:t>
      </w:r>
      <w:bookmarkEnd w:id="141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3801"/>
        <w:gridCol w:w="5269"/>
      </w:tblGrid>
      <w:tr>
        <w:trPr>
          <w:cantSplit/>
          <w:tblHeader/>
        </w:trPr>
        <w:tc>
          <w:tcPr>
            <w:tcW w:w="3801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w="526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Categorías (% de flujos)</w:t>
            </w:r>
          </w:p>
        </w:tc>
      </w:tr>
      <w:tr>
        <w:trPr>
          <w:cantSplit/>
        </w:trPr>
        <w:tc>
          <w:tcPr>
            <w:tcW w:w="3801" w:type="dxa"/>
          </w:tcPr>
          <w:p>
            <w:pPr>
              <w:pStyle w:val="TablaTexto"/>
              <w:keepNext/>
            </w:pPr>
            <w:r>
              <w:t xml:space="preserve">Protocolo (proto)</w:t>
            </w:r>
          </w:p>
        </w:tc>
        <w:tc>
          <w:tcPr>
            <w:tcW w:w="5269" w:type="dxa"/>
          </w:tcPr>
          <w:p>
            <w:pPr>
              <w:pStyle w:val="TablaTexto"/>
              <w:keepNext/>
            </w:pPr>
            <w:r>
              <w:t xml:space="preserve">TCP (71), UDP (22), otros (7)</w:t>
            </w:r>
          </w:p>
        </w:tc>
      </w:tr>
      <w:tr>
        <w:trPr>
          <w:cantSplit/>
        </w:trPr>
        <w:tc>
          <w:tcPr>
            <w:tcW w:w="3801" w:type="dxa"/>
          </w:tcPr>
          <w:p>
            <w:pPr>
              <w:pStyle w:val="TablaTexto"/>
              <w:keepNext/>
            </w:pPr>
            <w:r>
              <w:t xml:space="preserve">Servicio (service)</w:t>
            </w:r>
          </w:p>
        </w:tc>
        <w:tc>
          <w:tcPr>
            <w:tcW w:w="5269" w:type="dxa"/>
          </w:tcPr>
          <w:p>
            <w:pPr>
              <w:pStyle w:val="TablaTexto"/>
              <w:keepNext/>
            </w:pPr>
            <w:r>
              <w:t xml:space="preserve">ninguno (60), http (17), otros (12), dns (10)</w:t>
            </w:r>
          </w:p>
        </w:tc>
      </w:tr>
      <w:tr>
        <w:trPr>
          <w:cantSplit/>
        </w:trPr>
        <w:tc>
          <w:tcPr>
            <w:tcW w:w="3801" w:type="dxa"/>
          </w:tcPr>
          <w:p>
            <w:pPr>
              <w:pStyle w:val="TablaTexto"/>
              <w:keepNext/>
            </w:pPr>
            <w:r>
              <w:t xml:space="preserve">Estado de la conexión (state)</w:t>
            </w:r>
          </w:p>
        </w:tc>
        <w:tc>
          <w:tcPr>
            <w:tcW w:w="5269" w:type="dxa"/>
          </w:tcPr>
          <w:p>
            <w:pPr>
              <w:pStyle w:val="TablaTexto"/>
              <w:keepNext/>
            </w:pPr>
            <w:r>
              <w:t xml:space="preserve">FIN, cerrada normalmente (69); INT, interrumpida (18); CON y otros, con ida y vuelta pero sin cierre formal (12)</w:t>
            </w:r>
          </w:p>
        </w:tc>
      </w:tr>
      <w:tr>
        <w:trPr>
          <w:cantSplit/>
        </w:trPr>
        <w:tc>
          <w:tcPr>
            <w:tcW w:w="3801" w:type="dxa"/>
          </w:tcPr>
          <w:p>
            <w:pPr>
              <w:pStyle w:val="TablaTexto"/>
              <w:keepNext/>
            </w:pPr>
            <w:r>
              <w:t xml:space="preserve">Respuesta del destino (a partir de dbytes)</w:t>
            </w:r>
          </w:p>
        </w:tc>
        <w:tc>
          <w:tcPr>
            <w:tcW w:w="5269" w:type="dxa"/>
          </w:tcPr>
          <w:p>
            <w:pPr>
              <w:pStyle w:val="TablaTexto"/>
              <w:keepNext/>
            </w:pPr>
            <w:r>
              <w:t xml:space="preserve">con respuesta (81), sin respuesta (19)</w:t>
            </w:r>
          </w:p>
        </w:tc>
      </w:tr>
      <w:tr>
        <w:trPr>
          <w:cantSplit/>
        </w:trPr>
        <w:tc>
          <w:tcPr>
            <w:tcW w:w="3801" w:type="dxa"/>
          </w:tcPr>
          <w:p>
            <w:pPr>
              <w:pStyle w:val="TablaTexto"/>
              <w:keepNext/>
            </w:pPr>
            <w:r>
              <w:t xml:space="preserve">Duración en terciles (a partir de dur)</w:t>
            </w:r>
          </w:p>
        </w:tc>
        <w:tc>
          <w:tcPr>
            <w:tcW w:w="5269" w:type="dxa"/>
          </w:tcPr>
          <w:p>
            <w:pPr>
              <w:pStyle w:val="TablaTexto"/>
              <w:keepNext/>
            </w:pPr>
            <w:r>
              <w:t xml:space="preserve">corta, hasta 0,019 s; media, hasta 0,71 s; larga</w:t>
            </w:r>
          </w:p>
        </w:tc>
      </w:tr>
      <w:tr>
        <w:trPr>
          <w:cantSplit/>
        </w:trPr>
        <w:tc>
          <w:tcPr>
            <w:tcW w:w="3801" w:type="dxa"/>
          </w:tcPr>
          <w:p>
            <w:pPr>
              <w:pStyle w:val="TablaTexto"/>
              <w:keepNext/>
            </w:pPr>
            <w:r>
              <w:t xml:space="preserve">Bytes enviados en terciles (a partir de sbytes)</w:t>
            </w:r>
          </w:p>
        </w:tc>
        <w:tc>
          <w:tcPr>
            <w:tcW w:w="5269" w:type="dxa"/>
          </w:tcPr>
          <w:p>
            <w:pPr>
              <w:pStyle w:val="TablaTexto"/>
              <w:keepNext/>
            </w:pPr>
            <w:r>
              <w:t xml:space="preserve">bajos, hasta 564; medios, hasta 1.580; altos</w:t>
            </w:r>
          </w:p>
        </w:tc>
      </w:tr>
      <w:tr>
        <w:trPr>
          <w:cantSplit/>
        </w:trPr>
        <w:tc>
          <w:tcPr>
            <w:tcW w:w="3801" w:type="dxa"/>
          </w:tcPr>
          <w:p>
            <w:pPr>
              <w:pStyle w:val="TablaTexto"/>
            </w:pPr>
            <w:r>
              <w:t xml:space="preserve">Tipo de tráfico (suplementaria)</w:t>
            </w:r>
          </w:p>
        </w:tc>
        <w:tc>
          <w:tcPr>
            <w:tcW w:w="5269" w:type="dxa"/>
          </w:tcPr>
          <w:p>
            <w:pPr>
              <w:pStyle w:val="TablaTexto"/>
            </w:pPr>
            <w:r>
              <w:t xml:space="preserve">Normal (48), Exploits (18), Fuzzers (15), Otros ataques (11), Reconnaissance (7)</w:t>
            </w:r>
          </w:p>
        </w:tc>
      </w:tr>
    </w:tbl>
    <w:p xmlns:a="http://schemas.openxmlformats.org/drawingml/2006/main" xmlns:pic="http://schemas.openxmlformats.org/drawingml/2006/picture">
      <w:pPr>
        <w:spacing w:before="100"/>
      </w:pPr>
      <w:r>
        <w:t xml:space="preserve">Todas las categorías superan el 5 %. Todos los flujos INT son sin respuesta (913 de 913) y, de los 945 flujos sin respuesta, 913 son INT: describen cosas distintas, pero se solapan tanto que ambas pesan más en el primer eje.</w:t>
      </w:r>
    </w:p>
    <w:p xmlns:a="http://schemas.openxmlformats.org/drawingml/2006/main" xmlns:pic="http://schemas.openxmlformats.org/drawingml/2006/picture">
      <w:pPr>
        <w:pStyle w:val="Heading2"/>
      </w:pPr>
      <w:bookmarkStart w:id="142" w:name="_Toc_h24"/>
      <w:r>
        <w:t xml:space="preserve">6.2 Análisis de correspondencias simple: tipo de tráfico y estado</w:t>
      </w:r>
      <w:bookmarkEnd w:id="142"/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43" w:name="_Toc_tab10"/>
      <w:r>
        <w:rPr>
          <w:vanish/>
        </w:rPr>
        <w:fldChar w:fldCharType="begin"/>
      </w:r>
      <w:r>
        <w:rPr>
          <w:vanish/>
        </w:rPr>
        <w:instrText xml:space="preserve"> TC "Tabla 10. Estado de la conexión según tipo de tráfico (% por fila)"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10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Estado de la conexión según tipo de tráfico (% por fila)</w:t>
      </w:r>
      <w:bookmarkEnd w:id="143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2739"/>
        <w:gridCol w:w="2018"/>
        <w:gridCol w:w="2608"/>
        <w:gridCol w:w="1705"/>
      </w:tblGrid>
      <w:tr>
        <w:trPr>
          <w:cantSplit/>
          <w:tblHeader/>
        </w:trPr>
        <w:tc>
          <w:tcPr>
            <w:tcW w:w="273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Tipo de tráfico</w:t>
            </w:r>
          </w:p>
        </w:tc>
        <w:tc>
          <w:tcPr>
            <w:tcW w:w="201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FIN (cerrada)</w:t>
            </w:r>
          </w:p>
        </w:tc>
        <w:tc>
          <w:tcPr>
            <w:tcW w:w="260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INT (interrumpida)</w:t>
            </w:r>
          </w:p>
        </w:tc>
        <w:tc>
          <w:tcPr>
            <w:tcW w:w="170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CON y otros</w:t>
            </w:r>
          </w:p>
        </w:tc>
      </w:tr>
      <w:tr>
        <w:trPr>
          <w:cantSplit/>
        </w:trPr>
        <w:tc>
          <w:tcPr>
            <w:tcW w:w="2739" w:type="dxa"/>
          </w:tcPr>
          <w:p>
            <w:pPr>
              <w:pStyle w:val="TablaTexto"/>
              <w:keepNext/>
            </w:pPr>
            <w:r>
              <w:t xml:space="preserve">Normal</w:t>
            </w:r>
          </w:p>
        </w:tc>
        <w:tc>
          <w:tcPr>
            <w:tcW w:w="2018" w:type="dxa"/>
          </w:tcPr>
          <w:p>
            <w:pPr>
              <w:pStyle w:val="TablaTexto"/>
              <w:keepNext/>
            </w:pPr>
            <w:r>
              <w:t xml:space="preserve">70</w:t>
            </w:r>
          </w:p>
        </w:tc>
        <w:tc>
          <w:tcPr>
            <w:tcW w:w="2608" w:type="dxa"/>
          </w:tcPr>
          <w:p>
            <w:pPr>
              <w:pStyle w:val="TablaTexto"/>
              <w:keepNext/>
            </w:pPr>
            <w:r>
              <w:t xml:space="preserve">6</w:t>
            </w:r>
          </w:p>
        </w:tc>
        <w:tc>
          <w:tcPr>
            <w:tcW w:w="1705" w:type="dxa"/>
          </w:tcPr>
          <w:p>
            <w:pPr>
              <w:pStyle w:val="TablaTexto"/>
              <w:keepNext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2739" w:type="dxa"/>
          </w:tcPr>
          <w:p>
            <w:pPr>
              <w:pStyle w:val="TablaTexto"/>
              <w:keepNext/>
            </w:pPr>
            <w:r>
              <w:t xml:space="preserve">Exploits</w:t>
            </w:r>
          </w:p>
        </w:tc>
        <w:tc>
          <w:tcPr>
            <w:tcW w:w="2018" w:type="dxa"/>
          </w:tcPr>
          <w:p>
            <w:pPr>
              <w:pStyle w:val="TablaTexto"/>
              <w:keepNext/>
            </w:pPr>
            <w:r>
              <w:t xml:space="preserve">90</w:t>
            </w:r>
          </w:p>
        </w:tc>
        <w:tc>
          <w:tcPr>
            <w:tcW w:w="2608" w:type="dxa"/>
          </w:tcPr>
          <w:p>
            <w:pPr>
              <w:pStyle w:val="TablaTexto"/>
              <w:keepNext/>
            </w:pPr>
            <w:r>
              <w:t xml:space="preserve">8</w:t>
            </w:r>
          </w:p>
        </w:tc>
        <w:tc>
          <w:tcPr>
            <w:tcW w:w="1705" w:type="dxa"/>
          </w:tcPr>
          <w:p>
            <w:pPr>
              <w:pStyle w:val="TablaTexto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2739" w:type="dxa"/>
          </w:tcPr>
          <w:p>
            <w:pPr>
              <w:pStyle w:val="TablaTexto"/>
              <w:keepNext/>
            </w:pPr>
            <w:r>
              <w:t xml:space="preserve">Fuzzers</w:t>
            </w:r>
          </w:p>
        </w:tc>
        <w:tc>
          <w:tcPr>
            <w:tcW w:w="2018" w:type="dxa"/>
          </w:tcPr>
          <w:p>
            <w:pPr>
              <w:pStyle w:val="TablaTexto"/>
              <w:keepNext/>
            </w:pPr>
            <w:r>
              <w:t xml:space="preserve">67</w:t>
            </w:r>
          </w:p>
        </w:tc>
        <w:tc>
          <w:tcPr>
            <w:tcW w:w="2608" w:type="dxa"/>
          </w:tcPr>
          <w:p>
            <w:pPr>
              <w:pStyle w:val="TablaTexto"/>
              <w:keepNext/>
            </w:pPr>
            <w:r>
              <w:t xml:space="preserve">33</w:t>
            </w:r>
          </w:p>
        </w:tc>
        <w:tc>
          <w:tcPr>
            <w:tcW w:w="1705" w:type="dxa"/>
          </w:tcPr>
          <w:p>
            <w:pPr>
              <w:pStyle w:val="TablaTexto"/>
              <w:keepNext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2739" w:type="dxa"/>
          </w:tcPr>
          <w:p>
            <w:pPr>
              <w:pStyle w:val="TablaTexto"/>
              <w:keepNext/>
            </w:pPr>
            <w:r>
              <w:t xml:space="preserve">Reconnaissance</w:t>
            </w:r>
          </w:p>
        </w:tc>
        <w:tc>
          <w:tcPr>
            <w:tcW w:w="2018" w:type="dxa"/>
          </w:tcPr>
          <w:p>
            <w:pPr>
              <w:pStyle w:val="TablaTexto"/>
              <w:keepNext/>
            </w:pPr>
            <w:r>
              <w:t xml:space="preserve">73</w:t>
            </w:r>
          </w:p>
        </w:tc>
        <w:tc>
          <w:tcPr>
            <w:tcW w:w="2608" w:type="dxa"/>
          </w:tcPr>
          <w:p>
            <w:pPr>
              <w:pStyle w:val="TablaTexto"/>
              <w:keepNext/>
            </w:pPr>
            <w:r>
              <w:t xml:space="preserve">26</w:t>
            </w:r>
          </w:p>
        </w:tc>
        <w:tc>
          <w:tcPr>
            <w:tcW w:w="1705" w:type="dxa"/>
          </w:tcPr>
          <w:p>
            <w:pPr>
              <w:pStyle w:val="TablaTexto"/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2739" w:type="dxa"/>
          </w:tcPr>
          <w:p>
            <w:pPr>
              <w:pStyle w:val="TablaTexto"/>
            </w:pPr>
            <w:r>
              <w:t xml:space="preserve">Otros ataques</w:t>
            </w:r>
          </w:p>
        </w:tc>
        <w:tc>
          <w:tcPr>
            <w:tcW w:w="2018" w:type="dxa"/>
          </w:tcPr>
          <w:p>
            <w:pPr>
              <w:pStyle w:val="TablaTexto"/>
            </w:pPr>
            <w:r>
              <w:t xml:space="preserve">34</w:t>
            </w:r>
          </w:p>
        </w:tc>
        <w:tc>
          <w:tcPr>
            <w:tcW w:w="2608" w:type="dxa"/>
          </w:tcPr>
          <w:p>
            <w:pPr>
              <w:pStyle w:val="TablaTexto"/>
            </w:pPr>
            <w:r>
              <w:t xml:space="preserve">62</w:t>
            </w:r>
          </w:p>
        </w:tc>
        <w:tc>
          <w:tcPr>
            <w:tcW w:w="1705" w:type="dxa"/>
          </w:tcPr>
          <w:p>
            <w:pPr>
              <w:pStyle w:val="TablaTexto"/>
            </w:pPr>
            <w:r>
              <w:t xml:space="preserve">4</w:t>
            </w:r>
          </w:p>
        </w:tc>
      </w:tr>
    </w:tbl>
    <w:p>
      <w:pPr>
        <w:keepNext/>
        <w:spacing w:before="1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698571"/>
            <wp:docPr id="11" name="Figura 10" descr="Figura 10. Otros ataques se ubica junto a INT y el tráfico normal junto a CON; FIN queda cerca del centro porque es común a casi todos los tip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pa_a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8571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44" w:name="_Toc_fig10"/>
      <w:r>
        <w:rPr>
          <w:vanish/>
        </w:rPr>
        <w:fldChar w:fldCharType="begin"/>
      </w:r>
      <w:r>
        <w:rPr>
          <w:vanish/>
        </w:rPr>
        <w:instrText xml:space="preserve"> TC "Figura 10. Mapa del ACS: tipo de tráfico y estado de la conexión"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10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Otros ataques se ubica junto a INT y el tráfico normal junto a CON; FIN queda cerca del centro porque es común a casi todos los tipos. Ambos ejes tienen la misma escala. Código: Etapa 4 (ACS y ACM), sección «ETAPA 4» de Proyecto_Integrador_UNSW-NB15.R; genera figura10_etapa4_mapa_acs.png.</w:t>
      </w:r>
      <w:bookmarkEnd w:id="144"/>
    </w:p>
    <w:p xmlns:a="http://schemas.openxmlformats.org/drawingml/2006/main" xmlns:pic="http://schemas.openxmlformats.org/drawingml/2006/picture">
      <w:pPr>
        <w:spacing w:before="100"/>
      </w:pPr>
      <w:r>
        <w:t xml:space="preserve">La asociación es clara (χ²(8) = 1.637, p &lt; 0,001) y moderada (V de Cramér = 0,40). La primera dimensión concentra el 78 % de la inercia y opone INT, donde está Otros ataques, a CON (ida y vuelta sin cierre formal, típica de UDP), donde está casi solo el tráfico normal.</w:t>
      </w:r>
    </w:p>
    <w:p xmlns:a="http://schemas.openxmlformats.org/drawingml/2006/main" xmlns:pic="http://schemas.openxmlformats.org/drawingml/2006/picture">
      <w:pPr>
        <w:pStyle w:val="Heading2"/>
      </w:pPr>
      <w:bookmarkStart w:id="145" w:name="_Toc_h25"/>
      <w:r>
        <w:t xml:space="preserve">6.3 Análisis de correspondencias múltiple</w:t>
      </w:r>
      <w:bookmarkEnd w:id="145"/>
    </w:p>
    <w:p xmlns:a="http://schemas.openxmlformats.org/drawingml/2006/main" xmlns:pic="http://schemas.openxmlformats.org/drawingml/2006/picture">
      <w:pPr/>
      <w:r>
        <w:t xml:space="preserve">Las seis variables de la conexión son activas. El tipo de tráfico, la etiqueta y el grupo del capítulo 5 son </w:t>
      </w:r>
      <w:r>
        <w:rPr>
          <w:b/>
          <w:bCs/>
        </w:rPr>
        <w:t xml:space="preserve">suplementarias</w:t>
      </w:r>
      <w:r>
        <w:t xml:space="preserve">: no construyen los ejes, se proyectan después. Así el mapa describe solo cómo es la conexión.</w:t>
      </w:r>
    </w:p>
    <w:p xmlns:a="http://schemas.openxmlformats.org/drawingml/2006/main" xmlns:pic="http://schemas.openxmlformats.org/drawingml/2006/picture">
      <w:pPr/>
      <w:r>
        <w:rPr>
          <w:b/>
          <w:bCs/>
        </w:rPr>
        <w:t xml:space="preserve">Cantidad de dimensiones.</w:t>
      </w:r>
      <w:r>
        <w:t xml:space="preserve"> Con 6 variables y 18 categorías el autovalor promedio es 1/6 = 0,167, y cuatro dimensiones lo superan. Los porcentajes crudos son bajos (34,9 % y 16,6 %; 51,6 % en el plano) porque la codificación disyuntiva infla la inercia total. Con la inercia ajustada de Greenacre (2017), que corrige esa subestimación, la primera dimensión explica el 83,5 % y la segunda el 8,1 %; desde la tercera, menos del 1 %. Retenemos </w:t>
      </w:r>
      <w:r>
        <w:rPr>
          <w:b/>
          <w:bCs/>
        </w:rPr>
        <w:t xml:space="preserve">dos dimensiones</w:t>
      </w:r>
      <w:r>
        <w:t xml:space="preserve"> (91,7 % de la inercia ajustada).</w:t>
      </w:r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46" w:name="_Toc_tab11"/>
      <w:r>
        <w:rPr>
          <w:vanish/>
        </w:rPr>
        <w:fldChar w:fldCharType="begin"/>
      </w:r>
      <w:r>
        <w:rPr>
          <w:vanish/>
        </w:rPr>
        <w:instrText xml:space="preserve"> TC "Tabla 11. Categorías que más contribuyen a cada dimensión"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11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Categorías que más contribuyen a cada dimensión (contribución en %, coordenada y cos² en el plano)</w:t>
      </w:r>
      <w:bookmarkEnd w:id="146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1717"/>
        <w:gridCol w:w="2084"/>
        <w:gridCol w:w="2084"/>
        <w:gridCol w:w="1835"/>
        <w:gridCol w:w="1350"/>
      </w:tblGrid>
      <w:tr>
        <w:trPr>
          <w:cantSplit/>
          <w:tblHeader/>
        </w:trPr>
        <w:tc>
          <w:tcPr>
            <w:tcW w:w="171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Dimensión</w:t>
            </w:r>
          </w:p>
        </w:tc>
        <w:tc>
          <w:tcPr>
            <w:tcW w:w="208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Categoría</w:t>
            </w:r>
          </w:p>
        </w:tc>
        <w:tc>
          <w:tcPr>
            <w:tcW w:w="208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Contribución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Coordenada</w:t>
            </w:r>
          </w:p>
        </w:tc>
        <w:tc>
          <w:tcPr>
            <w:tcW w:w="1350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cos²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1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Sin respuesta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12,3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1,65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0,90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1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INT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12,3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1,68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0,90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1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Duración corta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11,9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1,22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1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UDP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10,8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1,44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0,79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1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Bytes bajos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8,3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1,01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0,54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1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FIN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6,5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−0,63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0,90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1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TCP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6,3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−0,61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0,92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1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dns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6,2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1,59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0,73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2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CON y otros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24,7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2,00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0,72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2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dns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19,9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1,96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0,73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2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Protocolo otros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16,9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−2,16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0,57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2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INT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11,2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−1,11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0,90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2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Sin respuesta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10,8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−1,07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0,90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aTexto"/>
              <w:keepNext/>
            </w:pPr>
            <w:r>
              <w:t xml:space="preserve">Dim 2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UDP</w:t>
            </w:r>
          </w:p>
        </w:tc>
        <w:tc>
          <w:tcPr>
            <w:tcW w:w="2084" w:type="dxa"/>
          </w:tcPr>
          <w:p>
            <w:pPr>
              <w:pStyle w:val="TablaTexto"/>
              <w:keepNext/>
            </w:pPr>
            <w:r>
              <w:t xml:space="preserve">8,3</w:t>
            </w:r>
          </w:p>
        </w:tc>
        <w:tc>
          <w:tcPr>
            <w:tcW w:w="1835" w:type="dxa"/>
          </w:tcPr>
          <w:p>
            <w:pPr>
              <w:pStyle w:val="TablaTexto"/>
              <w:keepNext/>
            </w:pPr>
            <w:r>
              <w:t xml:space="preserve">0,87</w:t>
            </w:r>
          </w:p>
        </w:tc>
        <w:tc>
          <w:tcPr>
            <w:tcW w:w="1350" w:type="dxa"/>
          </w:tcPr>
          <w:p>
            <w:pPr>
              <w:pStyle w:val="TablaTexto"/>
              <w:keepNext/>
            </w:pPr>
            <w:r>
              <w:t xml:space="preserve">0,79</w:t>
            </w:r>
          </w:p>
        </w:tc>
      </w:tr>
    </w:tbl>
    <w:p xmlns:a="http://schemas.openxmlformats.org/drawingml/2006/main" xmlns:pic="http://schemas.openxmlformats.org/drawingml/2006/picture">
      <w:pPr>
        <w:spacing w:before="60"/>
      </w:pPr>
      <w:r>
        <w:t xml:space="preserve">Se muestran las que superan la contribución promedio (100/18 = 5,6 %).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Dim 1, “conversación a medias frente a completa”.</w:t>
      </w:r>
      <w:r>
        <w:t xml:space="preserve"> De un lado, flujos interrumpidos, sin respuesta, cortos, con pocos bytes y por UDP; del otro, TCP cerrada normalmente. La discriminan el estado (η² = 0,92), el protocolo (0,91) y la duración (0,75).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Dim 2, “consulta que se completa frente a envío sin respuesta”.</w:t>
      </w:r>
      <w:r>
        <w:t xml:space="preserve"> Arriba, las consultas DNS por UDP (CON); abajo, protocolos poco comunes e INT. La discriminan el estado (η² = 0,72), el protocolo (0,50) y el servicio (0,48).</w:t>
      </w:r>
    </w:p>
    <w:p xmlns:a="http://schemas.openxmlformats.org/drawingml/2006/main" xmlns:pic="http://schemas.openxmlformats.org/drawingml/2006/picture">
      <w:pPr>
        <w:pStyle w:val="Heading2"/>
      </w:pPr>
      <w:bookmarkStart w:id="147" w:name="_Toc_h26"/>
      <w:r>
        <w:t xml:space="preserve">6.4 Vínculo con el clustering y evaluación de H3</w:t>
      </w:r>
      <w:bookmarkEnd w:id="147"/>
    </w:p>
    <w:p xmlns:a="http://schemas.openxmlformats.org/drawingml/2006/main" xmlns:pic="http://schemas.openxmlformats.org/drawingml/2006/picture">
      <w:pPr/>
      <w:r>
        <w:t xml:space="preserve">Los grupos del capítulo 5 se ordenan sobre la primera dimensión (η² = 0,89): G1 (1,41) y G4 (1,86) del lado de la conversación a medias, G2 (−0,62) y G3 (−0,55) del opuesto. G2 y G3 casi se superponen porque lo que los separa, ritmo y volumen, el ACM solo lo ve en dos variables cortadas en tercios. Otros ataques cae del lado a medias (0,91) y Exploits del lado completo (−0,56); normal y ataque en total no se separan en la primera dimensión (η² = 0,002) sino en la segunda (0,13).</w:t>
      </w:r>
    </w:p>
    <w:p xmlns:a="http://schemas.openxmlformats.org/drawingml/2006/main" xmlns:pic="http://schemas.openxmlformats.org/drawingml/2006/picture">
      <w:pPr/>
      <w:r>
        <w:t xml:space="preserve">Tres asociaciones resumen el capítulo:</w:t>
      </w:r>
    </w:p>
    <w:p xmlns:a="http://schemas.openxmlformats.org/drawingml/2006/main" xmlns:pic="http://schemas.openxmlformats.org/drawingml/2006/picture">
      <w:pPr>
        <w:numPr>
          <w:ilvl w:val="0"/>
          <w:numId w:val="91"/>
        </w:numPr>
      </w:pPr>
      <w:r>
        <w:rPr>
          <w:b/>
          <w:bCs/>
        </w:rPr>
        <w:t xml:space="preserve">Interrumpida y sin respuesta va con ataque.</w:t>
      </w:r>
      <w:r>
        <w:t xml:space="preserve"> El 84 % de los flujos INT son ataques, frente al 52 % de la muestra.</w:t>
      </w:r>
    </w:p>
    <w:p xmlns:a="http://schemas.openxmlformats.org/drawingml/2006/main" xmlns:pic="http://schemas.openxmlformats.org/drawingml/2006/picture">
      <w:pPr>
        <w:numPr>
          <w:ilvl w:val="0"/>
          <w:numId w:val="91"/>
        </w:numPr>
      </w:pPr>
      <w:r>
        <w:rPr>
          <w:b/>
          <w:bCs/>
        </w:rPr>
        <w:t xml:space="preserve">CON va con tráfico normal.</w:t>
      </w:r>
      <w:r>
        <w:t xml:space="preserve"> El 93 % de las conexiones CON son normales, sobre todo consultas DNS.</w:t>
      </w:r>
    </w:p>
    <w:p xmlns:a="http://schemas.openxmlformats.org/drawingml/2006/main" xmlns:pic="http://schemas.openxmlformats.org/drawingml/2006/picture">
      <w:pPr>
        <w:numPr>
          <w:ilvl w:val="0"/>
          <w:numId w:val="91"/>
        </w:numPr>
      </w:pPr>
      <w:r>
        <w:rPr>
          <w:b/>
          <w:bCs/>
        </w:rPr>
        <w:t xml:space="preserve">Exploits parece una conversación normal.</w:t>
      </w:r>
      <w:r>
        <w:t xml:space="preserve"> El 90 % de sus flujos termina en FIN, más que el propio tráfico normal (70 %).</w:t>
      </w:r>
    </w:p>
    <w:p xmlns:a="http://schemas.openxmlformats.org/drawingml/2006/main" xmlns:pic="http://schemas.openxmlformats.org/drawingml/2006/picture">
      <w:pPr/>
      <w:r>
        <w:rPr>
          <w:b/>
          <w:bCs/>
        </w:rPr>
        <w:t xml:space="preserve">H3 se sostiene en parte.</w:t>
      </w:r>
      <w:r>
        <w:t xml:space="preserve"> Las conversaciones interrumpidas y sin respuesta son marca de ataque, pero cerrar con FIN no distingue al tráfico normal: la mitad de los flujos FIN son ataques (51 %). Lo propio del tráfico normal es la conexión CON. Son asociaciones, no causas.</w:t>
      </w:r>
    </w:p>
    <w:p>
      <w:pPr>
        <w:keepNext/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762"/>
            <wp:docPr id="12" name="Figura 11" descr="Figura 11. Los grupos G1 y G4 caen del lado de la conversación a medias; G2 y G3, del lado de la conversación comple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apa_ac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762"/>
                    </a:xfrm>
                    <a:prstGeom prst="rect"/>
                    <a:ln w="6350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Caption"/>
        <w:spacing w:before="60" w:after="80"/>
      </w:pPr>
      <w:bookmarkStart w:id="148" w:name="_Toc_fig11"/>
      <w:r>
        <w:rPr>
          <w:vanish/>
        </w:rPr>
        <w:fldChar w:fldCharType="begin"/>
      </w:r>
      <w:r>
        <w:rPr>
          <w:vanish/>
        </w:rPr>
        <w:instrText xml:space="preserve"> TC "Figura 11. Mapa del ACM con las variables suplementarias" \f F </w:instrText>
      </w:r>
      <w:r>
        <w:rPr>
          <w:vanish/>
        </w:rPr>
        <w:fldChar w:fldCharType="end"/>
      </w:r>
      <w:r>
        <w:rPr>
          <w:b/>
          <w:bCs/>
        </w:rPr>
        <w:t xml:space="preserve">Figura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Figura \* ARABIC </w:instrText>
      </w:r>
      <w:r>
        <w:rPr>
          <w:b/>
          <w:bCs/>
        </w:rPr>
        <w:fldChar w:fldCharType="separate"/>
      </w:r>
      <w:r>
        <w:rPr>
          <w:b/>
          <w:bCs/>
        </w:rPr>
        <w:t>11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Los grupos G1 y G4 caen del lado de la conversación a medias; G2 y G3, del lado de la conversación completa. Otros ataques queda del lado de INT y el tráfico normal sube hacia CON y dns. El panel izquierdo muestra el mapa completo y el derecho, una ampliación de la zona central; en ambos los ejes tienen la misma escala. Los porcentajes de los ejes son de inercia ajustada (Greenacre), con los crudos entre paréntesis. Código: Etapa 4 (ACS y ACM), sección «ETAPA 4» de Proyecto_Integrador_UNSW-NB15.R; genera figura11_etapa4_mapa_acm.png.</w:t>
      </w:r>
      <w:bookmarkEnd w:id="148"/>
    </w:p>
    <w:p xmlns:a="http://schemas.openxmlformats.org/drawingml/2006/main" xmlns:pic="http://schemas.openxmlformats.org/drawingml/2006/picture">
      <w:pPr>
        <w:pStyle w:val="Heading1"/>
        <w:spacing w:before="140"/>
      </w:pPr>
      <w:bookmarkStart w:id="149" w:name="_Toc_h27"/>
      <w:r>
        <w:t xml:space="preserve">7. Integración y conclusiones</w:t>
      </w:r>
      <w:bookmarkEnd w:id="149"/>
    </w:p>
    <w:p xmlns:a="http://schemas.openxmlformats.org/drawingml/2006/main" xmlns:pic="http://schemas.openxmlformats.org/drawingml/2006/picture">
      <w:pPr>
        <w:pStyle w:val="Heading2"/>
      </w:pPr>
      <w:bookmarkStart w:id="150" w:name="_Toc_h28"/>
      <w:r>
        <w:t xml:space="preserve">7.1 Qué dijo cada técnica</w:t>
      </w:r>
      <w:bookmarkEnd w:id="150"/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51" w:name="_Toc_tab12"/>
      <w:r>
        <w:rPr>
          <w:vanish/>
        </w:rPr>
        <w:fldChar w:fldCharType="begin"/>
      </w:r>
      <w:r>
        <w:rPr>
          <w:vanish/>
        </w:rPr>
        <w:instrText xml:space="preserve"> TC "Tabla 12. Síntesis de las técnicas"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12</w:t>
      </w:r>
      <w:r>
        <w:rPr>
          <w:b/>
          <w:bCs/>
        </w:rPr>
        <w:fldChar w:fldCharType="end"/>
      </w:r>
      <w:r>
        <w:rPr>
          <w:b/>
          <w:bCs/>
        </w:rPr>
        <w:t xml:space="preserve">.</w:t>
      </w:r>
      <w:r>
        <w:t xml:space="preserve"> </w:t>
      </w:r>
      <w:r>
        <w:t xml:space="preserve">Síntesis de las técnicas</w:t>
      </w:r>
      <w:bookmarkEnd w:id="151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1337"/>
        <w:gridCol w:w="2097"/>
        <w:gridCol w:w="2752"/>
        <w:gridCol w:w="2884"/>
      </w:tblGrid>
      <w:tr>
        <w:trPr>
          <w:cantSplit/>
          <w:tblHeader/>
        </w:trPr>
        <w:tc>
          <w:tcPr>
            <w:tcW w:w="133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Técnica</w:t>
            </w:r>
          </w:p>
        </w:tc>
        <w:tc>
          <w:tcPr>
            <w:tcW w:w="209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Estructura encontrada</w:t>
            </w:r>
          </w:p>
        </w:tc>
        <w:tc>
          <w:tcPr>
            <w:tcW w:w="2752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Quién la protagoniza</w:t>
            </w:r>
          </w:p>
        </w:tc>
        <w:tc>
          <w:tcPr>
            <w:tcW w:w="288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Coincide o discrepa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aTexto"/>
              <w:keepNext/>
            </w:pPr>
            <w:r>
              <w:t xml:space="preserve">ACP</w:t>
            </w:r>
          </w:p>
        </w:tc>
        <w:tc>
          <w:tcPr>
            <w:tcW w:w="2097" w:type="dxa"/>
          </w:tcPr>
          <w:p>
            <w:pPr>
              <w:pStyle w:val="TablaTexto"/>
              <w:keepNext/>
            </w:pPr>
            <w:r>
              <w:t xml:space="preserve">3 componentes (74,5 %)</w:t>
            </w:r>
          </w:p>
        </w:tc>
        <w:tc>
          <w:tcPr>
            <w:tcW w:w="2752" w:type="dxa"/>
          </w:tcPr>
          <w:p>
            <w:pPr>
              <w:pStyle w:val="TablaTexto"/>
              <w:keepNext/>
            </w:pPr>
            <w:r>
              <w:t xml:space="preserve">CP1: duración y ritmo frente a los conteos de repetición</w:t>
            </w:r>
          </w:p>
        </w:tc>
        <w:tc>
          <w:tcPr>
            <w:tcW w:w="2884" w:type="dxa"/>
          </w:tcPr>
          <w:p>
            <w:pPr>
              <w:pStyle w:val="TablaTexto"/>
              <w:keepNext/>
            </w:pPr>
            <w:r>
              <w:t xml:space="preserve">Encuentra los mismos aspectos, pero mezcla ritmo y volumen en un eje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aTexto"/>
              <w:keepNext/>
            </w:pPr>
            <w:r>
              <w:t xml:space="preserve">AF</w:t>
            </w:r>
          </w:p>
        </w:tc>
        <w:tc>
          <w:tcPr>
            <w:tcW w:w="2097" w:type="dxa"/>
          </w:tcPr>
          <w:p>
            <w:pPr>
              <w:pStyle w:val="TablaTexto"/>
              <w:keepNext/>
            </w:pPr>
            <w:r>
              <w:t xml:space="preserve">3 factores (67,0 %)</w:t>
            </w:r>
          </w:p>
        </w:tc>
        <w:tc>
          <w:tcPr>
            <w:tcW w:w="2752" w:type="dxa"/>
          </w:tcPr>
          <w:p>
            <w:pPr>
              <w:pStyle w:val="TablaTexto"/>
              <w:keepNext/>
            </w:pPr>
            <w:r>
              <w:t xml:space="preserve">Repetición, ritmo y volumen</w:t>
            </w:r>
          </w:p>
        </w:tc>
        <w:tc>
          <w:tcPr>
            <w:tcW w:w="2884" w:type="dxa"/>
          </w:tcPr>
          <w:p>
            <w:pPr>
              <w:pStyle w:val="TablaTexto"/>
              <w:keepNext/>
            </w:pPr>
            <w:r>
              <w:t xml:space="preserve">Separa los tres bloques; spkts queda casi redundante (caso Heywood)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aTexto"/>
              <w:keepNext/>
            </w:pPr>
            <w:r>
              <w:t xml:space="preserve">Cluster de variables</w:t>
            </w:r>
          </w:p>
        </w:tc>
        <w:tc>
          <w:tcPr>
            <w:tcW w:w="2097" w:type="dxa"/>
          </w:tcPr>
          <w:p>
            <w:pPr>
              <w:pStyle w:val="TablaTexto"/>
              <w:keepNext/>
            </w:pPr>
            <w:r>
              <w:t xml:space="preserve">3 bloques</w:t>
            </w:r>
          </w:p>
        </w:tc>
        <w:tc>
          <w:tcPr>
            <w:tcW w:w="2752" w:type="dxa"/>
          </w:tcPr>
          <w:p>
            <w:pPr>
              <w:pStyle w:val="TablaTexto"/>
              <w:keepNext/>
            </w:pPr>
            <w:r>
              <w:t xml:space="preserve">Los mismos tres bloques del AF</w:t>
            </w:r>
          </w:p>
        </w:tc>
        <w:tc>
          <w:tcPr>
            <w:tcW w:w="2884" w:type="dxa"/>
          </w:tcPr>
          <w:p>
            <w:pPr>
              <w:pStyle w:val="TablaTexto"/>
              <w:keepNext/>
            </w:pPr>
            <w:r>
              <w:t xml:space="preserve">Coincide exactamente con el AF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aTexto"/>
              <w:keepNext/>
            </w:pPr>
            <w:r>
              <w:t xml:space="preserve">Cluster de observaciones</w:t>
            </w:r>
          </w:p>
        </w:tc>
        <w:tc>
          <w:tcPr>
            <w:tcW w:w="2097" w:type="dxa"/>
          </w:tcPr>
          <w:p>
            <w:pPr>
              <w:pStyle w:val="TablaTexto"/>
              <w:keepNext/>
            </w:pPr>
            <w:r>
              <w:t xml:space="preserve">4 grupos (silhouette 0,33)</w:t>
            </w:r>
          </w:p>
        </w:tc>
        <w:tc>
          <w:tcPr>
            <w:tcW w:w="2752" w:type="dxa"/>
          </w:tcPr>
          <w:p>
            <w:pPr>
              <w:pStyle w:val="TablaTexto"/>
              <w:keepNext/>
            </w:pPr>
            <w:r>
              <w:t xml:space="preserve">Cortos; largos y lentos; conversación completa; repetitivos sin respuesta</w:t>
            </w:r>
          </w:p>
        </w:tc>
        <w:tc>
          <w:tcPr>
            <w:tcW w:w="2884" w:type="dxa"/>
          </w:tcPr>
          <w:p>
            <w:pPr>
              <w:pStyle w:val="TablaTexto"/>
              <w:keepNext/>
            </w:pPr>
            <w:r>
              <w:t xml:space="preserve">Cada grupo se destaca en un factor distinto del AF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aTexto"/>
            </w:pPr>
            <w:r>
              <w:t xml:space="preserve">ACM</w:t>
            </w:r>
          </w:p>
        </w:tc>
        <w:tc>
          <w:tcPr>
            <w:tcW w:w="2097" w:type="dxa"/>
          </w:tcPr>
          <w:p>
            <w:pPr>
              <w:pStyle w:val="TablaTexto"/>
            </w:pPr>
            <w:r>
              <w:t xml:space="preserve">2 dimensiones (91,7 % de inercia ajustada, Greenacre)</w:t>
            </w:r>
          </w:p>
        </w:tc>
        <w:tc>
          <w:tcPr>
            <w:tcW w:w="2752" w:type="dxa"/>
          </w:tcPr>
          <w:p>
            <w:pPr>
              <w:pStyle w:val="TablaTexto"/>
            </w:pPr>
            <w:r>
              <w:t xml:space="preserve">Interrumpida, sin respuesta, corta y UDP frente a TCP cerrada</w:t>
            </w:r>
          </w:p>
        </w:tc>
        <w:tc>
          <w:tcPr>
            <w:tcW w:w="2884" w:type="dxa"/>
          </w:tcPr>
          <w:p>
            <w:pPr>
              <w:pStyle w:val="TablaTexto"/>
            </w:pPr>
            <w:r>
              <w:t xml:space="preserve">Ordena los grupos del clustering sobre su primera dimensión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  <w:spacing w:before="140"/>
      </w:pPr>
      <w:bookmarkStart w:id="152" w:name="_Toc_h29"/>
      <w:r>
        <w:t xml:space="preserve">7.2 Respuestas a las preguntas de la integración</w:t>
      </w:r>
      <w:bookmarkEnd w:id="152"/>
    </w:p>
    <w:p xmlns:a="http://schemas.openxmlformats.org/drawingml/2006/main" xmlns:pic="http://schemas.openxmlformats.org/drawingml/2006/picture">
      <w:pPr/>
      <w:r>
        <w:rPr>
          <w:b/>
          <w:bCs/>
        </w:rPr>
        <w:t xml:space="preserve">¿Se confirmaron las hipótesis?</w:t>
      </w:r>
      <w:r>
        <w:t xml:space="preserve"> H1 y H2 sí; H3 en parte (capítulos 3, 5 y 6).</w:t>
      </w:r>
    </w:p>
    <w:p xmlns:a="http://schemas.openxmlformats.org/drawingml/2006/main" xmlns:pic="http://schemas.openxmlformats.org/drawingml/2006/picture">
      <w:pPr/>
      <w:r>
        <w:rPr>
          <w:b/>
          <w:bCs/>
        </w:rPr>
        <w:t xml:space="preserve">¿Coinciden los bloques de variables?</w:t>
      </w:r>
      <w:r>
        <w:t xml:space="preserve"> El AF y el cluster de variables dan exactamente volumen, ritmo y repetición. El ACP ve los mismos aspectos pero los combina.</w:t>
      </w:r>
    </w:p>
    <w:p xmlns:a="http://schemas.openxmlformats.org/drawingml/2006/main" xmlns:pic="http://schemas.openxmlformats.org/drawingml/2006/picture">
      <w:pPr/>
      <w:r>
        <w:rPr>
          <w:b/>
          <w:bCs/>
        </w:rPr>
        <w:t xml:space="preserve">¿Los clusters se explican por las dimensiones y las categorías?</w:t>
      </w:r>
      <w:r>
        <w:t xml:space="preserve"> Sí. Cada grupo se destaca en un factor: los repetitivos sin respuesta en repetición (puntaje medio 2,75), los largos y lentos en ritmo (0,79) y la conversación completa en volumen (1,19); los cortos quedan bajos en ritmo y volumen. En el ACM, la primera dimensión separa cortos y repetitivos de los otros dos.</w:t>
      </w:r>
    </w:p>
    <w:p xmlns:a="http://schemas.openxmlformats.org/drawingml/2006/main" xmlns:pic="http://schemas.openxmlformats.org/drawingml/2006/picture">
      <w:pPr/>
      <w:r>
        <w:rPr>
          <w:b/>
          <w:bCs/>
        </w:rPr>
        <w:t xml:space="preserve">¿Qué sorprendió?</w:t>
      </w:r>
      <w:r>
        <w:t xml:space="preserve"> Que Exploits, el ataque más frecuente, se parezca a una conversación normal, y que la marca del tráfico normal no sea la conexión cerrada sino la conexión CON de las consultas DNS.</w:t>
      </w:r>
    </w:p>
    <w:p xmlns:a="http://schemas.openxmlformats.org/drawingml/2006/main" xmlns:pic="http://schemas.openxmlformats.org/drawingml/2006/picture">
      <w:pPr>
        <w:pStyle w:val="Heading2"/>
      </w:pPr>
      <w:bookmarkStart w:id="153" w:name="_Toc_h30"/>
      <w:r>
        <w:t xml:space="preserve">7.3 Respuesta a la pregunta guía</w:t>
      </w:r>
      <w:bookmarkEnd w:id="153"/>
    </w:p>
    <w:p xmlns:a="http://schemas.openxmlformats.org/drawingml/2006/main" xmlns:pic="http://schemas.openxmlformats.org/drawingml/2006/picture">
      <w:pPr/>
      <w:r>
        <w:rPr>
          <w:b/>
          <w:bCs/>
        </w:rPr>
        <w:t xml:space="preserve">¿Se puede distinguir un ataque del tráfico normal observando cómo es la conversación entre dos equipos?</w:t>
      </w:r>
      <w:r>
        <w:t xml:space="preserve"> En buena parte sí. Los ataques que dejan la conversación a medias (sin respuesta, interrumpida, repetida muchas veces) se distinguen con claridad, y las conversaciones completas con mucho intercambio son casi siempre normales. No se distinguen así los ataques que usan una conversación completa, como Exploits, ni los flujos muy cortos.</w:t>
      </w:r>
    </w:p>
    <w:p xmlns:a="http://schemas.openxmlformats.org/drawingml/2006/main" xmlns:pic="http://schemas.openxmlformats.org/drawingml/2006/picture">
      <w:pPr>
        <w:pStyle w:val="Heading2"/>
      </w:pPr>
      <w:bookmarkStart w:id="154" w:name="_Toc_h31"/>
      <w:r>
        <w:t xml:space="preserve">7.4 Limitaciones y próximos pasos</w:t>
      </w:r>
      <w:bookmarkEnd w:id="154"/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Datos y muestra.</w:t>
      </w:r>
      <w:r>
        <w:t xml:space="preserve"> UNSW-NB15 es de laboratorio y la muestra estratificada tiene 52 % de ataques, mucho más que una red real; los resultados describen esa red.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Supuestos.</w:t>
      </w:r>
      <w:r>
        <w:t xml:space="preserve"> KMO mediano (0,748) y caso Heywood en spkts. Con 5.000 flujos casi cualquier prueba da significativa, por eso nos apoyamos en tamaños de efecto.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Decisiones propias.</w:t>
      </w:r>
      <w:r>
        <w:t xml:space="preserve"> Conservar los atípicos, usar logaritmos y cortar en terciles; otras decisiones moverían las fronteras de los grupos y el mapa del ACM. Los grupos tienen bordes difusos (silhouette 0,33).</w:t>
      </w:r>
    </w:p>
    <w:p xmlns:a="http://schemas.openxmlformats.org/drawingml/2006/main" xmlns:pic="http://schemas.openxmlformats.org/drawingml/2006/picture">
      <w:pPr>
        <w:numPr>
          <w:ilvl w:val="0"/>
          <w:numId w:val="90"/>
        </w:numPr>
      </w:pPr>
      <w:r>
        <w:rPr>
          <w:b/>
          <w:bCs/>
        </w:rPr>
        <w:t xml:space="preserve">Datos observacionales.</w:t>
      </w:r>
      <w:r>
        <w:t xml:space="preserve"> Todas las relaciones son asociaciones, no causas.</w:t>
      </w:r>
    </w:p>
    <w:p xmlns:a="http://schemas.openxmlformats.org/drawingml/2006/main" xmlns:pic="http://schemas.openxmlformats.org/drawingml/2006/picture">
      <w:pPr/>
      <w:r>
        <w:t xml:space="preserve">Como próximo paso, la regresión logística medirá cuánto aporta cada rasgo a predecir un ataque controlando por los demás. Este trabajo sugiere como predictores la respuesta del destino, la demora en aceptar la conexión (synack) y los conteos de repetición, y anticipa errores concentrados en Exploits y en los flujos cortos.</w:t>
      </w:r>
    </w:p>
    <w:p xmlns:a="http://schemas.openxmlformats.org/drawingml/2006/main" xmlns:pic="http://schemas.openxmlformats.org/drawingml/2006/picture">
      <w:pPr>
        <w:pStyle w:val="Heading1"/>
        <w:pageBreakBefore/>
      </w:pPr>
      <w:bookmarkStart w:id="155" w:name="_Toc_ref"/>
      <w:r>
        <w:t xml:space="preserve">Referencias</w:t>
      </w:r>
      <w:bookmarkEnd w:id="155"/>
    </w:p>
    <w:p xmlns:a="http://schemas.openxmlformats.org/drawingml/2006/main" xmlns:pic="http://schemas.openxmlformats.org/drawingml/2006/picture">
      <w:pPr>
        <w:pStyle w:val="Referencia"/>
      </w:pPr>
      <w:r>
        <w:t xml:space="preserve">Greenacre, M. (2017). </w:t>
      </w:r>
      <w:r>
        <w:rPr>
          <w:i/>
          <w:iCs/>
        </w:rPr>
        <w:t xml:space="preserve">Correspondence analysis in practice</w:t>
      </w:r>
      <w:r>
        <w:t xml:space="preserve"> (3.ª ed.). Chapman and Hall/CRC.</w:t>
      </w:r>
    </w:p>
    <w:p xmlns:a="http://schemas.openxmlformats.org/drawingml/2006/main" xmlns:pic="http://schemas.openxmlformats.org/drawingml/2006/picture">
      <w:pPr>
        <w:pStyle w:val="Referencia"/>
      </w:pPr>
      <w:r>
        <w:t xml:space="preserve">Horn, J. L. (1965). A rationale and test for the number of factors in factor analysis. </w:t>
      </w:r>
      <w:r>
        <w:rPr>
          <w:i/>
          <w:iCs/>
        </w:rPr>
        <w:t xml:space="preserve">Psychometrika</w:t>
      </w:r>
      <w:r>
        <w:t xml:space="preserve">, </w:t>
      </w:r>
      <w:r>
        <w:rPr>
          <w:i/>
          <w:iCs/>
        </w:rPr>
        <w:t xml:space="preserve">30</w:t>
      </w:r>
      <w:r>
        <w:t xml:space="preserve">(2), 179–185.</w:t>
      </w:r>
    </w:p>
    <w:p xmlns:a="http://schemas.openxmlformats.org/drawingml/2006/main" xmlns:pic="http://schemas.openxmlformats.org/drawingml/2006/picture">
      <w:pPr>
        <w:pStyle w:val="Referencia"/>
      </w:pPr>
      <w:r>
        <w:t xml:space="preserve">Hubert, L., y Arabie, P. (1985). Comparing partitions. </w:t>
      </w:r>
      <w:r>
        <w:rPr>
          <w:i/>
          <w:iCs/>
        </w:rPr>
        <w:t xml:space="preserve">Journal of Classification</w:t>
      </w:r>
      <w:r>
        <w:t xml:space="preserve">, </w:t>
      </w:r>
      <w:r>
        <w:rPr>
          <w:i/>
          <w:iCs/>
        </w:rPr>
        <w:t xml:space="preserve">2</w:t>
      </w:r>
      <w:r>
        <w:t xml:space="preserve">(1), 193–218.</w:t>
      </w:r>
    </w:p>
    <w:p xmlns:a="http://schemas.openxmlformats.org/drawingml/2006/main" xmlns:pic="http://schemas.openxmlformats.org/drawingml/2006/picture">
      <w:pPr>
        <w:pStyle w:val="Referencia"/>
      </w:pPr>
      <w:r>
        <w:t xml:space="preserve">Kaiser, H. F. (1974). An index of factorial simplicity. </w:t>
      </w:r>
      <w:r>
        <w:rPr>
          <w:i/>
          <w:iCs/>
        </w:rPr>
        <w:t xml:space="preserve">Psychometrika</w:t>
      </w:r>
      <w:r>
        <w:t xml:space="preserve">, </w:t>
      </w:r>
      <w:r>
        <w:rPr>
          <w:i/>
          <w:iCs/>
        </w:rPr>
        <w:t xml:space="preserve">39</w:t>
      </w:r>
      <w:r>
        <w:t xml:space="preserve">(1), 31–36.</w:t>
      </w:r>
    </w:p>
    <w:p xmlns:a="http://schemas.openxmlformats.org/drawingml/2006/main" xmlns:pic="http://schemas.openxmlformats.org/drawingml/2006/picture">
      <w:pPr>
        <w:pStyle w:val="Referencia"/>
      </w:pPr>
      <w:r>
        <w:t xml:space="preserve">Kaufman, L., y Rousseeuw, P. J. (1990). </w:t>
      </w:r>
      <w:r>
        <w:rPr>
          <w:i/>
          <w:iCs/>
        </w:rPr>
        <w:t xml:space="preserve">Finding groups in data: An introduction to cluster analysis</w:t>
      </w:r>
      <w:r>
        <w:t xml:space="preserve">. Wiley.</w:t>
      </w:r>
    </w:p>
    <w:p xmlns:a="http://schemas.openxmlformats.org/drawingml/2006/main" xmlns:pic="http://schemas.openxmlformats.org/drawingml/2006/picture">
      <w:pPr>
        <w:pStyle w:val="Referencia"/>
      </w:pPr>
      <w:r>
        <w:t xml:space="preserve">Moustafa, N., y Slay, J. (2015). UNSW-NB15: A comprehensive data set for network intrusion detection systems (UNSW-NB15 network data set). En </w:t>
      </w:r>
      <w:r>
        <w:rPr>
          <w:i/>
          <w:iCs/>
        </w:rPr>
        <w:t xml:space="preserve">2015 Military Communications and Information Systems Conference (MilCIS)</w:t>
      </w:r>
      <w:r>
        <w:t xml:space="preserve"> (pp. 1–6). IEEE.</w:t>
      </w:r>
    </w:p>
    <w:p xmlns:a="http://schemas.openxmlformats.org/drawingml/2006/main" xmlns:pic="http://schemas.openxmlformats.org/drawingml/2006/picture">
      <w:pPr>
        <w:pStyle w:val="Referencia"/>
      </w:pPr>
      <w:r>
        <w:t xml:space="preserve">R Core Team. (2024). </w:t>
      </w:r>
      <w:r>
        <w:rPr>
          <w:i/>
          <w:iCs/>
        </w:rPr>
        <w:t xml:space="preserve">R: A language and environment for statistical computing</w:t>
      </w:r>
      <w:r>
        <w:t xml:space="preserve"> (versión 4.3.3). R Foundation for Statistical Computing.</w:t>
      </w:r>
    </w:p>
    <w:p xmlns:a="http://schemas.openxmlformats.org/drawingml/2006/main" xmlns:pic="http://schemas.openxmlformats.org/drawingml/2006/picture">
      <w:pPr>
        <w:pStyle w:val="Referencia"/>
      </w:pPr>
      <w:r>
        <w:t xml:space="preserve">Tukey, J. W. (1977). </w:t>
      </w:r>
      <w:r>
        <w:rPr>
          <w:i/>
          <w:iCs/>
        </w:rPr>
        <w:t xml:space="preserve">Exploratory data analysis</w:t>
      </w:r>
      <w:r>
        <w:t xml:space="preserve">. Addison-Wesley.</w:t>
      </w:r>
    </w:p>
    <w:p xmlns:a="http://schemas.openxmlformats.org/drawingml/2006/main" xmlns:pic="http://schemas.openxmlformats.org/drawingml/2006/picture">
      <w:pPr>
        <w:pStyle w:val="Referencia"/>
      </w:pPr>
      <w:r>
        <w:t xml:space="preserve">Ward, J. H. (1963). Hierarchical grouping to optimize an objective function. </w:t>
      </w:r>
      <w:r>
        <w:rPr>
          <w:i/>
          <w:iCs/>
        </w:rPr>
        <w:t xml:space="preserve">Journal of the American Statistical Association</w:t>
      </w:r>
      <w:r>
        <w:t xml:space="preserve">, </w:t>
      </w:r>
      <w:r>
        <w:rPr>
          <w:i/>
          <w:iCs/>
        </w:rPr>
        <w:t xml:space="preserve">58</w:t>
      </w:r>
      <w:r>
        <w:t xml:space="preserve">(301), 236–244.</w:t>
      </w:r>
    </w:p>
    <w:p xmlns:a="http://schemas.openxmlformats.org/drawingml/2006/main" xmlns:pic="http://schemas.openxmlformats.org/drawingml/2006/picture">
      <w:pPr>
        <w:pStyle w:val="Heading1"/>
        <w:pageBreakBefore/>
      </w:pPr>
      <w:bookmarkStart w:id="156" w:name="_Toc_anA"/>
      <w:r>
        <w:t xml:space="preserve">Anexo A. Diccionario de variables</w:t>
      </w:r>
      <w:bookmarkEnd w:id="156"/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57" w:name="_Toc_tabA1"/>
      <w:r>
        <w:rPr>
          <w:vanish/>
        </w:rPr>
        <w:fldChar w:fldCharType="begin"/>
      </w:r>
      <w:r>
        <w:rPr>
          <w:vanish/>
        </w:rPr>
        <w:instrText xml:space="preserve"> TC "Tabla A1. Las 68 columnas de la base: descripción, unidad, tipo y rol en el análisis"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t>A1</w:t>
      </w:r>
      <w:r>
        <w:rPr>
          <w:b/>
          <w:bCs/>
        </w:rPr>
        <w:t xml:space="preserve">.</w:t>
      </w:r>
      <w:r>
        <w:t xml:space="preserve"> </w:t>
      </w:r>
      <w:r>
        <w:t xml:space="preserve">Las 68 columnas de la base: descripción, unidad, tipo y rol en el análisis</w:t>
      </w:r>
      <w:bookmarkEnd w:id="157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1398"/>
        <w:gridCol w:w="2078"/>
        <w:gridCol w:w="1319"/>
        <w:gridCol w:w="1119"/>
        <w:gridCol w:w="999"/>
        <w:gridCol w:w="2157"/>
      </w:tblGrid>
      <w:tr>
        <w:trPr>
          <w:cantSplit/>
          <w:tblHeader/>
        </w:trPr>
        <w:tc>
          <w:tcPr>
            <w:tcW w:w="139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w="2078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w="131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Unidad</w:t>
            </w:r>
          </w:p>
        </w:tc>
        <w:tc>
          <w:tcPr>
            <w:tcW w:w="111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99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w="215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Motivo de exclusión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id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Identificador del registro dentro de su partición; no identifica equipos.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Identificador: excluir de distancias, correlaciones y modelos.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dur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Duración total del flujo.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segundos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proto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Protocolo de transporte o de red registrado.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Usar la versión agrupada proto_g; la variable original (133 valores) no entra en el análisis.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service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Servicio identificado; ‘-’ se recodifica como ‘ninguno’ (sin servicio identificado, no es un faltante).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Usar la versión agrupada service_g; la variable original no entra en el análisis.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state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Estado de conexión registrado.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Usar la versión agrupada state_g; la variable original no entra en el análisis.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spkts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Paquetes enviados del origen al destino.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paquetes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dpkts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Paquetes enviados del destino al origen.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paquetes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Redundante con dbytes (r = 0,95 en log; VIF 50,5). Se excluye para que el determinante de la matriz de correlaciones supere 0,00001 (Etapa 2). Se conserva en la base para discretizar ‘con/sin respuesta’.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sbytes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Bytes enviados del origen al destino.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bytes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dbytes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Bytes enviados del destino al origen.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bytes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rate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Tasa de paquetes del flujo.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paquetes/ segundo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Derivada: rate = (spkts + dpkts - 1) / dur. Además r = -0,91 con sinpkt (VIF 14,3). Se excluye para que el determinante supere 0,00001 (Etapa 2).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sttl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TTL del origen.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código / valor TTL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Pocos valores; no entra en X_num.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dttl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TTL del destino.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código / valor TTL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Pocos valores; no entra en X_num.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sload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Carga del origen en bits por segundo.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bits/segundo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Se calcula a partir de bytes y duración: redundante con sbytes y dur.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dload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Carga del destino en bits por segundo.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bits/segundo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Se calcula a partir de bytes y duración: redundante con dbytes y dur.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sloss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Paquetes del origen perdidos o retransmitidos.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paquetes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Redundante con spkts (r = 0,92 en log); 29,2 % de ceros.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dloss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Paquetes del destino perdidos o retransmitidos.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paquetes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Redundante con dpkts (r = 0,92 en log); 29,8 % de ceros.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sinpkt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Tiempo entre paquetes del origen.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milisegundos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dinpkt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Tiempo entre paquetes del destino.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milisegundos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Redundante con sinpkt (r = 0,84 en log); se priorizó un conjunto menor.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sjit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Jitter del origen.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milisegundos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djit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Jitter del destino.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milisegundos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Redundante con sjit (r = 0,87 en log); se priorizó un conjunto menor.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swin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Ventana TCP anunciada por el origen.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bytes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Solo toma los valores 0 y 255 (70,8 % y 29,2 %): casi binaria, no continua.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stcpb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Número base de secuencia TCP del origen.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Número de secuencia TCP aleatorio por diseño; no mide comportamiento.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dtcpb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Número base de secuencia TCP del destino.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Número de secuencia TCP aleatorio por diseño; no mide comportamiento.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dwin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Ventana TCP anunciada por el destino.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bytes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Solo toma los valores 0 y 255 (70,4 % y 29,6 %): casi binaria, no continua.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tcprtt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Tiempo de establecimiento TCP: synack + ackdat (salvo redondeo decimal).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segundos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Es exactamente synack + ackdat: redundancia algebraica.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synack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Tiempo entre SYN y SYN_ACK.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segundos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ackdat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Tiempo entre SYN_ACK y ACK.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segundos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Redundante con synack; se priorizó un conjunto menor.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smean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Tamaño medio de paquetes del origen.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bytes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Derivada de sbytes / spkts. Agregada a X_num tiene MSA = 0,15 y baja el KMO a 0,69.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dmean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Tamaño medio de paquetes del destino.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bytes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Derivada de dbytes / dpkts: casi combinación lineal de variables incluidas.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trans_depth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Profundidad de transacciones HTTP encadenadas.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transacciones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83,4 % de ceros; la información HTTP ya está en service. Solo se usa para construir usa_http.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response_body_len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Longitud sin comprimir del cuerpo de respuesta HTTP.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bytes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89,7 % de ceros; la información HTTP ya está en service.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ct_srv_src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Conexiones con igual servicio y origen en las últimas 100; conteo, no continua estricta.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conexiones (ventana de 100)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ct_state_ttl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Código de combinación de estado y rango TTL.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código / valor TTL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Pocos valores; no entra en X_num.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ct_dst_ltm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Conexiones con igual destino en las últimas 100.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conexiones (ventana de 100)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Conteo de contexto redundante con los ct_* incluidos.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ct_src_dport_ltm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Conexiones con igual origen y puerto destino en las últimas 100; conteo, no continua estricta.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conexiones (ventana de 100)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ct_dst_sport_ltm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Conexiones con igual destino y puerto origen en las últimas 100; conteo, no continua estricta.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conexiones (ventana de 100)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ct_dst_src_ltm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Conexiones con igual par origen-destino en las últimas 100.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conexiones (ventana de 100)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Conteo de contexto redundante con los ct_* incluidos (r = 0,77 con ct_srv_dst en log).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is_ftp_login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Indicador nominal de autenticación FTP; se conservan los valores realmente observados.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binaria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Idéntica a ct_ftp_cmd en las 5.000 filas y con 98,5 % de ceros.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ct_ftp_cmd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Conteo de flujos con comandos FTP.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flujos FTP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Idéntica a is_ftp_login en las 5.000 filas y con 98,5 % de ceros.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ct_flw_http_mthd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Conteo de flujos con métodos HTTP.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flujos HTTP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83,4 % de ceros; la información HTTP ya está en service.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ct_src_ltm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Conexiones con igual origen en las últimas 100; conteo, no continua estricta.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conexiones (ventana de 100)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ct_srv_dst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Conexiones con igual servicio y destino en las últimas 100; conteo, no continua estricta.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conexiones (ventana de 100)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is_sm_ips_ports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1 cuando coinciden IP y puerto entre origen y destino; 0 en otro caso.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binaria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Indicador de contexto no incluido en X_num ni en las categóricas acordadas.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attack_cat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Clase original: Normal o uno de los nueve ataques; estratificación y contexto.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Usar la versión agrupada tipo_trafico; la variable original no entra en el análisis.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label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Respuesta binaria: 0 -&gt; normal; 1 -&gt; ataque; guardada como factor en ese orden.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binaria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Respuesta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tipo_trafico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Normal / Exploits / Fuzzers / Reconnaissance / Otros ataques. ‘Otros ataques’ agrupa Generic, DoS, Analysis, Backdoor, Shellcode y Worms (cada una &lt; 5 %).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X_cat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proto_g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Protocolo agrupado: tcp / udp / otros.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X_cat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service_g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Servicio agrupado: ninguno / http / dns / otros.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X_cat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state_g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Estado agrupado: FIN / INT / CON_otros.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X_cat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ttl_origen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TTL de origen agrupado: 254 / 31 / otros.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No entra en el ACM: separa casi perfecto normal de ataque por un artefacto del laboratorio.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perfil_estado_ttl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ct_state_ttl agrupado: 0 / 1 / 2 o más.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No entra en el ACM: separa casi perfecto normal de ataque por un artefacto del laboratorio.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repeticion_servicio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ct_srv_src agrupado: baja (1-2), media (3-10), alta (&gt;10).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categórica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No entra en el ACM: repite la información de ct_srv_src.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usa_http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1 si service es http o trans_depth &gt; 0; 0 en otro caso.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sin unidad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binaria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n_atipicos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Cantidad de variables con valor atípico (criterio de Tukey, en log).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variables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conteo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Contexto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Variable auxiliar de calidad.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log_dur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dur; conserva ceros; unidad original: segundos.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log_spkts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spkts; conserva ceros; unidad original: paquetes.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log_dpkts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dpkts; conserva ceros; unidad original: paquetes.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Redundante con dbytes (r = 0,95 en log; VIF 50,5). Se excluye para que el determinante de la matriz de correlaciones supere 0,00001 (Etapa 2). Se conserva en la base para discretizar ‘con/sin respuesta’.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log_sbytes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sbytes; conserva ceros; unidad original: bytes.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log_dbytes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dbytes; conserva ceros; unidad original: bytes.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log_rate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rate; conserva ceros; unidad original: paquetes/segundo.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Excluida</w:t>
            </w:r>
          </w:p>
        </w:tc>
        <w:tc>
          <w:tcPr>
            <w:tcW w:w="2157" w:type="dxa"/>
          </w:tcPr>
          <w:p>
            <w:pPr>
              <w:pStyle w:val="TablaTexto"/>
            </w:pPr>
            <w:r>
              <w:t xml:space="preserve">Derivada: rate = (spkts + dpkts - 1) / dur. Además r = -0,91 con sinpkt (VIF 14,3). Se excluye para que el determinante supere 0,00001 (Etapa 2).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log_sinpkt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sinpkt; conserva ceros; unidad original: milisegundos.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log_sjit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sjit; conserva ceros; unidad original: milisegundos.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log_synack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synack; conserva ceros; unidad original: segundos.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log_ct_srv_src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ct_srv_src; conserva ceros; unidad original: conexiones (ventana de 100).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log_ct_srv_dst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ct_srv_dst; conserva ceros; unidad original: conexiones (ventana de 100).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log_ct_src_ltm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ct_src_ltm; conserva ceros; unidad original: conexiones (ventana de 100).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log_ct_src_dport_ltm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ct_src_dport_ltm; conserva ceros; unidad original: conexiones (ventana de 100).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  <w:tr>
        <w:trPr>
          <w:cantSplit/>
        </w:trPr>
        <w:tc>
          <w:tcPr>
            <w:tcW w:w="1398" w:type="dxa"/>
          </w:tcPr>
          <w:p>
            <w:pPr>
              <w:pStyle w:val="TablaTexto"/>
            </w:pPr>
            <w:r>
              <w:t xml:space="preserve">log_ct_dst_sport_ltm</w:t>
            </w:r>
          </w:p>
        </w:tc>
        <w:tc>
          <w:tcPr>
            <w:tcW w:w="2078" w:type="dxa"/>
          </w:tcPr>
          <w:p>
            <w:pPr>
              <w:pStyle w:val="TablaTexto"/>
            </w:pPr>
            <w:r>
              <w:t xml:space="preserve">log1p de ct_dst_sport_ltm; conserva ceros; unidad original: conexiones (ventana de 100).</w:t>
            </w:r>
          </w:p>
        </w:tc>
        <w:tc>
          <w:tcPr>
            <w:tcW w:w="1319" w:type="dxa"/>
          </w:tcPr>
          <w:p>
            <w:pPr>
              <w:pStyle w:val="TablaTexto"/>
            </w:pPr>
            <w:r>
              <w:t xml:space="preserve">escala log1p</w:t>
            </w:r>
          </w:p>
        </w:tc>
        <w:tc>
          <w:tcPr>
            <w:tcW w:w="1119" w:type="dxa"/>
          </w:tcPr>
          <w:p>
            <w:pPr>
              <w:pStyle w:val="TablaTexto"/>
            </w:pPr>
            <w:r>
              <w:t xml:space="preserve">continua</w:t>
            </w:r>
          </w:p>
        </w:tc>
        <w:tc>
          <w:tcPr>
            <w:tcW w:w="999" w:type="dxa"/>
          </w:tcPr>
          <w:p>
            <w:pPr>
              <w:pStyle w:val="TablaTexto"/>
            </w:pPr>
            <w:r>
              <w:t xml:space="preserve">X_num</w:t>
            </w:r>
          </w:p>
        </w:tc>
        <w:tc>
          <w:tcPr>
            <w:tcW w:w="2157" w:type="dxa"/>
          </w:tcPr>
          <w:p>
            <w:pPr>
              <w:pStyle w:val="TablaTexto"/>
            </w:pPr>
          </w:p>
        </w:tc>
      </w:tr>
    </w:tbl>
    <w:p xmlns:a="http://schemas.openxmlformats.org/drawingml/2006/main" xmlns:pic="http://schemas.openxmlformats.org/drawingml/2006/picture">
      <w:pPr>
        <w:spacing w:before="100"/>
      </w:pPr>
      <w:r>
        <w:t xml:space="preserve">Las tres variables discretizadas para el ACM (respuesta del destino, duración en terciles y bytes enviados en terciles) se construyen en el análisis a partir de dbytes, dur y sbytes (Tabla 9).</w:t>
      </w:r>
    </w:p>
    <w:p xmlns:a="http://schemas.openxmlformats.org/drawingml/2006/main" xmlns:pic="http://schemas.openxmlformats.org/drawingml/2006/picture">
      <w:pPr>
        <w:pStyle w:val="Heading1"/>
        <w:pageBreakBefore/>
      </w:pPr>
      <w:bookmarkStart w:id="158" w:name="_Toc_anB"/>
      <w:r>
        <w:t xml:space="preserve">Anexo B. Glosario</w:t>
      </w:r>
      <w:bookmarkEnd w:id="158"/>
    </w:p>
    <w:p xmlns:a="http://schemas.openxmlformats.org/drawingml/2006/main" xmlns:pic="http://schemas.openxmlformats.org/drawingml/2006/picture">
      <w:pPr/>
      <w:r>
        <w:t xml:space="preserve">Términos técnicos ajenos a la estadística que aparecen en el informe.</w:t>
      </w:r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59" w:name="_Toc_tabB1"/>
      <w:r>
        <w:rPr>
          <w:vanish/>
        </w:rPr>
        <w:fldChar w:fldCharType="begin"/>
      </w:r>
      <w:r>
        <w:rPr>
          <w:vanish/>
        </w:rPr>
        <w:instrText xml:space="preserve"> TC "Tabla B1. Glosario de términos de redes, seguridad y software"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t>B1</w:t>
      </w:r>
      <w:r>
        <w:rPr>
          <w:b/>
          <w:bCs/>
        </w:rPr>
        <w:t xml:space="preserve">.</w:t>
      </w:r>
      <w:r>
        <w:t xml:space="preserve"> </w:t>
      </w:r>
      <w:r>
        <w:t xml:space="preserve">Glosario de términos de redes, seguridad y software</w:t>
      </w:r>
      <w:bookmarkEnd w:id="159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2517"/>
        <w:gridCol w:w="6553"/>
      </w:tblGrid>
      <w:tr>
        <w:trPr>
          <w:cantSplit/>
          <w:tblHeader/>
        </w:trPr>
        <w:tc>
          <w:tcPr>
            <w:tcW w:w="251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w="6553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Flujo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Una conversación entre dos equipos: el conjunto de mensajes que intercambian durante una conexión. Es la unidad de análisis (una fila).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Origen / destino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El equipo que inicia la conversación y el que responde. En los nombres, el prefijo s indica lo que envía el origen y d, lo que devuelve el destino.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Paquete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Cada mensaje en que se divide la información enviada por la red.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Byte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Unidad de tamaño de la información: 1 byte equivale aproximadamente a un carácter de texto; 1 MB, a un millón de bytes.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Protocolo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Reglas que siguen dos equipos para comunicarse. TCP establece una conexión y confirma cada envío; UDP envía sin establecer conexión ni confirmar.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Saludo TCP (SYN, SYN-ACK)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Los mensajes con que TCP abre una conexión: el origen pide conectarse (SYN) y el destino acepta (SYN-ACK).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Estado de la conexión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Cómo terminó la conversación. FIN: se cerró normalmente. INT: quedó incompleta, sin respuesta. CON: hubo ida y vuelta entre los dos equipos, pero la conexión no se cerró formalmente; es lo típico de UDP (por ejemplo, una consulta DNS), que no tiene un paso de cierre. En “CON y otros” se suman dos estados raros: REQ (pedido todavía sin respuesta) y RST (conexión cortada de golpe).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Servicio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La aplicación que usa el flujo: HTTP (páginas web), DNS (traducir nombres como ucc.edu.ar a direcciones numéricas) u otros. “Ninguno” indica que no se identificó un servicio.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Puerto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Número que identifica a qué servicio de un equipo va dirigido un mensaje, como el número de departamento dentro de un edificio.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Jitter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Variabilidad del tiempo entre paquetes: cuánto se aparta el ritmo de envío de ser regular.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Exploits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Ataques que aprovechan una falla conocida de un programa.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Fuzzers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Ataques que envían datos al azar o malformados para que un programa falle.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Reconnaissance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Exploración previa a un ataque: revisar qué equipos y servicios están disponibles.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  <w:keepNext/>
            </w:pPr>
            <w:r>
              <w:t xml:space="preserve">Otros ataques</w:t>
            </w:r>
          </w:p>
        </w:tc>
        <w:tc>
          <w:tcPr>
            <w:tcW w:w="6553" w:type="dxa"/>
          </w:tcPr>
          <w:p>
            <w:pPr>
              <w:pStyle w:val="TablaTexto"/>
              <w:keepNext/>
            </w:pPr>
            <w:r>
              <w:t xml:space="preserve">Seis tipos poco frecuentes agrupados: DoS (saturar un servicio para dejarlo inaccesible), Generic, Backdoor, Shellcode, Worms y Analysis.</w:t>
            </w:r>
          </w:p>
        </w:tc>
      </w:tr>
      <w:tr>
        <w:trPr>
          <w:cantSplit/>
        </w:trPr>
        <w:tc>
          <w:tcPr>
            <w:tcW w:w="2517" w:type="dxa"/>
          </w:tcPr>
          <w:p>
            <w:pPr>
              <w:pStyle w:val="TablaTexto"/>
            </w:pPr>
            <w:r>
              <w:t xml:space="preserve">Semilla (set.seed)</w:t>
            </w:r>
          </w:p>
        </w:tc>
        <w:tc>
          <w:tcPr>
            <w:tcW w:w="6553" w:type="dxa"/>
          </w:tcPr>
          <w:p>
            <w:pPr>
              <w:pStyle w:val="TablaTexto"/>
            </w:pPr>
            <w:r>
              <w:t xml:space="preserve">Número que fija los pasos aleatorios del cálculo, como los centros iniciales de k-means, para que al repetirlo se obtenga el mismo resultado.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  <w:pageBreakBefore/>
      </w:pPr>
      <w:bookmarkStart w:id="160" w:name="_Toc_anC"/>
      <w:r>
        <w:t xml:space="preserve">Anexo C. Elección de la cantidad de grupos</w:t>
      </w:r>
      <w:bookmarkEnd w:id="160"/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61" w:name="_Toc_tabC1"/>
      <w:r>
        <w:rPr>
          <w:vanish/>
        </w:rPr>
        <w:fldChar w:fldCharType="begin"/>
      </w:r>
      <w:r>
        <w:rPr>
          <w:vanish/>
        </w:rPr>
        <w:instrText xml:space="preserve"> TC "Tabla C1. Suma de cuadrados dentro de grupos y silhouette promedio según k"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t>C1</w:t>
      </w:r>
      <w:r>
        <w:rPr>
          <w:b/>
          <w:bCs/>
        </w:rPr>
        <w:t xml:space="preserve">.</w:t>
      </w:r>
      <w:r>
        <w:t xml:space="preserve"> </w:t>
      </w:r>
      <w:r>
        <w:t xml:space="preserve">Suma de cuadrados dentro de grupos y silhouette promedio según k (en negrita, el k elegido)</w:t>
      </w:r>
      <w:bookmarkEnd w:id="161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1822"/>
        <w:gridCol w:w="2307"/>
        <w:gridCol w:w="2477"/>
        <w:gridCol w:w="2464"/>
      </w:tblGrid>
      <w:tr>
        <w:trPr>
          <w:cantSplit/>
          <w:tblHeader/>
        </w:trPr>
        <w:tc>
          <w:tcPr>
            <w:tcW w:w="1822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k</w:t>
            </w:r>
          </w:p>
        </w:tc>
        <w:tc>
          <w:tcPr>
            <w:tcW w:w="230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Suma de cuadrados (k-means)</w:t>
            </w:r>
          </w:p>
        </w:tc>
        <w:tc>
          <w:tcPr>
            <w:tcW w:w="2477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Silhouette Ward</w:t>
            </w:r>
          </w:p>
        </w:tc>
        <w:tc>
          <w:tcPr>
            <w:tcW w:w="2464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Silhouette k-means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aTexto"/>
              <w:keepNext/>
            </w:pPr>
            <w:r>
              <w:t xml:space="preserve">2</w:t>
            </w:r>
          </w:p>
        </w:tc>
        <w:tc>
          <w:tcPr>
            <w:tcW w:w="2307" w:type="dxa"/>
          </w:tcPr>
          <w:p>
            <w:pPr>
              <w:pStyle w:val="TablaTexto"/>
              <w:keepNext/>
            </w:pPr>
            <w:r>
              <w:t xml:space="preserve">41.918</w:t>
            </w:r>
          </w:p>
        </w:tc>
        <w:tc>
          <w:tcPr>
            <w:tcW w:w="2477" w:type="dxa"/>
          </w:tcPr>
          <w:p>
            <w:pPr>
              <w:pStyle w:val="TablaTexto"/>
              <w:keepNext/>
            </w:pPr>
            <w:r>
              <w:t xml:space="preserve">0,319</w:t>
            </w:r>
          </w:p>
        </w:tc>
        <w:tc>
          <w:tcPr>
            <w:tcW w:w="2464" w:type="dxa"/>
          </w:tcPr>
          <w:p>
            <w:pPr>
              <w:pStyle w:val="TablaTexto"/>
              <w:keepNext/>
            </w:pPr>
            <w:r>
              <w:t xml:space="preserve">0,328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aTexto"/>
              <w:keepNext/>
            </w:pPr>
            <w:r>
              <w:t xml:space="preserve">3</w:t>
            </w:r>
          </w:p>
        </w:tc>
        <w:tc>
          <w:tcPr>
            <w:tcW w:w="2307" w:type="dxa"/>
          </w:tcPr>
          <w:p>
            <w:pPr>
              <w:pStyle w:val="TablaTexto"/>
              <w:keepNext/>
            </w:pPr>
            <w:r>
              <w:t xml:space="preserve">34.422</w:t>
            </w:r>
          </w:p>
        </w:tc>
        <w:tc>
          <w:tcPr>
            <w:tcW w:w="2477" w:type="dxa"/>
          </w:tcPr>
          <w:p>
            <w:pPr>
              <w:pStyle w:val="TablaTexto"/>
              <w:keepNext/>
            </w:pPr>
            <w:r>
              <w:t xml:space="preserve">0,310</w:t>
            </w:r>
          </w:p>
        </w:tc>
        <w:tc>
          <w:tcPr>
            <w:tcW w:w="2464" w:type="dxa"/>
          </w:tcPr>
          <w:p>
            <w:pPr>
              <w:pStyle w:val="TablaTexto"/>
              <w:keepNext/>
            </w:pPr>
            <w:r>
              <w:t xml:space="preserve">0,302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2307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27.700</w:t>
            </w:r>
          </w:p>
        </w:tc>
        <w:tc>
          <w:tcPr>
            <w:tcW w:w="2477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0,273</w:t>
            </w:r>
          </w:p>
        </w:tc>
        <w:tc>
          <w:tcPr>
            <w:tcW w:w="2464" w:type="dxa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0,327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aTexto"/>
              <w:keepNext/>
            </w:pPr>
            <w:r>
              <w:t xml:space="preserve">5</w:t>
            </w:r>
          </w:p>
        </w:tc>
        <w:tc>
          <w:tcPr>
            <w:tcW w:w="2307" w:type="dxa"/>
          </w:tcPr>
          <w:p>
            <w:pPr>
              <w:pStyle w:val="TablaTexto"/>
              <w:keepNext/>
            </w:pPr>
            <w:r>
              <w:t xml:space="preserve">24.654</w:t>
            </w:r>
          </w:p>
        </w:tc>
        <w:tc>
          <w:tcPr>
            <w:tcW w:w="2477" w:type="dxa"/>
          </w:tcPr>
          <w:p>
            <w:pPr>
              <w:pStyle w:val="TablaTexto"/>
              <w:keepNext/>
            </w:pPr>
            <w:r>
              <w:t xml:space="preserve">0,302</w:t>
            </w:r>
          </w:p>
        </w:tc>
        <w:tc>
          <w:tcPr>
            <w:tcW w:w="2464" w:type="dxa"/>
          </w:tcPr>
          <w:p>
            <w:pPr>
              <w:pStyle w:val="TablaTexto"/>
              <w:keepNext/>
            </w:pPr>
            <w:r>
              <w:t xml:space="preserve">0,329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aTexto"/>
              <w:keepNext/>
            </w:pPr>
            <w:r>
              <w:t xml:space="preserve">6</w:t>
            </w:r>
          </w:p>
        </w:tc>
        <w:tc>
          <w:tcPr>
            <w:tcW w:w="2307" w:type="dxa"/>
          </w:tcPr>
          <w:p>
            <w:pPr>
              <w:pStyle w:val="TablaTexto"/>
              <w:keepNext/>
            </w:pPr>
            <w:r>
              <w:t xml:space="preserve">22.600</w:t>
            </w:r>
          </w:p>
        </w:tc>
        <w:tc>
          <w:tcPr>
            <w:tcW w:w="2477" w:type="dxa"/>
          </w:tcPr>
          <w:p>
            <w:pPr>
              <w:pStyle w:val="TablaTexto"/>
              <w:keepNext/>
            </w:pPr>
            <w:r>
              <w:t xml:space="preserve">0,318</w:t>
            </w:r>
          </w:p>
        </w:tc>
        <w:tc>
          <w:tcPr>
            <w:tcW w:w="2464" w:type="dxa"/>
          </w:tcPr>
          <w:p>
            <w:pPr>
              <w:pStyle w:val="TablaTexto"/>
              <w:keepNext/>
            </w:pPr>
            <w:r>
              <w:t xml:space="preserve">0,333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aTexto"/>
              <w:keepNext/>
            </w:pPr>
            <w:r>
              <w:t xml:space="preserve">7</w:t>
            </w:r>
          </w:p>
        </w:tc>
        <w:tc>
          <w:tcPr>
            <w:tcW w:w="2307" w:type="dxa"/>
          </w:tcPr>
          <w:p>
            <w:pPr>
              <w:pStyle w:val="TablaTexto"/>
              <w:keepNext/>
            </w:pPr>
            <w:r>
              <w:t xml:space="preserve">20.742</w:t>
            </w:r>
          </w:p>
        </w:tc>
        <w:tc>
          <w:tcPr>
            <w:tcW w:w="2477" w:type="dxa"/>
          </w:tcPr>
          <w:p>
            <w:pPr>
              <w:pStyle w:val="TablaTexto"/>
              <w:keepNext/>
            </w:pPr>
            <w:r>
              <w:t xml:space="preserve">0,246</w:t>
            </w:r>
          </w:p>
        </w:tc>
        <w:tc>
          <w:tcPr>
            <w:tcW w:w="2464" w:type="dxa"/>
          </w:tcPr>
          <w:p>
            <w:pPr>
              <w:pStyle w:val="TablaTexto"/>
              <w:keepNext/>
            </w:pPr>
            <w:r>
              <w:t xml:space="preserve">0,277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aTexto"/>
            </w:pPr>
            <w:r>
              <w:t xml:space="preserve">8</w:t>
            </w:r>
          </w:p>
        </w:tc>
        <w:tc>
          <w:tcPr>
            <w:tcW w:w="2307" w:type="dxa"/>
          </w:tcPr>
          <w:p>
            <w:pPr>
              <w:pStyle w:val="TablaTexto"/>
            </w:pPr>
            <w:r>
              <w:t xml:space="preserve">19.343</w:t>
            </w:r>
          </w:p>
        </w:tc>
        <w:tc>
          <w:tcPr>
            <w:tcW w:w="2477" w:type="dxa"/>
          </w:tcPr>
          <w:p>
            <w:pPr>
              <w:pStyle w:val="TablaTexto"/>
            </w:pPr>
            <w:r>
              <w:t xml:space="preserve">0,257</w:t>
            </w:r>
          </w:p>
        </w:tc>
        <w:tc>
          <w:tcPr>
            <w:tcW w:w="2464" w:type="dxa"/>
          </w:tcPr>
          <w:p>
            <w:pPr>
              <w:pStyle w:val="TablaTexto"/>
            </w:pPr>
            <w:r>
              <w:t xml:space="preserve">0,284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  <w:pageBreakBefore/>
      </w:pPr>
      <w:bookmarkStart w:id="162" w:name="_Toc_anD"/>
      <w:r>
        <w:t xml:space="preserve">Anexo D. Código en R por etapa</w:t>
      </w:r>
      <w:bookmarkEnd w:id="162"/>
    </w:p>
    <w:p xmlns:a="http://schemas.openxmlformats.org/drawingml/2006/main" xmlns:pic="http://schemas.openxmlformats.org/drawingml/2006/picture">
      <w:pPr>
        <w:jc w:val="left"/>
      </w:pPr>
      <w:r>
        <w:t xml:space="preserve">El código completo está en el archivo ejecutable </w:t>
      </w:r>
      <w:r>
        <w:rPr>
          <w:rFonts w:ascii="Consolas" w:hAnsi="Consolas" w:cs="Consolas" w:eastAsia="Consolas"/>
        </w:rPr>
        <w:t xml:space="preserve">Proyecto_Integrador_UNSW-NB15.R</w:t>
      </w:r>
      <w:r>
        <w:t xml:space="preserve">, que se entrega junto con el informe y la base (también está en el repositorio github.com/Maxi49/proyecto-integrador-estadistica-multivariada). Para ejecutarlo basta con dejarlo en la misma carpeta que el Excel </w:t>
      </w:r>
      <w:r>
        <w:rPr>
          <w:rFonts w:ascii="Consolas" w:hAnsi="Consolas" w:cs="Consolas" w:eastAsia="Consolas"/>
        </w:rPr>
        <w:t xml:space="preserve">muestra_estratificada-simulado-de-ataques.xlsx</w:t>
      </w:r>
      <w:r>
        <w:t xml:space="preserve"> y correr </w:t>
      </w:r>
      <w:r>
        <w:rPr>
          <w:rFonts w:ascii="Consolas" w:hAnsi="Consolas" w:cs="Consolas" w:eastAsia="Consolas"/>
        </w:rPr>
        <w:t xml:space="preserve">source("Proyecto_Integrador_UNSW-NB15.R")</w:t>
      </w:r>
      <w:r>
        <w:t xml:space="preserve"> en RStudio o </w:t>
      </w:r>
      <w:r>
        <w:rPr>
          <w:rFonts w:ascii="Consolas" w:hAnsi="Consolas" w:cs="Consolas" w:eastAsia="Consolas"/>
        </w:rPr>
        <w:t xml:space="preserve">Rscript Proyecto_Integrador_UNSW-NB15.R</w:t>
      </w:r>
      <w:r>
        <w:t xml:space="preserve">. El archivo tarda menos de un minuto (la primera vez puede demorar más porque instala los paquetes que falten), imprime en consola las tablas del informe (rotuladas “Tabla n del informe”) y guarda las 11 figuras en </w:t>
      </w:r>
      <w:r>
        <w:rPr>
          <w:rFonts w:ascii="Consolas" w:hAnsi="Consolas" w:cs="Consolas" w:eastAsia="Consolas"/>
        </w:rPr>
        <w:t xml:space="preserve">salidas/figuras/</w:t>
      </w:r>
      <w:r>
        <w:t xml:space="preserve"> con el nombre de su etapa. La semilla es fija (42).</w:t>
      </w:r>
    </w:p>
    <w:p xmlns:a="http://schemas.openxmlformats.org/drawingml/2006/main" xmlns:pic="http://schemas.openxmlformats.org/drawingml/2006/picture">
      <w:pPr>
        <w:pStyle w:val="Caption"/>
        <w:keepNext/>
        <w:spacing w:before="80"/>
      </w:pPr>
      <w:bookmarkStart w:id="163" w:name="_Toc_tabD1"/>
      <w:r>
        <w:rPr>
          <w:vanish/>
        </w:rPr>
        <w:fldChar w:fldCharType="begin"/>
      </w:r>
      <w:r>
        <w:rPr>
          <w:vanish/>
        </w:rPr>
        <w:instrText xml:space="preserve"> TC "Tabla D1. Etapas del archivo ejecutable y lo que produce cada una" \f T </w:instrText>
      </w:r>
      <w:r>
        <w:rPr>
          <w:vanish/>
        </w:rPr>
        <w:fldChar w:fldCharType="end"/>
      </w:r>
      <w:r>
        <w:rPr>
          <w:b/>
          <w:bCs/>
        </w:rPr>
        <w:t xml:space="preserve">Tabla </w:t>
      </w:r>
      <w:r>
        <w:rPr>
          <w:b/>
          <w:bCs/>
        </w:rPr>
        <w:t>D1</w:t>
      </w:r>
      <w:r>
        <w:rPr>
          <w:b/>
          <w:bCs/>
        </w:rPr>
        <w:t xml:space="preserve">.</w:t>
      </w:r>
      <w:r>
        <w:t xml:space="preserve"> </w:t>
      </w:r>
      <w:r>
        <w:t xml:space="preserve">Etapas del archivo ejecutable y lo que produce cada una</w:t>
      </w:r>
      <w:bookmarkEnd w:id="163"/>
    </w:p>
    <w:tbl xmlns:a="http://schemas.openxmlformats.org/drawingml/2006/main" xmlns:pic="http://schemas.openxmlformats.org/drawingml/2006/picture">
      <w:tblPr>
        <w:tblW w:w="9070" w:type="dxa"/>
        <w:tblInd w:w="0" w:type="dxa"/>
        <w:tblBorders>
          <w:top w:val="single" w:sz="8" w:space="0" w:color="000000"/>
          <w:bottom w:val="single" w:sz="8" w:space="0" w:color="000000"/>
          <w:insideH w:val="single" w:sz="4" w:space="0" w:color="BFBFBF"/>
        </w:tblBorders>
        <w:tblLayout w:type="fixed"/>
        <w:tblCellMar>
          <w:top w:w="10" w:type="dxa"/>
          <w:left w:w="80" w:type="dxa"/>
          <w:bottom w:w="10" w:type="dxa"/>
          <w:right w:w="80" w:type="dxa"/>
        </w:tblCellMar>
        <w:tblLook w:val="0420" w:firstRow="1" w:lastRow="0" w:firstColumn="0" w:lastColumn="0" w:noHBand="0" w:noVBand="1"/>
      </w:tblPr>
      <w:tblGrid>
        <w:gridCol w:w="1966"/>
        <w:gridCol w:w="4325"/>
        <w:gridCol w:w="2779"/>
      </w:tblGrid>
      <w:tr>
        <w:trPr>
          <w:cantSplit/>
          <w:tblHeader/>
        </w:trPr>
        <w:tc>
          <w:tcPr>
            <w:tcW w:w="1966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Etapa</w:t>
            </w:r>
          </w:p>
        </w:tc>
        <w:tc>
          <w:tcPr>
            <w:tcW w:w="4325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Contenido</w:t>
            </w:r>
          </w:p>
        </w:tc>
        <w:tc>
          <w:tcPr>
            <w:tcW w:w="2779" w:type="dxa"/>
            <w:tcBorders>
              <w:bottom w:val="single" w:sz="8" w:space="0" w:color="000000"/>
            </w:tcBorders>
            <w:shd w:val="clear" w:color="auto" w:fill="F2F2F2"/>
            <w:vAlign w:val="bottom"/>
          </w:tcPr>
          <w:p>
            <w:pPr>
              <w:pStyle w:val="TablaTexto"/>
              <w:keepNext/>
            </w:pPr>
            <w:r>
              <w:rPr>
                <w:b/>
                <w:bCs/>
              </w:rPr>
              <w:t xml:space="preserve">Figuras y tablas del informe que produce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Bloque 0</w:t>
            </w:r>
          </w:p>
        </w:tc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Paquetes, semilla, rutas y utilidades</w:t>
            </w:r>
          </w:p>
        </w:tc>
        <w:tc>
          <w:tcPr>
            <w:tcW w:w="2779" w:type="dxa"/>
          </w:tcPr>
          <w:p>
            <w:pPr>
              <w:pStyle w:val="TablaTexto"/>
              <w:keepNext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Etapa 0</w:t>
            </w:r>
          </w:p>
        </w:tc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Exploración y preparación: calidad, atípicos, descriptiva, supuestos y variables categóricas</w:t>
            </w:r>
          </w:p>
        </w:tc>
        <w:tc>
          <w:tcPr>
            <w:tcW w:w="2779" w:type="dxa"/>
          </w:tcPr>
          <w:p>
            <w:pPr>
              <w:pStyle w:val="TablaTexto"/>
              <w:keepNext/>
            </w:pPr>
            <w:r>
              <w:t xml:space="preserve">Figuras 1 a 3; Tablas 1, 2 y 9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Etapa 1</w:t>
            </w:r>
          </w:p>
        </w:tc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Análisis de componentes principales (ACP)</w:t>
            </w:r>
          </w:p>
        </w:tc>
        <w:tc>
          <w:tcPr>
            <w:tcW w:w="2779" w:type="dxa"/>
          </w:tcPr>
          <w:p>
            <w:pPr>
              <w:pStyle w:val="TablaTexto"/>
              <w:keepNext/>
            </w:pPr>
            <w:r>
              <w:t xml:space="preserve">Figuras 4 y 5; Tablas 3 y 4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Etapa 2</w:t>
            </w:r>
          </w:p>
        </w:tc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Análisis factorial (AF) y diagnóstico de estimadores</w:t>
            </w:r>
          </w:p>
        </w:tc>
        <w:tc>
          <w:tcPr>
            <w:tcW w:w="2779" w:type="dxa"/>
          </w:tcPr>
          <w:p>
            <w:pPr>
              <w:pStyle w:val="TablaTexto"/>
              <w:keepNext/>
            </w:pPr>
            <w:r>
              <w:t xml:space="preserve">Figura 6; Tablas 5 y 6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Etapa 3</w:t>
            </w:r>
          </w:p>
        </w:tc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Análisis de conglomerados (Ward y k-means)</w:t>
            </w:r>
          </w:p>
        </w:tc>
        <w:tc>
          <w:tcPr>
            <w:tcW w:w="2779" w:type="dxa"/>
          </w:tcPr>
          <w:p>
            <w:pPr>
              <w:pStyle w:val="TablaTexto"/>
              <w:keepNext/>
            </w:pPr>
            <w:r>
              <w:t xml:space="preserve">Figuras 7 a 9; Tablas 7, 8 y C1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pStyle w:val="TablaTexto"/>
              <w:keepNext/>
            </w:pPr>
            <w:r>
              <w:t xml:space="preserve">Etapa 4</w:t>
            </w:r>
          </w:p>
        </w:tc>
        <w:tc>
          <w:tcPr>
            <w:tcW w:w="4325" w:type="dxa"/>
          </w:tcPr>
          <w:p>
            <w:pPr>
              <w:pStyle w:val="TablaTexto"/>
              <w:keepNext/>
            </w:pPr>
            <w:r>
              <w:t xml:space="preserve">Análisis de correspondencias simples y múltiples (ACS y ACM)</w:t>
            </w:r>
          </w:p>
        </w:tc>
        <w:tc>
          <w:tcPr>
            <w:tcW w:w="2779" w:type="dxa"/>
          </w:tcPr>
          <w:p>
            <w:pPr>
              <w:pStyle w:val="TablaTexto"/>
              <w:keepNext/>
            </w:pPr>
            <w:r>
              <w:t xml:space="preserve">Figuras 10 y 11; Tablas 10 y 11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pStyle w:val="TablaTexto"/>
            </w:pPr>
            <w:r>
              <w:t xml:space="preserve">Etapa 6</w:t>
            </w:r>
          </w:p>
        </w:tc>
        <w:tc>
          <w:tcPr>
            <w:tcW w:w="4325" w:type="dxa"/>
          </w:tcPr>
          <w:p>
            <w:pPr>
              <w:pStyle w:val="TablaTexto"/>
            </w:pPr>
            <w:r>
              <w:t xml:space="preserve">Integración de resultados</w:t>
            </w:r>
          </w:p>
        </w:tc>
        <w:tc>
          <w:tcPr>
            <w:tcW w:w="2779" w:type="dxa"/>
          </w:tcPr>
          <w:p>
            <w:pPr>
              <w:pStyle w:val="TablaTexto"/>
            </w:pPr>
            <w:r>
              <w:t xml:space="preserve">Tabla 12</w:t>
            </w:r>
          </w:p>
        </w:tc>
      </w:tr>
    </w:tbl>
    <w:p xmlns:a="http://schemas.openxmlformats.org/drawingml/2006/main" xmlns:pic="http://schemas.openxmlformats.org/drawingml/2006/picture">
      <w:pPr>
        <w:spacing w:before="100"/>
      </w:pPr>
      <w:r>
        <w:t xml:space="preserve">A continuación se reproduce el código del archivo, dividido por sus secciones.</w:t>
      </w:r>
    </w:p>
    <w:p xmlns:a="http://schemas.openxmlformats.org/drawingml/2006/main" xmlns:pic="http://schemas.openxmlformats.org/drawingml/2006/picture">
      <w:pPr>
        <w:pStyle w:val="Heading2"/>
        <w:pageBreakBefore/>
      </w:pPr>
      <w:bookmarkStart w:id="164" w:name="_Toc_d0"/>
      <w:r>
        <w:t xml:space="preserve">D.0 Bloque 0 · Paquetes, semilla, rutas y utilidades</w:t>
      </w:r>
      <w:bookmarkEnd w:id="164"/>
    </w:p>
    <w:p xmlns:a="http://schemas.openxmlformats.org/drawingml/2006/main" xmlns:pic="http://schemas.openxmlformats.org/drawingml/2006/picture">
      <w:pPr>
        <w:pStyle w:val="CodigoR"/>
      </w:pPr>
      <w:r>
        <w:t xml:space="preserve"># =====================================================================================================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PROYECTO INTEGRADOR · ANÁLISIS MULTIVARIADO DE FLUJOS DE RED (BASE UNSW-NB15)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=====================================================================================================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Materia : Estadística Multivariada · Universidad Católica de Córdoba (UCC)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Docente : Prof. Silvana Malpassi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Autores : Maximiliano Gimenez, Lisandro Monti, Ignacio Marinelli, Mateo Camelino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CÓMO EJECUTARLO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1) Poner en UNA misma carpeta este archivo y el Excel "muestra_estratificada-simulado-de-ataques.xlsx".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2) Desde una consola:        Rscript Proyecto_Integrador_UNSW-NB15.R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   Desde RStudio:            abrir el archivo (Reopen with Encoding &gt; UTF-8) y apretar "Source",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                             o bien  source("Proyecto_Integrador_UNSW-NB15.R", encoding = "UTF-8")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Tarda menos de un minuto; la primera vez puede demorar más porque instala los paquetes que falten (requiere internet).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QUÉ PRODUCE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- En la consola: las salidas numéricas que aparecen en el informe, cada una con un encabezado del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  tipo  "== Tabla 3 del informe: autovalores y varianza explicada ==".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- salidas/figuras/figura01_...png a figura11_...png : las 11 figuras del informe.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- salidas/tablas/*.csv : las tablas principales (copia de lo impreso en consola).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ESTRUCTURA (cada etapa se puede leer y correr por separado en RStudio: ver el menú de secciones)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ETAPA 0 · Exploración y preparación (calidad, descriptiva, supuestos)       -&gt; Figuras 1, 2 y 3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ETAPA 1 · Análisis de Componentes Principales (ACP)                           -&gt; Figuras 4 y 5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ETAPA 2 · Análisis Factorial (AF) y diagnóstico de estimadores                -&gt; Figura 6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ETAPA 3 · Análisis de conglomerados (Ward y k-means)                          -&gt; Figuras 7, 8 y 9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ETAPA 4 · Análisis de Correspondencias Simples (ACS) y Múltiples (ACM)        -&gt; Figuras 10 y 11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ETAPA 6 · Integración de resultados (tabla síntesis)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Semilla fija (set.seed(42)): la corrida es reproducible y da siempre las mismas cifras.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=====================================================================================================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BLOQUE 0 · Paquetes, semilla, rutas y utilidades ----------------------------------------------------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Paquetes necesarios. Los que falten se instalan automáticamente desde CRAN.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paquetes &lt;- c("readxl",       # leer el Excel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  "psych",        # KMO, Bartlett, análisis paralelo, AF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  "GPArotation",  # rotaciones oblicuas (diagnóstico del AF)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  "cluster",      # silhouette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  "ca",           # análisis de correspondencias simples y múltiples (ajuste de Greenacre)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  "FactoMineR",   # ACM con variables suplementarias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  "ggplot2", "ggrepel", "patchwork",  # figuras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  "systemfonts")  # detectar la fuente Carlito de las figuras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faltan &lt;- paquetes[!sapply(paquetes, requireNamespace, quietly = TRUE)]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if (length(faltan) &gt; 0)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cat("Instalando paquetes que faltan:", paste(faltan, collapse = ", "), "\n")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install.packages(faltan, repos = "https://cloud.r-project.org")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invisible(lapply(paquetes, library, character.only = TRUE))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options(width = 150, digits = 7)   # ancho de consola para que las tablas no se partan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Semilla: se vuelve a fijar al comienzo de cada etapa (igual que en los scripts por etapa del repositorio).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set.seed(42)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Ubicar la carpeta donde está este archivo. Funciona con Rscript (--file=), con source() y con RStudio;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si no se puede detectar, se usa el directorio de trabajo.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carpeta_del_script &lt;- function()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args &lt;- commandArgs(trailingOnly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 &lt;- sub("^--file=", "", args[grep("^--file=", args)])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if (length(f) &gt; 0) return(dirname(normalizePath(f[1], mustWork = FALSE)))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for (i in rev(seq_len(sys.nframe()))) {           # source("archivo.R")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of &lt;- sys.frame(i)$ofile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if (!is.null(of)) return(dirname(normalizePath(of, mustWork = FALSE)))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if (requireNamespace("rstudioapi", quietly = TRUE) &amp;&amp; rstudioapi::isAvailable()) {  # RStudio (ejecución por partes)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ruta &lt;- tryCatch(rstudioapi::getSourceEditorContext()$path, error = function(e) "")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if (nzchar(ruta)) return(dirname(ruta))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getwd()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nombre_excel &lt;- "muestra_estratificada-simulado-de-ataques.xlsx"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carpeta &lt;- carpeta_del_script()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if (!file.exists(file.path(carpeta, nombre_excel))) carpeta &lt;- getwd()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ruta_excel &lt;- file.path(carpeta, nombre_excel)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if (!file.exists(ruta_excel))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stop("No se encuentra '", nombre_excel, "'. Ponerlo en la misma carpeta que este script (", carpeta, ").")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Carpetas de salida.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dir_figuras &lt;- file.path(carpeta, "salidas", "figuras")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dir_tablas  &lt;- file.path(carpeta, "salidas", "tablas")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dir.create(dir_figuras, recursive = TRUE, showWarnings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dir.create(dir_tablas,  recursive = TRUE, showWarnings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Utilidades de salida: encabezado de consola, guardado de tablas (CSV) y de figuras (PNG).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Lee de vuelta una tabla CSV guardada (las figuras 10 y 11 parten de las tablas guardadas, igual que en el repositorio).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leer_tabla &lt;- function(nombre) read.csv(file.path(dir_tablas, paste0(nombre, ".csv")), fileEncoding = "UTF-8")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 &lt;- function(texto) cat("\n== ", texto, " ==\n", sep = "")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 &lt;- function(x, nombre)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write.csv(x, file.path(dir_tablas, paste0(nombre, ".csv")), row.names = FALSE, fileEncoding = "UTF-8", na = "")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invisible(x)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Figuras del informe: 16 cm de ancho, 300 ppp, fondo blanco.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 &lt;- function(grafico, archivo, alto = 9) ggsave(file.path(dir_figuras, archivo), grafico,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width = 16, height = alto, units = "cm", dpi = 300, bg = "white")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Estilo común de las figuras. Carlito es la fuente del informe; si no está instalada se usa la sans por defecto.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familia &lt;- if ("Carlito" %in% systemfonts::system_fonts()$family) "Carlito" else "sans"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tinta &lt;- "#0b0b0b"; tinta_2 &lt;- "#52514e"; grilla &lt;- "#e4e3df"; neutro &lt;- "#f0efec"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azul &lt;- "#2a78d6"; naranja &lt;- "#eb6834"; rojo &lt;- "#e34948"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theme_set(theme_minimal(base_size = 9, base_family = familia)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theme(panel.grid.minor = element_blank(), panel.grid.major = element_line(colour = grilla, linewidth = .3),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axis.text = element_text(colour = tinta_2), axis.title = element_text(colour = tinta_2),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plot.title = element_text(colour = tinta, face = "bold", size = 10),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strip.text = element_text(colour = tinta, face = "bold"), legend.position = "top",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legend.title = element_blank(), legend.text = element_text(colour = tinta_2)))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Nombres descriptivos de las 12 variables y bloque conceptual (volumen, ritmo, repetición) de cada una.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etiquetas &lt;- c(dur = "Duración (dur)", spkts = "Paquetes enviados (spkts)", sbytes = "Bytes enviados (sbytes)",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dbytes = "Bytes devueltos (dbytes)", sinpkt = "Tiempo entre paquetes (sinpkt)",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sjit = "Irregularidad del ritmo (sjit)", synack = "Demora en aceptar (synack)",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ct_srv_src = "Mismo servicio y origen (ct_srv_src)", ct_srv_dst = "Mismo servicio y destino (ct_srv_dst)",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ct_src_ltm = "Mismo origen (ct_src_ltm)", ct_src_dport_ltm = "Mismo origen y puerto destino (ct_src_dport_ltm)",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ct_dst_sport_ltm = "Mismo destino y puerto origen (ct_dst_sport_ltm)")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bloque &lt;- c(spkts = "Volumen", sbytes = "Volumen", dbytes = "Volumen", dur = "Ritmo", sinpkt = "Ritmo",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sjit = "Ritmo", synack = "Ritmo", ct_srv_src = "Repetición", ct_srv_dst = "Repetición",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ct_src_ltm = "Repetición", ct_src_dport_ltm = "Repetición", ct_dst_sport_ltm = "Repetición")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orden &lt;- names(bloque)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cat("Proyecto Integrador UNSW-NB15 · Estadística Multivariada (UCC)\n")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cat("Carpeta de trabajo:", carpeta, "\n")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cat("R", R.version$major, ".", R.version$minor, " | fuente de las figuras: ", familia, "\n", sep = "")</w:t>
      </w:r>
    </w:p>
    <w:p xmlns:a="http://schemas.openxmlformats.org/drawingml/2006/main" xmlns:pic="http://schemas.openxmlformats.org/drawingml/2006/picture">
      <w:pPr>
        <w:pStyle w:val="Heading2"/>
        <w:pageBreakBefore/>
      </w:pPr>
      <w:bookmarkStart w:id="165" w:name="_Toc_d1"/>
      <w:r>
        <w:t xml:space="preserve">D.1 Etapa 0 · Exploración y preparación</w:t>
      </w:r>
      <w:bookmarkEnd w:id="165"/>
    </w:p>
    <w:p xmlns:a="http://schemas.openxmlformats.org/drawingml/2006/main" xmlns:pic="http://schemas.openxmlformats.org/drawingml/2006/picture">
      <w:pPr>
        <w:pStyle w:val="CodigoR"/>
      </w:pPr>
      <w:r>
        <w:t xml:space="preserve"># ETAPA 0 · Exploración y preparación ----------------------------------------------------------------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Produce: Figura 1 (boxplots), Figura 2 (histogramas antes/después del log), Figura 3 (correlaciones);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      Tablas 1 y 2 del informe, calidad de datos, atípicos y supuestos (determinante, KMO, Bartlett, MSA).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set.seed(42)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0.1 Lectura de la base y diccionario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La hoja "muestra" tiene los 5.000 flujos; la hoja "diccionario" describe cada columna.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base &lt;- read_excel(ruta_excel, sheet = "muestra")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info &lt;- read_excel(ruta_excel, sheet = "diccionario")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info &lt;- info[match(names(base), info$variable), 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stopifnot(!anyNA(info$variable), !anyDuplicated(info$variable))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base_original &lt;- base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diccionario &lt;- data.frame(nombre = info$variable, descripcion = info$descripcion, unidad = info$unidad,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tipo = ifelse(info$tipo %in% c("continua", "conteo"), "numérica", "categórica"))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encabezado("Dimensión de la base (flujos x columnas) y tipo de variable")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print(dim(base))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print(table(diccionario$tipo))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guardar_tabla(diccionario, "diccionario_variables")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Las 12 variables numéricas del análisis: logaritmo de (x + 1) de variables muy asimétricas.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variables_num &lt;- c("log_dur", "log_spkts", "log_sbytes", "log_dbytes", "log_sinpkt", "log_sjit",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"log_synack", "log_ct_srv_src", "log_ct_srv_dst", "log_ct_src_ltm", "log_ct_src_dport_ltm", "log_ct_dst_sport_ltm")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X_num &lt;- as.data.frame(base[variables_num])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stopifnot(all(is.finite(as.matrix(X_num))))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corto &lt;- sub("^log_", "", names(X_num))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0.2 Calidad de los datos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Se revisan faltantes, duplicados y valores incompatibles con la definición de cada variable. No se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corrige ni se elimina nada: los controles solo documentan el estado de la base.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faltantes &lt;- data.frame(variable = names(base), NA_encontrados = colSums(is.na(base)))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faltantes$textos_vacios &lt;- sapply(base, function(x) sum(trimws(as.character(x)) == "", na.rm = TRUE))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columnas_perfil &lt;- setdiff(names(base)[1:45], "id")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columnas_numericas &lt;- names(base)[sapply(base, is.numeric)]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conteos &lt;- info$variable[info$tipo == "conteo"]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valores &lt;- as.matrix(base[columnas_numericas])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calidad &lt;- data.frame(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control = c("Valores NA", "Textos vacíos", "Filas duplicadas", "ID repetidos",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"Perfiles originales duplicados sin id", "Celdas negativas", "Celdas no finitas sin NA",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"Conteos no enteros", "TTL fuera de 0 a 255", "Ventana TCP fuera de 0 a 65535",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"dur = 0 con spkts &gt; 1 (revisar precisión)", "sbytes &lt; spkts",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"Indicadores usa_http/is_sm_ips_ports fuera de 0/1", "is_ftp_login fuera de 0/1",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"label fuera de normal/ataque", "label y attack_cat inconsistentes"),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cantidad = c(sum(is.na(base)), sum(faltantes$textos_vacios), sum(duplicated(base)),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sum(duplicated(base$id)), sum(duplicated(base[columnas_perfil])),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sum(valores &lt; 0, na.rm = TRUE), sum(!is.finite(valores) &amp; !is.na(valores)),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sum(sapply(base[conteos], function(x) sum(abs(x - round(x)) &gt; 1e-8, na.rm = TRUE))),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sum(base$sttl &lt; 0 | base$sttl &gt; 255 | base$dttl &lt; 0 | base$dttl &gt; 255, na.rm = TRUE),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sum(base$swin &lt; 0 | base$swin &gt; 65535 | base$dwin &lt; 0 | base$dwin &gt; 65535, na.rm = TRUE),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sum(base$dur == 0 &amp; base$spkts &gt; 1), sum(base$sbytes &lt; base$spkts),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sum(!base$usa_http %in% c(0, 1)) + sum(!base$is_sm_ips_ports %in% c(0, 1)),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sum(!base$is_ftp_login %in% c(0, 1)), sum(!base$label %in% c("normal", "ataque")),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sum((base$attack_cat == "Normal") != (base$label == "normal"))))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ftp_revision &lt;- base[!base$is_ftp_login %in% c(0, 1), c("id", "is_ftp_login", "ct_ftp_cmd")]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guardar_tabla(faltantes, "faltantes"); guardar_tabla(calidad, "calidad"); guardar_tabla(ftp_revision, "ftp_revision")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encabezado("Calidad de los datos (controles; cantidad = casos que no cumplen)")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print(calidad)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cat("\nFlujo con código FTP fuera de 0/1 (se conserva):\n"); print(as.data.frame(ftp_revision))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0.3 Valores atípicos (criterio de Tukey)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Se usan las bisagras de Tukey (fivenum). Los atípicos NO se eliminan: un valor extremo no demuestra error.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atipicos &lt;- matrix(FALSE, nrow = nrow(base), ncol = length(variables_num))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limites &lt;- data.frame()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(i in seq_along(variables_num))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variable &lt;- variables_num[i]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x &lt;- X_num[[variable]]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cinco &lt;- fivenum(x)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q1 &lt;- cinco[2]; q3 &lt;- cinco[4]; ric &lt;- q3 - q1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inferior &lt;- q1 - 1.5 * ric; superior &lt;- q3 + 1.5 * ric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atipicos[, i] &lt;- x &lt; inferior | x &gt; superior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limites &lt;- rbind(limites, data.frame(variable = variable, q1_tukey = q1, mediana = cinco[3], q3_tukey = q3,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limite_inferior = inferior, limite_superior = superior,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bigote_inferior = min(x[x &gt;= inferior &amp; x &lt;= superior]),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bigote_superior = max(x[x &gt;= inferior &amp; x &lt;= superior]), n_atipicos = sum(atipicos[, i])))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guardar_tabla(limites, "atipicos_limites")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encabezado("Atípicos por variable (límites de Tukey sobre log(x + 1))")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print(limites[, c("variable", "q1_tukey", "q3_tukey", "limite_inferior", "limite_superior", "n_atipicos")],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digits = 3,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cat("\nFlujos con al menos un atípico en las 12 variables:", sum(rowSums(atipicos) &gt; 0),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sprintf("(%.1f %% de %d)\n", 100 * mean(rowSums(atipicos) &gt; 0), nrow(base)))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0.4 Descriptiva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Tabla 1 del informe: resumen de las 12 variables del análisis (en log). El CSV incluye las 47 numéricas.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numericas &lt;- diccionario$nombre[diccionario$tipo == "numérica"]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resumen &lt;- data.frame()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(variable in numericas)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x &lt;- base[[variable]]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q &lt;- quantile(x, c(0, .25, .5, .75, 1), na.rm = TRUE, names = FALSE, type = 7)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resumen &lt;- rbind(resumen, data.frame(variable = variable, media = mean(x, na.rm = TRUE), desvio = sd(x, na.rm = TRUE),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minimo = q[1], q1 = q[2], mediana = q[3], q3 = q[4], maximo = q[5], ceros = sum(x == 0, na.rm = TRUE)))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guardar_tabla(resumen, "resumen_numerico")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1 del informe: variables numéricas del análisis (12 log_)")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print(resumen[resumen$variable %in% variables_num, ], digits = 4,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cat("\n(Ceros: dbytes, synack y sjit tienen ceros estructurales; ver columna 'ceros'.)\n")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categoricas &lt;- diccionario$nombre[diccionario$tipo == "categórica"]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frecuencias &lt;- data.frame()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(variable in categoricas)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tabla_f &lt;- table(base[[variable]], useNA = "ifany")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frecuencias &lt;- rbind(frecuencias, data.frame(variable = variable, categoria = names(tabla_f),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frecuencia = as.integer(tabla_f), porcentaje = 100 * as.integer(tabla_f) / nrow(base)))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guardar_tabla(frecuencias, "frecuencias_categoricas")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encabezado("Composición de la muestra: tipo de tráfico y etiqueta")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print(frecuencias[frecuencias$variable %in% c("tipo_trafico", "label"), ], row.names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Tabla 2 del informe: correlación de Pearson de cada variable log_ con ser ataque (1) o normal (0).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ataque &lt;- as.numeric(base$label == "ataque")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cor_ataque &lt;- data.frame(variable = variables_num, r = sapply(X_num, function(x) cor(x, ataque)),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 = sapply(X_num, function(x) cor.test(x, ataque)$p.value), row.names = NULL)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guardar_tabla(cor_ataque, "correlacion_con_ataque")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2 del informe: correlación de cada variable con ser ataque")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print(cor_ataque[order(cor_ataque$r), ], digits = 3, row.names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0.5 Supuestos del análisis multivariado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Correlaciones, determinante, KMO (adecuación muestral), MSA por variable y test de Bartlett (esfericidad).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correlaciones &lt;- cor(X_num, method = "pearson")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kmo &lt;- KMO(correlaciones)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bartlett &lt;- cortest.bartlett(correlaciones, n = nrow(X_num))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msa &lt;- data.frame(variable = names(kmo$MSAi), msa = as.numeric(kmo$MSAi))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piloto &lt;- data.frame(determinante = det(correlaciones), kmo_global = kmo$MSA, msa_minima = min(kmo$MSAi),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bartlett_chi2 = bartlett$chisq, bartlett_gl = bartlett$df, bartlett_p = bartlett$p.value)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guardar_tabla(data.frame(variable = rownames(correlaciones), correlaciones), "correlaciones")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guardar_tabla(msa, "msa_por_variable"); guardar_tabla(piloto, "piloto_supuestos")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encabezado("Supuestos (texto de la Etapa 0): determinante, KMO, Bartlett")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cat(sprintf("Determinante de la matriz de correlaciones: %.6f (= %.3e)\n", piloto$determinante, piloto$determinante))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cat(sprintf("KMO global: %.3f | MSA mínima: %.3f (%s)\n", kmo$MSA, min(kmo$MSAi), names(which.min(kmo$MSAi))))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cat(sprintf("Bartlett: chi2 = %.1f, gl = %d, p = %s\n", bartlett$chisq, bartlett$df,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ifelse(bartlett$p.value &lt; .001, "&lt; 0,001", format(bartlett$p.value))))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encabezado("MSA por variable")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print(round(setNames(msa$msa, msa$variable), 3))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stopifnot(kmo$MSA &gt;= .6, min(kmo$MSAi) &gt;= .5, det(correlaciones) &gt; 1e-5, bartlett$p.value &lt; .05)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0.6 Variables categóricas del ACS/ACM (X_cat)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Cuatro categóricas existentes + tres numéricas discretizadas en terciles (los cortes no usan la etiqueta de ataque).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cortes_dur &lt;- unname(quantile(base$dur, c(1/3, 2/3), type = 7))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cortes_bytes &lt;- unname(quantile(base$sbytes, c(1/3, 2/3), type = 7))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X_cat &lt;- as.data.frame(base[c("tipo_trafico", "proto_g", "service_g", "state_g")])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X_cat$respuesta_destino &lt;- ifelse(base$dpkts == 0, "sin_respuesta", "con_respuesta")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X_cat$duracion_banda &lt;- cut(base$dur, c(-Inf, cortes_dur, Inf), labels = c("corta", "media", "larga"))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X_cat$bytes_origen_banda &lt;- cut(base$sbytes, c(-Inf, cortes_bytes, Inf), labels = c("bajos", "medios", "altos"))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X_cat[] &lt;- lapply(X_cat, factor)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frecuencias_cat &lt;- data.frame()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(variable in names(X_cat))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tabla_f &lt;- table(X_cat[[variable]])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frecuencias_cat &lt;- rbind(frecuencias_cat, data.frame(variable = variable, categoria = names(tabla_f),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frecuencia = as.integer(tabla_f), porcentaje = 100 * as.integer(tabla_f) / nrow(base)))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stopifnot(!anyNA(X_cat), all(frecuencias_cat$porcentaje &gt;= 5))   # ninguna categoría con menos de 5 %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guardar_tabla(frecuencias_cat, "frecuencias_X_cat")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9 del informe: variables categóricas y categorías finales")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print(frecuencias_cat, digits = 4,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cat(sprintf("\nCortes en terciles: dur = %.4f y %.4f | sbytes = %.0f y %.0f\n",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cortes_dur[1], cortes_dur[2], cortes_bytes[1], cortes_bytes[2]))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stopifnot(identical(base, base_original))   # la base original no se modificó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0.7 Figuras de la Etapa 0 ----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Figura 1. Boxplots de las 12 variables (log, estandarizadas para compartir eje). Las cajas y los atípicos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usan las bisagras de Tukey (fivenum), igual que la tabla de atípicos de 0.3.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Zbox &lt;- as.data.frame(scale(X_num)); names(Zbox) &lt;- corto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res_caja &lt;- do.call(rbind, lapply(corto, function(v)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x &lt;- Zbox[[v]]; f &lt;- fivenum(x); ric &lt;- f[4] - f[2]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inf &lt;- f[2] - 1.5 * ric; sup &lt;- f[4] + 1.5 * ric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data.frame(nombre = v, minimo = min(x[x &gt;= inf]), q1 = f[2], mediana = f[3], q3 = f[4], maximo = max(x[x &lt;= sup]),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inf = inf, sup = sup)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fuera &lt;- do.call(rbind, lapply(corto, function(v)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r &lt;- res_caja[res_caja$nombre == v, ]; x &lt;- Zbox[[v]]; o &lt;- x[x &lt; r$inf | x &gt; r$sup]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if (length(o)) data.frame(nombre = v, valor = o)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stopifnot(sum(rowSums(sapply(corto, function(v)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r &lt;- res_caja[res_caja$nombre == v, ]; Zbox[[v]] &lt; r$inf | Zbox[[v]] &gt; r$sup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})) &gt; 0) == 1715)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etiquetar &lt;- function(d)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d$variable &lt;- factor(d$nombre, levels = rev(orden), labels = rev(etiquetas[orden]))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d$bloque &lt;- factor(bloque[d$nombre], levels = c("Volumen", "Ritmo", "Repetición")); d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res_caja &lt;- etiquetar(res_caja); fuera &lt;- etiquetar(fuera)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f1 &lt;- ggplot(res_caja, aes(y = variable))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geom_point(data = fuera, aes(x = valor), colour = azul, size = .4, alpha = .35)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geom_boxplot(aes(xmin = minimo, xlower = q1, xmiddle = mediana, xupper = q3, xmax = maximo),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stat = "identity", orientation = "y", width = .55, linewidth = .35, colour = tinta_2, fill = neutro)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facet_grid(bloque ~ ., scales = "free_y", space = "free_y")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labs(x = "Valor estandarizado de log(x + 1)", y = NULL)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guardar_fig(f1, "figura01_etapa0_boxplots.png", 11)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Figura 2. Efecto de la transformación: bytes enviados antes y después del log.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h1 &lt;- ggplot(base, aes(sbytes)) + geom_histogram(bins = 40, fill = azul, colour = "white", linewidth = .2)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scale_x_continuous(labels = function(x) paste(format(x / 1e6, decimal.mark = ","), "MB"))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labs(title = "Escala original", x = "Bytes enviados por el origen (sbytes)", y = "Flujos")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h2 &lt;- ggplot(base, aes(log1p(sbytes))) + geom_histogram(bins = 40, fill = azul, colour = "white", linewidth = .2)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labs(title = "Escala log(x + 1)", x = "log(sbytes + 1)", y = NULL)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guardar_fig(h1 + h2, "figura02_etapa0_histogramas.png", 6.5)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Figura 3. Mapa de calor de correlaciones, ordenado por bloque.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 &lt;- correlaciones; dimnames(R) &lt;- list(corto, corto)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cr &lt;- as.data.frame(as.table(R[orden, orden]))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cr$Var1 &lt;- factor(cr$Var1, levels = orden, labels = etiquetas[orden])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cr$Var2 &lt;- factor(cr$Var2, levels = rev(orden), labels = rev(etiquetas[orden]))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f3 &lt;- ggplot(cr, aes(Var1, Var2, fill = Freq)) + geom_tile(colour = "white", linewidth = .6)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geom_text(aes(label = formatC(Freq, format = "f", digits = 2, decimal.mark = ",")),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family = familia, size = 2.2, colour = tinta)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scale_fill_gradient2(low = azul, mid = neutro, high = rojo, midpoint = 0, limits = c(-1, 1), name = "r")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labs(x = NULL, y = NULL) + theme(axis.text.x = element_text(angle = 40, hjust = 1), panel.grid = element_blank(),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legend.position = "right", legend.title = element_text(colour = tinta_2))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guardar_fig(f3, "figura03_etapa0_correlaciones.png", 13)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cat("\nEtapa 0 terminada: Figuras 1 a 3 guardadas.\n")</w:t>
      </w:r>
    </w:p>
    <w:p xmlns:a="http://schemas.openxmlformats.org/drawingml/2006/main" xmlns:pic="http://schemas.openxmlformats.org/drawingml/2006/picture">
      <w:pPr>
        <w:pStyle w:val="Heading2"/>
        <w:pageBreakBefore/>
      </w:pPr>
      <w:bookmarkStart w:id="166" w:name="_Toc_d2"/>
      <w:r>
        <w:t xml:space="preserve">D.2 Etapa 1 · ACP</w:t>
      </w:r>
      <w:bookmarkEnd w:id="166"/>
    </w:p>
    <w:p xmlns:a="http://schemas.openxmlformats.org/drawingml/2006/main" xmlns:pic="http://schemas.openxmlformats.org/drawingml/2006/picture">
      <w:pPr>
        <w:pStyle w:val="CodigoR"/>
      </w:pPr>
      <w:r>
        <w:t xml:space="preserve"># ETAPA 1 · Análisis de Componentes Principales (ACP) -------------------------------------------------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Produce: Figura 4 (codo con línea de Kaiser), Figura 5 (biplot CP1-CP2);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      Tablas 3 y 4 del informe (autovalores; correlaciones, contribuciones y cos2).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set.seed(42)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1.1 Modelo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Se estandarizan las variables (scale. = TRUE) para que las de mayor varianza no dominen las componentes.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acp &lt;- prcomp(X_num, scale. = TRUE)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acp_sin_escalar &lt;- prcomp(X_num, scale.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autovalores_acp &lt;- acp$sdev^2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tabla_autovalores &lt;- data.frame(componente = seq_along(autovalores_acp), autovalor = autovalores_acp,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porcentaje = 100 * autovalores_acp / sum(autovalores_acp),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acumulado = 100 * cumsum(autovalores_acp) / sum(autovalores_acp))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guardar_tabla(tabla_autovalores, "acp_autovalores")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3 del informe: autovalores y varianza explicada (ACP)")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print(tabla_autovalores, digits = 4,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cat(sprintf("\nSin estandarizar, la CP1 explicaría %.1f %% (con estandarizar: %.1f %%): por eso se estandariza.\n",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100 * acp_sin_escalar$sdev[1]^2 / sum(acp_sin_escalar$sdev^2), tabla_autovalores$porcentaje[1]))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1.2 Cuántas componentes retener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Criterio de Kaiser (autovalor &gt; 1), contrastado con el codo (Figura 4) y con el significado de los ejes.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n_componentes &lt;- sum(autovalores_acp &gt; 1)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cat("Componentes retenidas (autovalor &gt; 1):", n_componentes, "\n")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1.3 Correlaciones, contribuciones y cos2 ----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correlaciones_acp &lt;- cor(X_num, acp$x)     # correlación variable-componente (cargas del ACP estandarizado)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contribuciones_acp &lt;- 100 * acp$rotation^2  # contribución (%) de cada variable a cada componente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cos2_acp &lt;- correlaciones_acp^2             # calidad de representación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nombres_cp &lt;- paste0("PC", seq_len(n_componentes))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guardar_tabla(data.frame(variable = rownames(correlaciones_acp), correlaciones_acp[, 1:n_componentes]), "acp_correlaciones")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guardar_tabla(data.frame(variable = rownames(contribuciones_acp), contribuciones_acp[, 1:n_componentes]), "acp_contribuciones")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guardar_tabla(data.frame(variable = rownames(cos2_acp), cos2_acp[, 1:n_componentes]), "acp_cos2")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4 del informe: correlación de cada variable con las componentes")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print(round(correlaciones_acp[, 1:n_componentes], 3))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encabezado("Contribuciones (%) de cada variable a las componentes")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print(round(contribuciones_acp[, 1:n_componentes], 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4 del informe: cos2 (calidad de representación)")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print(round(cos2_acp[, 1:n_componentes], 3))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cat("\ncos2 acumulado en las componentes retenidas, por variable:\n")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print(round(rowSums(cos2_acp[, 1:n_componentes]), 3))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Puntajes y flujos extremos (distancia ajustada por la varianza de cada componente).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puntajes &lt;- acp$x[, 1:n_componentes, drop = FALSE]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distancia &lt;- rowSums(sweep(puntajes, 2, acp$sdev[1:n_componentes], "/")^2)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extremos &lt;- order(distancia, decreasing = TRUE)[1:3]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guardar_tabla(data.frame(base[extremos, c("id", "tipo_trafico", "dur", "spkts", "dpkts", "sbytes", "dbytes")],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puntajes[extremos, , drop = FALSE], distancia = distancia[extremos]), "acp_extremos")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1.4 Figuras de la Etapa 1 ----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Figura 4. Codo del ACP con la línea de Kaiser.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av &lt;- tabla_autovalores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f4 &lt;- ggplot(av, aes(componente, autovalor)) + geom_hline(yintercept = 1, colour = tinta_2, linetype = "dashed", linewidth = .3)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geom_line(colour = azul, linewidth = .6) + geom_point(colour = azul, size = 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geom_point(data = av[1:3, ], colour = azul, size = 3.2)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annotate("text", x = 11.8, y = 1.18, label = "Kaiser: autovalor = 1", hjust = 1, family = familia, size = 2.8, colour = tinta_2)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scale_x_continuous(breaks = 1:12) + labs(x = "Componente", y = "Autovalor")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guardar_fig(f4, "figura04_etapa1_codo_acp.png", 6.5)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Figura 5. Biplot CP1-CP2: flujos coloreados por tipo de tráfico (todos los puntos, sin recorte), flechas de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variables, centro (media) de cada tipo y los tres flujos extremos del texto rotulados. Las flechas son la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correlación de cada variable con la componente multiplicada por `escala` (se declara al pie de la figura).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pt &lt;- data.frame(puntajes[, 1:2]); names(pt) &lt;- c("CP1", "CP2"); pt$tipo &lt;- base$tipo_trafico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centros &lt;- aggregate(cbind(CP1, CP2) ~ tipo, pt, mean)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carg &lt;- data.frame(variable = rownames(correlaciones_acp), correlaciones_acp[, 1:n_componentes])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carg$etq &lt;- sub(" \\(.*", "", etiquetas[sub("^log_", "", carg$variable)])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escala &lt;- 4.5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carg$x &lt;- escala * carg$PC1; carg$y &lt;- escala * carg$PC2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carg$lado &lt;- ifelse(carg$x &lt; 0, "izq", "der")   # la etiqueta va del lado hacia donde apunta la flecha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Los tres flujos que describe el texto: menor CP1, mayor CP2 y menor CP2 (salen 127446, 97189 y 44648).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i_ext &lt;- c(which.min(pt$CP1), which.max(pt$CP2), which.min(pt$CP2))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extremos_fig &lt;- pt[i_ext, 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extremos_fig$etq &lt;- paste("Flujo", base$id[i_ext])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colores_tipo &lt;- c(Normal = azul, Exploits = naranja, Fuzzers = "#3a9a5b", Reconnaissance = "#8b5cc7", "Otros ataques" = rojo)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xlim5 &lt;- range(c(pt$CP1, carg$x)) + c(-1.2, 2.2); ylim5 &lt;- range(c(pt$CP2, carg$y)) + c(-.5, .6)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f5 &lt;- ggplot(pt, aes(CP1, CP2)) + geom_hline(yintercept = 0, colour = grilla) + geom_vline(xintercept = 0, colour = grilla)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geom_point(aes(colour = tipo), size = .35, alpha = .25)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geom_segment(data = carg, aes(x = 0, y = 0, xend = x, yend = y), colour = tinta,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linewidth = .4, arrow = arrow(length = unit(1.3, "mm")))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geom_text_repel(data = carg[carg$lado == "izq", ], aes(x, y, label = etq), family = familia, size = 2.5,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colour = tinta, hjust = 1, nudge_x = -.35, direction = "y", box.padding = .1, min.segment.length = Inf,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seed = 42, bg.colour = "white", bg.r = .12)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geom_text_repel(data = carg[carg$lado == "der", ], aes(x, y, label = etq), family = familia, size = 2.5,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colour = tinta, hjust = 0, nudge_x = .35, direction = "y", box.padding = .1, min.segment.length = Inf,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seed = 42, bg.colour = "white", bg.r = .12)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geom_point(data = centros, aes(fill = tipo), shape = 21, colour = tinta, size = 3.4, stroke = .5)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geom_point(data = extremos_fig, shape = 21, colour = tinta, fill = NA, size = 3.6, stroke = .7)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geom_text_repel(data = extremos_fig, aes(label = etq), family = familia, size = 2.7, fontface = "bold",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colour = tinta, box.padding = .5, seed = 42)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scale_colour_manual(values = colores_tipo, guide = guide_legend(override.aes = list(size = 2.5, alpha = 1)))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scale_fill_manual(values = colores_tipo, guide = "none")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scale_x_continuous(labels = function(x) format(x, decimal.mark = ","))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scale_y_continuous(labels = function(x) format(x, decimal.mark = ","))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coord_equal(xlim = xlim5, ylim = ylim5)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labs(x = "CP1 (43,3 %): conexiones repetidas ← → conversaciones largas y cargadas",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y = "CP2 (16,9 %): más actividad ↑",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caption = paste0("Puntos: flujos (n = 5.000), sin recorte. Círculos grandes: media de cada tipo de tráfico. 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"Flechas: correlación de la variable con la CP × ", format(escala, decimal.mark = ","), "."))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f5 &lt;- f5 + theme(plot.caption = element_text(colour = tinta_2, size = 7, hjust = 0))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guardar_fig(f5, "figura05_etapa1_biplot.png", 11.5)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cat("\nEtapa 1 terminada: Figuras 4 y 5 guardadas.\n")</w:t>
      </w:r>
    </w:p>
    <w:p xmlns:a="http://schemas.openxmlformats.org/drawingml/2006/main" xmlns:pic="http://schemas.openxmlformats.org/drawingml/2006/picture">
      <w:pPr>
        <w:pStyle w:val="Heading2"/>
        <w:pageBreakBefore/>
      </w:pPr>
      <w:bookmarkStart w:id="167" w:name="_Toc_d3"/>
      <w:r>
        <w:t xml:space="preserve">D.3 Etapa 2 · AF</w:t>
      </w:r>
      <w:bookmarkEnd w:id="167"/>
    </w:p>
    <w:p xmlns:a="http://schemas.openxmlformats.org/drawingml/2006/main" xmlns:pic="http://schemas.openxmlformats.org/drawingml/2006/picture">
      <w:pPr>
        <w:pStyle w:val="CodigoR"/>
      </w:pPr>
      <w:r>
        <w:t xml:space="preserve"># ETAPA 2 · Análisis Factorial (AF) y diagnóstico de estimadores --------------------------------------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Produce: Figura 6 (análisis paralelo); Tabla 5 (matriz de patrón, comunalidades, unicidades), ajuste (RMSEA, TLI)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      y Tabla 6 (comparación ACP-AF); diagnóstico comparativo de estimadores (minres, ml, pa, gls).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set.seed(42)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2.1 Supuestos y número de factores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R_af &lt;- cor(X_num)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kmo_af &lt;- KMO(R_af)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bartlett_af &lt;- cortest.bartlett(R_af, n = nrow(X_num))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stopifnot(det(R_af) &gt; .00001, kmo_af$MSA &gt;= .6, min(kmo_af$MSAi) &gt;= .5, bartlett_af$p.value &lt; .05)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Análisis paralelo: compara los autovalores observados con los de datos aleatorios. fa.parallel devuelve en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fa.sim / pc.sim el PROMEDIO de las 100 simulaciones (por eso la Figura 6 dice "promedio" y no "percentil 95").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options(mc.cores = 1)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paralelo &lt;- suppressWarnings(fa.parallel(X_num, fa = "both", fm = "minres", n.iter = 100, plot = FALSE))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tabla_paralelo &lt;- data.frame(dimension = seq_along(paralelo$fa.values),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factor_observado = paralelo$fa.values, factor_simulado = paralelo$fa.sim,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componente_observado = paralelo$pc.values, componente_simulado = paralelo$pc.sim)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guardar_tabla(tabla_paralelo, "af_paralelo")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encabezado("Análisis paralelo (Figura 6 del informe): autovalores observados vs. datos al azar")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print(round(tabla_paralelo[1:6, ], 3),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cat("El análisis paralelo sugiere", paralelo$nfact, "factores; Kaiser y el paralelo de componentes indican 3.\n")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Se retienen 3 factores: el cuarto autovalor (0,13) apenas supera al azar y solo parte en dos el bloque de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repetición. Se prioriza la simplicidad y la interpretabilidad (decisión del grupo).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n_factores &lt;- 3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2.2 Solución impropia con minres (caso Heywood)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minres &lt;- suppressWarnings(fa(X_num, nfactors = n_factores, fm = "minres", rotate = "varimax", scores = "none"))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diag_minres &lt;- data.frame(metodo = "minres", n_factores = n_factores, comunalidad_max = max(minres$communality),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unicidad_min = min(minres$uniquenesses), heywood = any(minres$uniquenesses &lt; 0))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guardar_tabla(diag_minres, "af_diagnostico_minres")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encabezado("Diagnóstico minres: ¿hay unicidades negativas (caso Heywood)?")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print(diag_minres, row.names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2.3 Estimación final: máxima verosimilitud con varimax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Minres produce una unicidad negativa en log_spkts; ML con unicidad mínima 0,005 permite una solución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descriptiva y se informa que ese parámetro queda en el límite.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af &lt;- factanal(X_num, factors = n_factores, rotation = "varimax", scores = "regression",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control = list(lower = .005))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cargas &lt;- unclass(af$loadings)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colnames(cargas) &lt;- paste0("F", seq_len(n_factores))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patron &lt;- cargas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patron[abs(patron) &lt; .4] &lt;- NA   # se ocultan cargas menores que 0,40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diferencia &lt;- apply(abs(cargas), 1, function(x) { x &lt;- sort(x, decreasing = TRUE); x[1] - x[2] })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n_cargas &lt;- rowSums(abs(cargas) &gt;= .4)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guardar_tabla(data.frame(variable = rownames(cargas), cargas, comunalidad = 1 - af$uniquenesses,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unicidad = af$uniquenesses, diferencia = diferencia, cargas_mayores_040 = n_cargas), "af_cargas_completas")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guardar_tabla(data.frame(variable = rownames(cargas), patron, comunalidad = 1 - af$uniquenesses,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unicidad = af$uniquenesses), "af_patron")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5 del informe: matriz de patrón (cargas &gt;= 0,40), comunalidades (h2) y unicidades (u2)")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print(data.frame(round(patron, 2), h2 = round(1 - af$uniquenesses, 3), u2 = round(af$uniquenesses, 3)), na.print = "")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encabezado("Cargas completas (sin ocultar)")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print(round(cargas, 3))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varianza_af &lt;- data.frame(factor = colnames(cargas), suma_cargas2 = colSums(cargas^2),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porcentaje_total = 100 * colSums(cargas^2) / ncol(X_num), porcentaje_comun = 100 * colSums(cargas^2) / sum(cargas^2))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guardar_tabla(varianza_af, "af_varianza")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encabezado("Varianza explicada por cada factor (Tabla 6 del informe: comparación ACP-AF)")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print(varianza_af, digits = 4,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cat(sprintf("Varianza total explicada por los 3 factores (AF): %.1f %%\n", sum(varianza_af$porcentaje_total)))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cat(sprintf("Varianza acumulada de las 3 primeras componentes (ACP): %.1f %%\n", tabla_autovalores$acumulado[3]))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2.4 Bondad de ajuste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RMSR sobre los residuos; RMSEA y TLI no dependen del n del mismo modo que el chi cuadrado.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residuos &lt;- R_af - tcrossprod(cargas)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rmsr &lt;- sqrt(mean(residuos[lower.tri(residuos)]^2))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 &lt;- nrow(X_num); p &lt;- ncol(X_num)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chi2_nulo &lt;- -(n - 1 - (2 * p + 5) / 6) * log(det(R_af)); gl_nulo &lt;- p * (p - 1) / 2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rmsea &lt;- sqrt(max(unname(af$STATISTIC) - af$dof, 0) / (af$dof * (n - 1)))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tli &lt;- (chi2_nulo / gl_nulo - unname(af$STATISTIC) / af$dof) / (chi2_nulo / gl_nulo - 1)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ajuste_af &lt;- data.frame(n_factores = n_factores, rmsr = rmsr, rmsea = rmsea, tli = tli,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chi2 = unname(af$STATISTIC), gl = af$dof, p_modelo = af$PVAL, comunalidad_min = min(1 - af$uniquenesses),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unicidad_min = min(af$uniquenesses), unicidades_limite = sum(af$uniquenesses &lt;= .00501),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cruces_ambiguos = sum(n_cargas &gt; 1 &amp; diferencia &lt; .2))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guardar_tabla(ajuste_af, "af_ajuste")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encabezado("Ajuste del AF (texto de la Etapa 2): chi2, RMSR, RMSEA, TLI")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print(round(unlist(ajuste_af), 4))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2.5 Diagnóstico comparativo de estimadores (anexo del AF)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Compara 3 vs 4 factores x (minres, ml, pa, gls) x (varimax, oblimin) para justificar la elección de 3 factores y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del estimador ML. Bloques esperados por la hipótesis 1: volumen, tiempo/ritmo, contexto (repetición).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bloque_h1 &lt;- c(log_spkts = "vol", log_sbytes = "vol", log_dbytes = "vol",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log_dur = "tmp", log_sinpkt = "tmp", log_sjit = "tmp", log_synack = "tmp",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log_ct_srv_src = "ctx", log_ct_srv_dst = "ctx", log_ct_src_ltm = "ctx",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log_ct_src_dport_ltm = "ctx", log_ct_dst_sport_ltm = "ctx")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filas &lt;- list()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(k in 3:4) for (m in c("minres", "ml", "pa", "gls")) for (rot in c("varimax", "oblimin"))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aviso &lt;- character()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 &lt;- withCallingHandlers(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tryCatch(fa(X_num, nfactors = k, fm = m, rotate = rot, n.obs = nrow(X_num)), error = function(e) NULL),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warning = function(w) { aviso &lt;&lt;- c(aviso, conditionMessage(w)); invokeRestart("muffleWarning") })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if (is.null(f)) next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 &lt;- unclass(f$loadings); com &lt;- f$communality; uni &lt;- f$uniquenesses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ord &lt;- t(apply(abs(L), 1, sort, decreasing = TRUE)); dif &lt;- ord[, 1] - ord[, 2]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n04 &lt;- rowSums(abs(L) &gt;= .4)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asig &lt;- apply(abs(L), 1, which.max)          # cada variable se asigna al factor de mayor carga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grupos &lt;- split(rownames(L), asig)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puros &lt;- sum(sapply(grupos, function(v) {    # ¿cada factor agrupa exactamente un bloque completo de la H1?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b &lt;- unique(bloque_h1[v]); length(b) == 1 &amp;&amp; length(v) == sum(bloque_h1 == b) }))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prop &lt;- f$Vaccounted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filas[[length(filas) + 1]] &lt;- data.frame(n_factores = k, metodo = m, rotacion = rot,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heywood = any(com &gt;= 1 | uni &lt;= .005), comunalidad_max = max(com), unicidad_min = min(uni),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rmsr = f$rms, tli = f$TLI, rmsea = f$RMSEA[1], pct_var_acum = 100 * tail(prop["Cumulative Var", ], 1),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sin_carga_040 = sum(n04 == 0), cruces_dif_menor_020 = sum(n04 &gt; 1 &amp; dif &lt; .2),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bloques_H1_recuperados = puros, avisos = length(aviso))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comparativo_af &lt;- do.call(rbind, filas)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guardar_tabla(comparativo_af, "af_diagnostico_comparativo")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encabezado("Diagnóstico de estimadores del AF (3 y 4 factores; minres, ml, pa, gls; varimax y oblimin)")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print(format(comparativo_af, digits = 3), row.names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2.6 Figura de la Etapa 2 ----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Figura 6. Análisis paralelo de factores.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par_af &lt;- tabla_paralelo[1:8, 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pa &lt;- rbind(data.frame(dimension = par_af$dimension, valor = par_af$factor_observado, serie = "Datos observados"),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data.frame(dimension = par_af$dimension, valor = par_af$factor_simulado, serie = "Datos al azar (promedio de 100 simulaciones)"))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pa$serie &lt;- factor(pa$serie, levels = c("Datos observados", "Datos al azar (promedio de 100 simulaciones)"))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f6 &lt;- ggplot(pa, aes(dimension, valor, colour = serie)) + geom_line(linewidth = .6) + geom_point(size = 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scale_colour_manual(values = c("Datos observados" = azul, "Datos al azar (promedio de 100 simulaciones)" = naranja))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scale_x_continuous(breaks = 1:8) + labs(x = "Factor", y = "Autovalor")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guardar_fig(f6, "figura06_etapa2_paralelo_af.png", 6.5)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cat("\nEtapa 2 terminada: Figura 6 guardada.\n")</w:t>
      </w:r>
    </w:p>
    <w:p xmlns:a="http://schemas.openxmlformats.org/drawingml/2006/main" xmlns:pic="http://schemas.openxmlformats.org/drawingml/2006/picture">
      <w:pPr>
        <w:pStyle w:val="Heading2"/>
        <w:pageBreakBefore/>
      </w:pPr>
      <w:bookmarkStart w:id="168" w:name="_Toc_d4"/>
      <w:r>
        <w:t xml:space="preserve">D.4 Etapa 3 · Conglomerados</w:t>
      </w:r>
      <w:bookmarkEnd w:id="168"/>
    </w:p>
    <w:p xmlns:a="http://schemas.openxmlformats.org/drawingml/2006/main" xmlns:pic="http://schemas.openxmlformats.org/drawingml/2006/picture">
      <w:pPr>
        <w:pStyle w:val="CodigoR"/>
      </w:pPr>
      <w:r>
        <w:t xml:space="preserve"># ETAPA 3 · Análisis de conglomerados (Ward y k-means) ------------------------------------------------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Produce: Figura 7 (elección de k), Figura 8 (dendrograma de variables), Figura 9 (perfiles de los grupos);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      Tabla C1 (WSS y silhouette), Tablas 7 y 8 (perfil y composición de los grupos), cruces y ARI.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set.seed(42)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3.1 Distancias y jerárquico de Ward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Z &lt;- scale(X_num)                                  # variables estandarizadas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distancias &lt;- dist(Z, method = "euclidean")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jerarquico &lt;- hclust(distancias, method = "ward.D2")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3.2 Elección de k: codo (WSS) y silhouette para k = 2..8 ----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metricas &lt;- data.frame()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modelos_km &lt;- list()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(k in 2:8)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set.seed(42)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km &lt;- kmeans(Z, centers = k, nstart = 25, iter.max = 100)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ward &lt;- cutree(jerarquico, k)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wss_ward &lt;- 0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for (g in 1:k)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grupo &lt;- Z[ward == g, , drop = FALSE]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wss_ward &lt;- wss_ward + sum(sweep(grupo, 2, colMeans(grupo), "-")^2)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metricas &lt;- rbind(metricas, data.frame(k = k, wss_ward = wss_ward, wss_kmeans = km$tot.withinss,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silhouette_ward = mean(silhouette(ward, distancias)[, 3]),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silhouette_kmeans = mean(silhouette(km$cluster, distancias)[, 3])))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modelos_km[[as.character(k)]] &lt;- km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guardar_tabla(metricas, "cluster_metricas")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C1 del informe: suma de cuadrados dentro de grupos y silhouette según k")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print(metricas, digits = 4, row.names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El silhouette casi empata entre k = 2, 4 y 6 (0,328; 0,327; 0,333). k = 2 no separa normal de ataque y k = 6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deja dos grupos con silhouette menor a 0,15. El codo se quiebra en 4 y esa partición se mantiene al repetirla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con los puntajes del ACP. Se retiene k = 4 (decisión del grupo).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k_elegido &lt;- 4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km &lt;- modelos_km[[as.character(k_elegido)]]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ward &lt;- cutree(jerarquico, k_elegido)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guardar_tabla(data.frame(cluster = 1:k_elegido,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silhouette = summary(silhouette(km$cluster, distancias))$clus.avg.widths), "cluster_silhouette")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3.3 Comparación de particiones: Ward vs k-means vs ACP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El ARI (índice de Rand ajustado) compara particiones sin depender de la numeración de las etiquetas.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ari &lt;- function(a, b)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 &lt;- table(a, b)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observado &lt;- sum(choose(t, 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esperado &lt;- sum(choose(rowSums(t), 2)) * sum(choose(colSums(t), 2)) / choose(sum(t), 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maximo &lt;- (sum(choose(rowSums(t), 2)) + sum(choose(colSums(t), 2))) / 2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(observado - esperado) / (maximo - esperado)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Los puntajes del ACP conservan la ponderación por sus autovalores: no se reescalan.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set.seed(42)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km_acp &lt;- kmeans(puntajes, centers = k_elegido, nstart = 25, iter.max = 100)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ward_acp &lt;- cutree(hclust(dist(puntajes), method = "ward.D2"), k_elegido)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cruce_wk &lt;- as.data.frame.matrix(table(Ward = ward, Kmeans = km$cluster))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cruce_km_acp &lt;- as.data.frame.matrix(table(Kmeans_log = km$cluster, Kmeans_ACP = km_acp$cluster))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cruce_w_acp &lt;- as.data.frame.matrix(table(Ward_log = ward, Ward_ACP = ward_acp))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comparaciones &lt;- data.frame(k = k_elegido, ARI_ward_kmeans = ari(ward, km$cluster),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ARI_kmeans_acp = ari(km$cluster, km_acp$cluster), ARI_ward_acp = ari(ward, ward_acp))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guardar_tabla(cruce_wk, "cluster_cruce_ward_kmeans"); guardar_tabla(cruce_km_acp, "cluster_cruce_acp")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guardar_tabla(cruce_w_acp, "cluster_cruce_ward_acp"); guardar_tabla(comparaciones, "cluster_comparaciones")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cruzada Ward (filas) vs k-means (columnas), k = 4")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print(table(Ward = ward, Kmeans = km$cluster))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cruzada k-means sobre las 12 variables vs k-means sobre puntajes del ACP")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print(table(Kmeans_log = km$cluster, Kmeans_ACP = km_acp$cluster))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cruzada Ward sobre las 12 variables vs Ward sobre puntajes del ACP")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print(table(Ward_log = ward, Ward_ACP = ward_acp))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encabezado("Índice de Rand ajustado (ARI)")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print(round(comparaciones, 3), row.names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3.4 Perfil de los grupos de k-means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originales &lt;- sub("^log_", "", names(X_num))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medias_originales &lt;- aggregate(base[originales], list(cluster = km$cluster), mean)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medias_estandarizadas &lt;- aggregate(as.data.frame(Z), list(cluster = km$cluster), mean)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tamanos &lt;- data.frame(cluster = 1:k_elegido, n = as.integer(table(km$cluster)),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porcentaje = 100 * as.integer(table(km$cluster)) / nrow(base))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prop_ataques &lt;- aggregate(as.numeric(base$label == "ataque"), list(cluster = km$cluster), mean)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contexto &lt;- as.data.frame(table(cluster = km$cluster, tipo_trafico = base$tipo_trafico))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guardar_tabla(medias_originales, "cluster_medias_originales")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guardar_tabla(medias_estandarizadas, "cluster_medias_estandarizadas")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guardar_tabla(tamanos, "cluster_tamanos"); guardar_tabla(prop_ataques, "cluster_proporcion_ataques")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guardar_tabla(contexto, "cluster_contexto")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7 del informe: tamaño de cada grupo y % de ataques")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print(data.frame(tamanos, pct_ataques = 100 * prop_ataques$x), digits = 4,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7 del informe: promedios en unidades originales por grupo")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print(medias_originales, digits = 4,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encabezado("Perfil estandarizado de los grupos (Figura 9 del informe)")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print(round(medias_estandarizadas, 2),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8 del informe: composición de cada grupo según tipo de tráfico (% por fila)")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print(round(100 * prop.table(table(Grupo = km$cluster, Tipo = base$tipo_trafico), 1), 1))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3.5 Conglomerados de variables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Distancia euclidiana entre las columnas estandarizadas, Ward.D2: da los tres bloques (volumen, ritmo, repetición).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jerarquico_vars &lt;- hclust(dist(t(Z)), method = "ward.D2")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bloques_vars &lt;- data.frame(variable = names(X_num), bloque = cutree(jerarquico_vars, 3))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guardar_tabla(bloques_vars, "cluster_variables_bloques")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encabezado("Bloques de variables (corte del dendrograma en 3 grupos)")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print(bloques_vars, row.names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Se agregan las asignaciones a la base para las etapas siguientes (la hoja original no se modifica).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base$cluster &lt;- factor(km$cluster)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base$cluster_ward &lt;- factor(ward)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base$cluster_acp &lt;- factor(km_acp$cluster)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guardar_tabla(data.frame(id = base$id, cluster = km$cluster, cluster_ward = ward, cluster_acp = km_acp$cluster),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  "cluster_asignaciones")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3.6 Figuras de la Etapa 3 ----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Los nombres G1 a G4 se asignan por posición: si cambia la numeración de k-means (semilla, versión de R) hay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que revisarlos. Tamaños esperados: Tabla 7 del informe.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stopifnot(identical(as.integer(table(base$cluster)), c(1220L, 2444L, 1121L, 215L)))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Figura 7. Elección de k: dos paneles con su propia escala (no doble eje).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 &lt;- metricas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p_wss &lt;- ggplot(m, aes(k, wss_kmeans)) + geom_line(colour = azul, linewidth = .6) + geom_point(colour = azul, size = 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geom_point(data = m[m$k == 4, ], colour = azul, size = 3.4)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scale_y_continuous(labels = function(x) format(x, big.mark = ".", decimal.mark = ","))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labs(title = "Codo (k-means)", x = "k", y = "Suma de cuadrados dentro de grupos")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ms &lt;- rbind(data.frame(k = m$k, s = m$silhouette_kmeans, metodo = "k-means"), data.frame(k = m$k, s = m$silhouette_ward, metodo = "Ward"))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p_sil &lt;- ggplot(ms, aes(k, s, colour = metodo)) + geom_line(linewidth = .6) + geom_point(size = 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scale_colour_manual(values = c("k-means" = azul, "Ward" = naranja))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scale_y_continuous(limits = c(.2, .36), labels = function(x) format(x, decimal.mark = ","))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labs(title = "Silhouette promedio", x = "k", y = NULL)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guardar_fig(p_wss + p_sil, "figura07_etapa3_eleccion_k.png", 7)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Figura 8. Dendrograma de variables (Ward), con los tres bloques recuadrados.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hv &lt;- jerarquico_vars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hv$labels &lt;- sub(" \\(.*", "", etiquetas[sub("^log_", "", hv$labels)])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png(file.path(dir_figuras, "figura08_etapa3_dendrograma_variables.png"), width = 16, height = 8, units = "cm", res = 300, family = familia)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par(mar = c(1, 4.5, .5, .5), cex = .7, col.axis = tinta_2, fg = tinta_2)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plot(hv, hang = -1, main = "", xlab = "", sub = "", ylab = "Altura (Ward)", col = tinta_2, lwd = .8)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rect.hclust(hv, k = 3, border = c(azul, naranja, "#1baf7a"))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invisible(dev.off())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Figura 9. Medias estandarizadas por grupo (mapa de calor divergente).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me &lt;- medias_estandarizadas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nombres_g &lt;- c("G1 Cortos", "G2 Largos y lentos", "G3 Conversación completa", "G4 Repetitivos sin respuesta")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mh &lt;- data.frame(grupo = rep(nombres_g, times = 12), variable = rep(sub("^log_", "", names(me)[-1]), each = 4),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z = unlist(me[, -1], use.names = FALSE))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mh$variable &lt;- factor(mh$variable, levels = orden, labels = etiquetas[orden])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mh$grupo &lt;- factor(mh$grupo, levels = rev(nombres_g))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f9 &lt;- ggplot(mh, aes(variable, grupo, fill = pmax(pmin(z, 2.5), -2.5))) + geom_tile(colour = "white", linewidth = .6)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geom_text(aes(label = formatC(z, format = "f", digits = 1, decimal.mark = ",")), family = familia, size = 2.4, colour = tinta)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scale_fill_gradient2(low = azul, mid = neutro, high = rojo, midpoint = 0, limits = c(-2.5, 2.5),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name = "Desvíos respecto\ndel promedio")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labs(x = NULL, y = NULL) + theme(axis.text.x = element_text(angle = 40, hjust = 1), panel.grid = element_blank(),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legend.position = "right", legend.title = element_text(colour = tinta_2, size = 8))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guardar_fig(f9, "figura09_etapa3_perfiles_grupos.png", 9)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cat("\nEtapa 3 terminada: Figuras 7 a 9 guardadas.\n")</w:t>
      </w:r>
    </w:p>
    <w:p xmlns:a="http://schemas.openxmlformats.org/drawingml/2006/main" xmlns:pic="http://schemas.openxmlformats.org/drawingml/2006/picture">
      <w:pPr>
        <w:pStyle w:val="Heading2"/>
        <w:pageBreakBefore/>
      </w:pPr>
      <w:bookmarkStart w:id="169" w:name="_Toc_d5"/>
      <w:r>
        <w:t xml:space="preserve">D.5 Etapa 4 · ACS y ACM</w:t>
      </w:r>
      <w:bookmarkEnd w:id="169"/>
    </w:p>
    <w:p xmlns:a="http://schemas.openxmlformats.org/drawingml/2006/main" xmlns:pic="http://schemas.openxmlformats.org/drawingml/2006/picture">
      <w:pPr>
        <w:pStyle w:val="CodigoR"/>
      </w:pPr>
      <w:r>
        <w:t xml:space="preserve"># ETAPA 4 · Análisis de Correspondencias Simples (ACS) y Múltiples (ACM) ------------------------------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Produce: Figura 10 (mapa del ACS), Figura 11 (mapa del ACM); Tabla 10 (estado según tipo de tráfico),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         chi cuadrado y V de Cramér, inercias, y Tabla 11 (contribuciones) con cos2, eta2 y suplementarias.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set.seed(42)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4.1 ACS: tipo de tráfico por estado de la conexión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tabla_acs &lt;- table(X_cat$tipo_trafico, X_cat$state_g)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acs &lt;- ca::ca(tabla_acs, nd = 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chi &lt;- chisq.test(tabla_acs, correct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v_cramer &lt;- sqrt(unname(chi$statistic) / (sum(tabla_acs) * min(nrow(tabla_acs) - 1, ncol(tabla_acs) - 1)))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inercia_acs &lt;- data.frame(dimension = seq_along(acs$sv), autovalor = acs$sv^2, porcentaje = 100 * acs$sv^2 / sum(acs$sv^2))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asociacion_acs &lt;- data.frame(chi2 = unname(chi$statistic), gl = unname(chi$parameter), p = chi$p.value,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cramer_v = v_cramer, frecuencia_esperada_min = min(chi$expected))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guardar_tabla(data.frame(tipo_trafico = rownames(tabla_acs), unclass(tabla_acs)), "acs_contingencia")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guardar_tabla(data.frame(tipo_trafico = rownames(tabla_acs), unclass(100 * prop.table(tabla_acs, 1))), "acs_porcentajes_fila")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guardar_tabla(inercia_acs, "acs_inercia"); guardar_tabla(asociacion_acs, "acs_asociacion")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acs_filas &lt;- data.frame(categoria = rownames(tabla_acs), sweep(acs$rowcoord[, 1:2, drop = FALSE], 2, acs$sv[1:2], "*"))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acs_columnas &lt;- data.frame(categoria = colnames(tabla_acs), sweep(acs$colcoord[, 1:2, drop = FALSE], 2, acs$sv[1:2], "*"))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guardar_tabla(acs_filas, "acs_filas"); guardar_tabla(acs_columnas, "acs_columnas")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de contingencia del ACS: tipo de tráfico x estado de la conexión (frecuencias)")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print(addmargins(tabla_acs))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10 del informe: estado de la conexión según tipo de tráfico (% por fila)")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print(round(100 * prop.table(tabla_acs, 1), 1))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encabezado("Asociación del ACS: chi cuadrado y V de Cramér")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cat(sprintf("chi2 = %.1f, gl = %d, p %s | V de Cramér = %.3f | frecuencia esperada mínima = %.1f\n",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chi$statistic, chi$parameter, ifelse(chi$p.value &lt; .001, "&lt; 0,001", paste("=", format(chi$p.value))),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v_cramer, min(chi$expected)))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encabezado("Inercia (autovalores) de cada dimensión del ACS")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print(round(inercia_acs, 4),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encabezado("Coordenadas principales del ACS (Figura 10 del informe)")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coord_acs &lt;- rbind(acs_filas[-1], acs_columnas[-1]); rownames(coord_acs) &lt;- c(acs_filas$categoria, acs_columnas$categoria)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print(round(coord_acs, 3))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4.2 ACM: seis variables activas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Activas: proto_g, service_g, state_g, respuesta_destino (dpkts = 0) y dos numéricas en terciles (duracion_banda,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bytes_origen_banda). El tipo de tráfico, la etiqueta y el cluster son SUPLEMENTARIOS: no intervienen en los ejes,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así el mapa describe solo cómo es la conexión y después se ve dónde caen los ataques.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activas &lt;- X_cat[, names(X_cat) != "tipo_trafico"]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datos_acm &lt;- data.frame(activas, tipo_trafico = X_cat$tipo_trafico, label = base$label, cluster = base$cluster)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Q &lt;- ncol(activas)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J &lt;- sum(sapply(activas, nlevels))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suplementarias &lt;- (Q + 1):ncol(datos_acm)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acm &lt;- FactoMineR::MCA(datos_acm, quali.sup = suplementarias, ncp = J - Q, graph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ajustado &lt;- ca::mjca(activas, nd = NA, lambda = "adjusted")     # inercia ajustada de Greenacre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indicador &lt;- ca::mjca(activas, nd = NA, lambda = "indicator")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stopifnot(max(abs(indicador$sv^2 - acm$eig[, 1])) &lt; 1e-8)       # ca entrega valores singulares: al cuadrarlos, autovalores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autovalores_acm &lt;- data.frame(dimension = seq_len(nrow(acm$eig)), autovalor = acm$eig[, 1],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porcentaje_crudo = acm$eig[, 2], acumulado_crudo = acm$eig[, 3], autovalor_ajustado = 0, porcentaje_ajustado = 0)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n_aj &lt;- length(ajustado$sv)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autovalores_acm$autovalor_ajustado[1:n_aj] &lt;- ajustado$sv^2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autovalores_acm$porcentaje_ajustado[1:n_aj] &lt;- 100 * ajustado$inertia.e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autovalores_acm$acumulado_ajustado &lt;- cumsum(autovalores_acm$porcentaje_ajustado)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guardar_tabla(autovalores_acm, "acm_autovalores")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resumen_acm &lt;- data.frame(Q = Q, J = J, inercia_cruda = J / Q - 1, umbral = 1 / Q,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ejes_sobre_umbral = sum(acm$eig[, 1] &gt; 1 / Q), inercia_total_ajustada = ajustado$inertia.t,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porcentaje_plano_ajustado = sum(autovalores_acm$porcentaje_ajustado[1:2]))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guardar_tabla(resumen_acm, "acm_resumen")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encabezado("Autovalores del ACM: crudos y ajustados (Greenacre)")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print(round(autovalores_acm[1:6, ], 4), row.names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cat(sprintf("\nQ = %d variables activas, J = %d categorías. Inercia total cruda = J/Q - 1 = %.3f; autovalor medio 1/Q = %.4f\n",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      Q, J, J / Q - 1, 1 / Q))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cat(sprintf("Plano 1-2: %.1f %% de la inercia ajustada (%.1f %% + %.1f %%) y %.1f %% de la cruda (%.1f %% + %.1f %%)\n",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sum(autovalores_acm$porcentaje_ajustado[1:2]), autovalores_acm$porcentaje_ajustado[1], autovalores_acm$porcentaje_ajustado[2],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sum(autovalores_acm$porcentaje_crudo[1:2]), autovalores_acm$porcentaje_crudo[1], autovalores_acm$porcentaje_crudo[2]))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4.3 Contribuciones, cos2, eta2 y suplementarias del ACM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categorias &lt;- ajustado$levelnames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coord &lt;- data.frame(categoria = categorias, acm$var$coord)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contrib &lt;- data.frame(categoria = categorias, acm$var$contrib)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cos2 &lt;- data.frame(categoria = categorias, acm$var$cos2)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guardar_tabla(coord, "acm_categorias_coordenadas"); guardar_tabla(contrib, "acm_categorias_contribuciones")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guardar_tabla(cos2, "acm_categorias_cos2")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guardar_tabla(data.frame(variable = rownames(acm$var$eta2), acm$var$eta2), "acm_eta2")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sup_coord &lt;- data.frame(categoria = rownames(acm$quali.sup$coord), acm$quali.sup$coord)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guardar_tabla(sup_coord, "acm_suplementarias_coordenadas")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guardar_tabla(data.frame(categoria = rownames(acm$quali.sup$cos2), acm$quali.sup$cos2), "acm_suplementarias_cos2")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guardar_tabla(data.frame(variable = rownames(acm$quali.sup$eta2), acm$quali.sup$eta2), "acm_suplementarias_eta2")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umbral_contrib &lt;- 100 / J   # contribución promedio (5,56 %)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encabezado(sprintf("Tabla 11 del informe: categorías con contribución mayor que la promedio (%.2f %%)", umbral_contrib))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(d in 1:2)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sel &lt;- contrib[[paste0("Dim.", d)]] &gt; umbral_contrib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t11 &lt;- data.frame(categoria = categorias[sel], contribucion = contrib[[paste0("Dim.", d)]][sel],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coordenada = coord[[paste0("Dim.", d)]][sel], cos2_dimension = cos2[[paste0("Dim.", d)]][sel],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cos2_plano = cos2$Dim.1[sel] + cos2$Dim.2[sel])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cat(sprintf("\nDimensión %d (%d categorías):\n", d, nrow(t11)))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t11 &lt;- t11[order(-t11$contribucion), ]; rownames(t11) &lt;- NULL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print(t11, digits = 3)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encabezado("Contribuciones (%) de todas las categorías, Dim 1 y Dim 2")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print(round(data.frame(contrib[, c("Dim.1", "Dim.2")], row.names = categorias), 2))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encabezado("cos2 de todas las categorías, Dim 1 y Dim 2")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print(round(data.frame(cos2[, c("Dim.1", "Dim.2")], row.names = categorias), 3))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encabezado("eta2 de las variables activas (razón de correlación con cada dimensión)")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print(round(acm$var$eta2[, 1:2], 3))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encabezado("Variables suplementarias: coordenadas, cos2 y eta2 (Dim 1 y 2)")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print(round(acm$quali.sup$coord[, 1:2], 3))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cat("\ncos2:\n"); print(round(acm$quali.sup$cos2[, 1:2], 3))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cat("\neta2:\n"); print(round(acm$quali.sup$eta2[, 1:2], 3))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## 4.4 Figuras de la Etapa 4 ----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Figura 10. Mapa del ACS: tipo de tráfico (filas) y estado de la conexión (columnas).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fil &lt;- leer_tabla("acs_filas"); fil$rol &lt;- "Tipo de tráfico"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col &lt;- leer_tabla("acs_columnas"); col$rol &lt;- "Estado de la conexión"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col$categoria &lt;- c(CON_otros = "CON y otros", FIN = "FIN (cerrada)", INT = "INT (interrumpida)")[col$categoria]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acs_mapa &lt;- rbind(fil, col)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inercia &lt;- leer_tabla("acs_inercia")$porcentaje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f10 &lt;- ggplot(acs_mapa, aes(Dim1, Dim2, colour = rol)) + geom_hline(yintercept = 0, colour = grilla) + geom_vline(xintercept = 0, colour = grilla)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geom_point(aes(shape = rol), size = 2.6) + geom_text_repel(aes(label = categoria), family = familia, size = 2.9,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colour = tinta, box.padding = .4, show.legend = FALSE)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scale_colour_manual(values = c("Tipo de tráfico" = azul, "Estado de la conexión" = naranja))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scale_shape_manual(values = c("Tipo de tráfico" = 16, "Estado de la conexión" = 17))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labs(x = paste0("Dimensión 1 (", format(round(inercia[1], 1), decimal.mark = ","), " %)"), y = paste0("Dimensión 2 (", format(round(inercia[2], 1), decimal.mark = ","), " %)"))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f10 &lt;- f10 + scale_x_continuous(labels = function(x) format(x, decimal.mark = ","))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scale_y_continuous(labels = function(x) format(x, decimal.mark = ","))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coord_equal()  # misma escala en los dos ejes: las distancias del mapa no se deforman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guardar_fig(f10, "figura10_etapa4_mapa_acs.png", 8)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Figura 11. Mapa del ACM: categorías activas en gris, suplementarias en color.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ca_ &lt;- leer_tabla("acm_categorias_coordenadas")[, c("categoria", "Dim.1", "Dim.2")]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ca_$categoria &lt;- c("proto_g:otros" = "protocolo otros", "proto_g:tcp" = "TCP", "proto_g:udp" = "UDP",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"service_g:dns" = "dns", "service_g:http" = "http", "service_g:ninguno" = "servicio ninguno",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"service_g:otros" = "servicio otros", "state_g:CON_otros" = "CON y otros", "state_g:FIN" = "FIN",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"state_g:INT" = "INT", "respuesta_destino:con_respuesta" = "con respuesta",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"respuesta_destino:sin_respuesta" = "sin respuesta", "duracion_banda:corta" = "duración corta",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"duracion_banda:media" = "duración media", "duracion_banda:larga" = "duración larga",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"bytes_origen_banda:bajos" = "bytes bajos", "bytes_origen_banda:medios" = "bytes medios",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"bytes_origen_banda:altos" = "bytes altos")[ca_$categoria]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stopifnot(!anyNA(ca_$categoria))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ca_$rol &lt;- "Categorías activas"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su &lt;- leer_tabla("acm_suplementarias_coordenadas")[, c("categoria", "Dim.1", "Dim.2")]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su &lt;- su[!su$categoria %in% c("ataque", "normal"), 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su$rol &lt;- ifelse(su$categoria %in% as.character(1:4), "Grupos del clustering", "Tipo de tráfico (suplementaria)")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su$categoria[su$rol == "Grupos del clustering"] &lt;- c("G1 Cortos", "G2 Largos y lentos", "G3 Completa", "G4 Repetitivos")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su$rol[su$rol == "Grupos del clustering"] &lt;- "Grupos del clustering (suplementaria)"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mapa &lt;- rbind(ca_, su)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mapa$rol &lt;- factor(mapa$rol, levels = c("Categorías activas", "Tipo de tráfico (suplementaria)", "Grupos del clustering (suplementaria)"))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aut &lt;- leer_tabla("acm_autovalores")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Las coordenadas son las principales del ACM estándar (matriz indicadora). Los porcentajes de los ejes son la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inercia ajustada de Greenacre (la que cita el texto), declarados junto a la cruda (34,9 % y 16,6 %).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pct &lt;- function(x) format(round(x, 1), decimal.mark = ",")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Dos paneles con la misma escala en ambos ejes: mapa completo y ampliación de la zona central.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zoom &lt;- list(x = c(-.85, .45), y = c(-.6, .8))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en_zoom &lt;- mapa$Dim.1 &gt; zoom$x[1] &amp; mapa$Dim.1 &lt; zoom$x[2] &amp; mapa$Dim.2 &gt; zoom$y[1] &amp; mapa$Dim.2 &lt; zoom$y[2]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base_mapa &lt;- function(d, lim = NULL, tam = 2.5)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ggplot(d, aes(Dim.1, Dim.2, colour = rol, shape = rol)) + geom_hline(yintercept = 0, colour = grilla)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geom_vline(xintercept = 0, colour = grilla) + geom_point(size = 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geom_text_repel(aes(label = categoria), family = familia, size = tam, show.legend = FALSE, max.overlaps = Inf,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box.padding = .6, point.padding = .3, min.segment.length = .1, segment.size = .2, force = 8, max.time = 3, seed = 42,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nudge_x = ifelse(d$categoria == "Otros ataques", .25, 0)) +  # único empuje a mano: el rótulo tocaba el recuadro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scale_colour_manual(values = c("Categorías activas" = tinta_2, "Tipo de tráfico (suplementaria)" = azul,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"Grupos del clustering (suplementaria)" = naranja), drop = FALSE)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scale_shape_manual(values = c(1, 16, 17), drop = FALSE)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scale_x_continuous(labels = function(x) format(x, decimal.mark = ","))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scale_y_continuous(labels = function(x) format(x, decimal.mark = ","))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coord_equal(xlim = lim$x, ylim = lim$y)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p_total &lt;- base_mapa(mapa[!en_zoom, ])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annotate("rect", xmin = zoom$x[1], xmax = zoom$x[2], ymin = zoom$y[1], ymax = zoom$y[2], fill = NA,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colour = tinta_2, linetype = "dashed", linewidth = .3)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annotate("text", x = zoom$x[1], y = zoom$y[2] + .12, label = "ampliada a la derecha", hjust = 0,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family = familia, size = 2.3, colour = tinta_2) +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labs(title = "Mapa completo", x = NULL, y = paste0("Dim 2 (", pct(aut$porcentaje_ajustado[2]), " % ajustada; 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pct(aut$porcentaje_crudo[2]), " % cruda)"))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p_zoom &lt;- base_mapa(mapa[en_zoom, ], zoom) + labs(title = "Ampliación de la zona central", x = NULL, y = NULL)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f11 &lt;- (p_total + p_zoom) + plot_layout(guides = "collect", widths = c(1, 1.1)) &amp;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theme(legend.position = "bottom", legend.text = element_text(size = 8), plot.title = element_text(size = 9))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f11 &lt;- f11 + plot_annotation(caption = paste0("Dim 1 (", pct(aut$porcentaje_ajustado[1]), " % de la inercia ajustada; 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pct(aut$porcentaje_crudo[1]), " % de la cruda): completa ← → a medias. Porcentajes ajustados según Greenacre."),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theme = theme(plot.caption = element_text(colour = tinta_2, size = 8, hjust = .5)))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guardar_fig(f11, "figura11_etapa4_mapa_acm.png", 12)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cat("\nEtapa 4 terminada: Figuras 10 y 11 guardadas.\n")</w:t>
      </w:r>
    </w:p>
    <w:p xmlns:a="http://schemas.openxmlformats.org/drawingml/2006/main" xmlns:pic="http://schemas.openxmlformats.org/drawingml/2006/picture">
      <w:pPr>
        <w:pStyle w:val="Heading2"/>
        <w:pageBreakBefore/>
      </w:pPr>
      <w:bookmarkStart w:id="170" w:name="_Toc_d6"/>
      <w:r>
        <w:t xml:space="preserve">D.6 Etapa 6 · Integración</w:t>
      </w:r>
      <w:bookmarkEnd w:id="170"/>
    </w:p>
    <w:p xmlns:a="http://schemas.openxmlformats.org/drawingml/2006/main" xmlns:pic="http://schemas.openxmlformats.org/drawingml/2006/picture">
      <w:pPr>
        <w:pStyle w:val="CodigoR"/>
      </w:pPr>
      <w:r>
        <w:t xml:space="preserve"># ETAPA 6 · Integración de resultados (tabla síntesis) -------------------------------------------------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# Produce: Tabla 12 del informe (síntesis de las técnicas). Las cifras se toman de los objetos calculados arriba.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set.seed(42)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Evidencia de la hipótesis de asociaciones, con tamaño del efecto (V de Cramér) entre tipo de tráfico y cada variable.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asociaciones &lt;- data.frame()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(variable in c("proto_g", "service_g", "state_g")) {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 &lt;- table(base$tipo_trafico, base[[variable]])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prueba &lt;- chisq.test(t, correct = FALSE)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asociaciones &lt;- rbind(asociaciones, data.frame(variable = variable, chi2 = unname(prueba$statistic),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gl = unname(prueba$parameter), p = prueba$p.value, cramer_v = sqrt(unname(prueba$statistic) / (sum(t) * min(dim(t) - 1)))))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}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guardar_tabla(asociaciones, "integracion_asociaciones")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encabezado("Asociación del tipo de tráfico con protocolo, servicio y estado (chi cuadrado y V de Cramér)")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print(asociaciones, digits = 4, row.names = FALSE)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coma &lt;- function(x, d = 1) trimws(format(round(x, d), nsmall = d, decimal.mark = ","))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ataques &lt;- prop_ataques$x * 100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resumen_grupos &lt;- paste0("G", seq_along(ataques), " ", coma(ataques, 0), " %", collapse = "; 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integracion &lt;- data.frame(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tecnica = c("ACP", "AF", "Clustering", "ACS", "ACM"),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estructura = c(paste0(n_componentes, " componentes; ", coma(tabla_autovalores$acumulado[n_componentes], 2), " % de varianza"),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paste0(n_factores, " factores (máxima verosimilitud, varimax); ", coma(sum(varianza_af$porcentaje_total)), " % de varianza; 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"unicidad de log_spkts en el límite 0,005"),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paste0("Tres bloques de variables y ", k_elegido, " grupos de observaciones (k-means, Ward.D2 como contraste)"),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paste0("Tipo de tráfico por estado; V de Cramér = ", coma(v_cramer, 3)),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paste0("Plano de dos dimensiones; ", coma(sum(autovalores_acm$porcentaje_ajustado[1:2])), " % de inercia ajustada (Greenacre) y 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  coma(sum(autovalores_acm$porcentaje_crudo[1:2])), " % de inercia cruda")),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interpretacion = c("Ejes mixtos: complejidad frente a repetición; volumen y actividad",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"Repetición, ritmo y volumen: reproduce los tres bloques",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paste0("Bloques de variables iguales a los factores; % de ataques por grupo: ", resumen_grupos),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"Normal-CON_otros y Exploits-FIN coinciden con asociaciones del ACM",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  "Conversación a medias frente a completa; los ataques caen del lado incompleto salvo Exploits"))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guardar_tabla(integracion, "integracion_tecnicas")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encabezado("Tabla 12 del informe: síntesis de las técnicas")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for (i in seq_len(nrow(integracion)))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  cat(sprintf("\n[%s]\n  Estructura:     %s\n  Interpretación: %s\n", integracion$tecnica[i], integracion$estructura[i], integracion$interpretacion[i]))</w:t>
      </w: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</w:p>
    <w:p xmlns:a="http://schemas.openxmlformats.org/drawingml/2006/main" xmlns:pic="http://schemas.openxmlformats.org/drawingml/2006/picture">
      <w:pPr>
        <w:pStyle w:val="CodigoR"/>
      </w:pPr>
      <w:r>
        <w:t xml:space="preserve"># RESUMEN FINAL ---------------------------------------------------------------------------------------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encabezado("Archivos generados")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fig_generadas &lt;- list.files(dir_figuras, pattern = "\\.png$")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tab_generadas &lt;- list.files(dir_tablas, pattern = "\\.csv$")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cat("Figuras en", dir_figuras, "(", length(fig_generadas), "):\n")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cat(paste0("  ", fig_generadas), sep = "\n")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cat("\nTablas CSV en", dir_tablas, "(", length(tab_generadas), "):\n")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cat(paste0("  ", tab_generadas), sep = "\n")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stopifnot(length(fig_generadas) == 11)</w:t>
      </w:r>
    </w:p>
    <w:p xmlns:a="http://schemas.openxmlformats.org/drawingml/2006/main" xmlns:pic="http://schemas.openxmlformats.org/drawingml/2006/picture">
      <w:pPr>
        <w:pStyle w:val="CodigoR"/>
      </w:pPr>
      <w:r>
        <w:t xml:space="preserve">cat("\nListo: las 11 figuras y las salidas del informe se generaron sin errores.\n")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nsolas">
    <w:altName w:val="Courier New"/>
    <w:panose1 w:val="020B0609020204030204"/>
    <w:charset w:val="00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•"/>
      <w:lvlJc w:val="left"/>
      <w:pPr>
        <w:ind w:left="720" w:hanging="440"/>
      </w:pPr>
      <w:rPr>
        <w:rFonts w:ascii="Calibri" w:hAnsi="Calibri" w:cs="Calibri"/>
      </w:rPr>
    </w:lvl>
  </w:abstractNum>
  <w:abstractNum w:abstractNumId="91">
    <w:multiLevelType w:val="singleLevel"/>
    <w:lvl w:ilvl="0">
      <w:start w:val="1"/>
      <w:numFmt w:val="decimal"/>
      <w:lvlText w:val="%1."/>
      <w:lvlJc w:val="left"/>
      <w:pPr>
        <w:ind w:left="720" w:hanging="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s-AR" w:eastAsia="es-AR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Normal">
    <w:name w:val="Normal"/>
    <w:qFormat/>
    <w:pPr>
      <w:spacing w:before="0" w:after="0" w:line="360" w:lineRule="auto"/>
      <w:jc w:val="both"/>
    </w:pPr>
    <w:rPr>
      <w:rFonts w:ascii="Calibri" w:hAnsi="Calibri" w:eastAsia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0" w:line="360" w:lineRule="auto"/>
      <w:jc w:val="left"/>
      <w:outlineLvl w:val="0"/>
    </w:pPr>
    <w:rPr>
      <w:rFonts w:ascii="Calibri" w:hAnsi="Calibri" w:eastAsia="Calibri" w:cs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before="60" w:after="0" w:line="360" w:lineRule="auto"/>
      <w:jc w:val="left"/>
      <w:outlineLvl w:val="1"/>
    </w:pPr>
    <w:rPr>
      <w:rFonts w:ascii="Calibri" w:hAnsi="Calibri" w:eastAsia="Calibri" w:cs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keepLines/>
      <w:spacing w:before="120" w:after="0" w:line="360" w:lineRule="auto"/>
      <w:jc w:val="left"/>
      <w:outlineLvl w:val="2"/>
    </w:pPr>
    <w:rPr>
      <w:rFonts w:ascii="Calibri" w:hAnsi="Calibri" w:eastAsia="Calibri" w:cs="Calibri"/>
      <w:b/>
      <w:bCs/>
      <w:color w:val="000000"/>
      <w:sz w:val="22"/>
      <w:szCs w:val="22"/>
    </w:rPr>
  </w:style>
  <w:style w:type="paragraph" w:styleId="Caption">
    <w:name w:val="caption"/>
    <w:basedOn w:val="Normal"/>
    <w:next w:val="Normal"/>
    <w:qFormat/>
    <w:pPr>
      <w:spacing w:before="0" w:after="0" w:line="240" w:lineRule="auto"/>
      <w:jc w:val="both"/>
    </w:pPr>
    <w:rPr>
      <w:rFonts w:ascii="Calibri" w:hAnsi="Calibri" w:eastAsia="Calibri" w:cs="Calibri"/>
      <w:sz w:val="20"/>
      <w:szCs w:val="20"/>
    </w:rPr>
  </w:style>
  <w:style w:type="paragraph" w:customStyle="1" w:styleId="TablaTexto">
    <w:name w:val="Tabla texto"/>
    <w:basedOn w:val="Normal"/>
    <w:qFormat/>
    <w:pPr>
      <w:spacing w:before="0" w:after="0" w:line="240" w:lineRule="auto"/>
      <w:jc w:val="left"/>
    </w:pPr>
    <w:rPr>
      <w:rFonts w:ascii="Calibri" w:hAnsi="Calibri" w:eastAsia="Calibri" w:cs="Calibri"/>
      <w:sz w:val="20"/>
      <w:szCs w:val="20"/>
    </w:rPr>
  </w:style>
  <w:style w:type="paragraph" w:customStyle="1" w:styleId="Hipotesis">
    <w:name w:val="Hipotesis"/>
    <w:basedOn w:val="Normal"/>
    <w:qFormat/>
    <w:pPr>
      <w:ind w:left="480" w:right="480"/>
    </w:pPr>
  </w:style>
  <w:style w:type="paragraph" w:customStyle="1" w:styleId="Referencia">
    <w:name w:val="Referencia"/>
    <w:basedOn w:val="Normal"/>
    <w:qFormat/>
    <w:pPr>
      <w:ind w:left="720" w:hanging="720"/>
    </w:pPr>
  </w:style>
  <w:style w:type="paragraph" w:customStyle="1" w:styleId="TituloIndice">
    <w:name w:val="Titulo de indice"/>
    <w:basedOn w:val="Normal"/>
    <w:next w:val="Normal"/>
    <w:qFormat/>
    <w:pPr>
      <w:keepNext/>
      <w:spacing w:before="0" w:after="120" w:line="360" w:lineRule="auto"/>
      <w:jc w:val="left"/>
    </w:pPr>
    <w:rPr>
      <w:rFonts w:ascii="Calibri" w:hAnsi="Calibri" w:eastAsia="Calibri" w:cs="Calibri"/>
      <w:b/>
      <w:bCs/>
      <w:sz w:val="26"/>
      <w:szCs w:val="26"/>
    </w:rPr>
  </w:style>
  <w:style w:type="paragraph" w:styleId="TOC1">
    <w:name w:val="toc 1"/>
    <w:basedOn w:val="Normal"/>
    <w:next w:val="Normal"/>
    <w:uiPriority w:val="39"/>
    <w:pPr>
      <w:tabs>
        <w:tab w:val="right" w:leader="dot" w:pos="9070"/>
      </w:tabs>
      <w:spacing w:before="0" w:after="30" w:line="240" w:lineRule="auto"/>
      <w:jc w:val="left"/>
    </w:pPr>
  </w:style>
  <w:style w:type="paragraph" w:styleId="TOC2">
    <w:name w:val="toc 2"/>
    <w:basedOn w:val="Normal"/>
    <w:next w:val="Normal"/>
    <w:uiPriority w:val="39"/>
    <w:pPr>
      <w:tabs>
        <w:tab w:val="right" w:leader="dot" w:pos="9070"/>
      </w:tabs>
      <w:spacing w:before="0" w:after="30" w:line="240" w:lineRule="auto"/>
      <w:ind w:left="360"/>
      <w:jc w:val="left"/>
    </w:pPr>
  </w:style>
  <w:style w:type="paragraph" w:styleId="TableofFigures">
    <w:name w:val="table of figures"/>
    <w:basedOn w:val="Normal"/>
    <w:next w:val="Normal"/>
    <w:uiPriority w:val="99"/>
    <w:pPr>
      <w:tabs>
        <w:tab w:val="right" w:leader="dot" w:pos="9070"/>
      </w:tabs>
      <w:spacing w:before="0" w:after="30" w:line="240" w:lineRule="auto"/>
      <w:jc w:val="left"/>
    </w:pPr>
    <w:rPr>
      <w:sz w:val="20"/>
      <w:szCs w:val="20"/>
    </w:rPr>
  </w:style>
  <w:style w:type="paragraph" w:customStyle="1" w:styleId="CodigoR">
    <w:name w:val="Codigo R"/>
    <w:basedOn w:val="Normal"/>
    <w:qFormat/>
    <w:pPr>
      <w:widowControl w:val="0"/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5F5F5"/>
      <w:spacing w:before="0" w:after="0" w:line="240" w:lineRule="auto"/>
      <w:jc w:val="left"/>
    </w:pPr>
    <w:rPr>
      <w:rFonts w:ascii="Consolas" w:hAnsi="Consolas" w:eastAsia="Consolas" w:cs="Consolas"/>
      <w:sz w:val="17"/>
      <w:szCs w:val="17"/>
    </w:rPr>
  </w:style>
  <w:style w:type="paragraph" w:styleId="Footer">
    <w:name w:val="footer"/>
    <w:basedOn w:val="Normal"/>
    <w:pPr>
      <w:spacing w:before="0" w:after="0" w:line="240" w:lineRule="auto"/>
      <w:jc w:val="righ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Integrador de Estadística Multivariada</dc:title>
  <dc:subject>Análisis del tráfico de red (UNSW-NB15)</dc:subject>
  <dc:creator>Gimenez, Monti, Marinelli, Camelino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