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Ficha de Análisis Crítico: Sostenibilidad Organizacional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500" w:before="0" w:lineRule="auto"/>
        <w:jc w:val="center"/>
        <w:rPr/>
      </w:pPr>
      <w:r w:rsidDel="00000000" w:rsidR="00000000" w:rsidRPr="00000000">
        <w:rPr>
          <w:rtl w:val="0"/>
        </w:rPr>
        <w:t xml:space="preserve">Hacia una Gestión de Triple Impacto en el Sector Agroindustrial Regional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60"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Institución:</w:t>
      </w:r>
      <w:r w:rsidDel="00000000" w:rsidR="00000000" w:rsidRPr="00000000">
        <w:rPr>
          <w:rtl w:val="0"/>
        </w:rPr>
        <w:t xml:space="preserve"> AIEP - Universidad Andrés Bello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Carrera:</w:t>
      </w:r>
      <w:r w:rsidDel="00000000" w:rsidR="00000000" w:rsidRPr="00000000">
        <w:rPr>
          <w:rtl w:val="0"/>
        </w:rPr>
        <w:t xml:space="preserve"> Programación y Análisis de Sistemas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Asignatura:</w:t>
      </w:r>
      <w:r w:rsidDel="00000000" w:rsidR="00000000" w:rsidRPr="00000000">
        <w:rPr>
          <w:rtl w:val="0"/>
        </w:rPr>
        <w:t xml:space="preserve"> Sostenibilidad Organizacional (SOO301)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Unidad:</w:t>
      </w:r>
      <w:r w:rsidDel="00000000" w:rsidR="00000000" w:rsidRPr="00000000">
        <w:rPr>
          <w:rtl w:val="0"/>
        </w:rPr>
        <w:t xml:space="preserve"> 2 - Desarrollo Sostenible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Semana:</w:t>
      </w:r>
      <w:r w:rsidDel="00000000" w:rsidR="00000000" w:rsidRPr="00000000">
        <w:rPr>
          <w:rtl w:val="0"/>
        </w:rPr>
        <w:t xml:space="preserve"> 4 - Actividad Práctica Formativa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Integrantes:</w:t>
      </w:r>
      <w:r w:rsidDel="00000000" w:rsidR="00000000" w:rsidRPr="00000000">
        <w:rPr>
          <w:rtl w:val="0"/>
        </w:rPr>
        <w:t xml:space="preserve"> [Nombre del Estudiante] y equipo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Organización Analizada:</w:t>
      </w:r>
      <w:r w:rsidDel="00000000" w:rsidR="00000000" w:rsidRPr="00000000">
        <w:rPr>
          <w:rtl w:val="0"/>
        </w:rPr>
        <w:t xml:space="preserve"> Consorcio Agroindustrial de la Región de Valparaíso (Privada)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Problemática:</w:t>
      </w:r>
      <w:r w:rsidDel="00000000" w:rsidR="00000000" w:rsidRPr="00000000">
        <w:rPr>
          <w:rtl w:val="0"/>
        </w:rPr>
        <w:t xml:space="preserve"> Agotamiento de napas subterráneas y gestión ineficiente de recursos hídricos en zonas de alta exportación frutícola.</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Identificación y Análisis Profundo de la Problemática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problemática central se define como la </w:t>
      </w:r>
      <w:r w:rsidDel="00000000" w:rsidR="00000000" w:rsidRPr="00000000">
        <w:rPr>
          <w:b w:val="1"/>
          <w:bCs w:val="1"/>
          <w:rtl w:val="0"/>
        </w:rPr>
        <w:t xml:space="preserve">explotación insostenible del recurso hídrico</w:t>
      </w:r>
      <w:r w:rsidDel="00000000" w:rsidR="00000000" w:rsidRPr="00000000">
        <w:rPr>
          <w:rtl w:val="0"/>
        </w:rPr>
        <w:t xml:space="preserve"> en la zona central de Chile, específicamente en el valle del Aconcagua. Esta situación no es solo un fenómeno climático (sequía), sino una falla en la gestión organizacional que ha priorizado el crecimiento económico lineal sobre la regeneración ecosistémica [cite: 76, 108].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Dimensión Ambiental: El Agotamiento de la Biosfera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organización ha operado bajo un modelo de extracción que ignora la capacidad de recarga de los acuíferos. Esto ha provocado la salinización de suelos y una pérdida crítica de biodiversidad local. Desde la perspectiva de la gestión ambiental, se observa una ausencia de auditorías ecológicas preventivas y una dependencia excesiva de derechos de agua superficiales ya agotados [cite: 102, 103].</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Dimensión Social: El Conflicto por el Bien Común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impacto social es severo: comunidades rurales aledañas han visto vulnerado su acceso al agua para consumo humano, dependiendo hoy de camiones aljibe. Este escenario genera una ruptura en la licencia social para operar, transformando a la empresa en un actor percibido como una amenaza para la estabilidad regional en lugar de un motor de desarrollo [cite: 112, 113].</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Dimensión Económica: Riesgo de Continuidad del Negocio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Aunque las exportaciones de palta y cítricos han sido históricamente rentables, la escasez hídrica actual pone en riesgo la viabilidad financiera a largo plazo. El costo de extracción a mayores profundidades y las posibles multas regulatorias están erosionando los márgenes de ganancia, demostrando que un negocio que no es ambientalmente responsable termina por no ser económicamente sostenible [cite: 121, 151].</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Relación con Ciudadanía Sostenible y Marcos Éticos Emergentes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resolver esta crisis, la organización debe transitar hacia una </w:t>
      </w:r>
      <w:r w:rsidDel="00000000" w:rsidR="00000000" w:rsidRPr="00000000">
        <w:rPr>
          <w:b w:val="1"/>
          <w:bCs w:val="1"/>
          <w:rtl w:val="0"/>
        </w:rPr>
        <w:t xml:space="preserve">ciudadanía sostenible</w:t>
      </w:r>
      <w:r w:rsidDel="00000000" w:rsidR="00000000" w:rsidRPr="00000000">
        <w:rPr>
          <w:rtl w:val="0"/>
        </w:rPr>
        <w:t xml:space="preserve">, entendida como el conjunto de valores que permiten a una empresa ser co-responsable de los retos planetarios [cite: 85, 87].</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Aplicación de los ODS y Ética Organizacional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caso se vincula directamente con el </w:t>
      </w:r>
      <w:r w:rsidDel="00000000" w:rsidR="00000000" w:rsidRPr="00000000">
        <w:rPr>
          <w:b w:val="1"/>
          <w:bCs w:val="1"/>
          <w:rtl w:val="0"/>
        </w:rPr>
        <w:t xml:space="preserve">ODS 6 (Agua Limpia y Saneamiento)</w:t>
      </w:r>
      <w:r w:rsidDel="00000000" w:rsidR="00000000" w:rsidRPr="00000000">
        <w:rPr>
          <w:rtl w:val="0"/>
        </w:rPr>
        <w:t xml:space="preserve"> y el </w:t>
      </w:r>
      <w:r w:rsidDel="00000000" w:rsidR="00000000" w:rsidRPr="00000000">
        <w:rPr>
          <w:b w:val="1"/>
          <w:bCs w:val="1"/>
          <w:rtl w:val="0"/>
        </w:rPr>
        <w:t xml:space="preserve">ODS 12 (Producción Responsable)</w:t>
      </w:r>
      <w:r w:rsidDel="00000000" w:rsidR="00000000" w:rsidRPr="00000000">
        <w:rPr>
          <w:rtl w:val="0"/>
        </w:rPr>
        <w:t xml:space="preserve">. La ética organizacional dicta que la empresa tiene la responsabilidad moral de ir más allá de la ley [cite: 119]. Integrar estos objetivos permite alinear la estrategia de negocio con metas globales que miden el éxito no solo en pesos, sino en bienestar social [cite: 125].</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El Modelo de la Rosquilla de Kate Raworth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Bajo este modelo, la empresa ha superado el "techo ecológico" en cuanto a uso de agua dulce, mientras que la comunidad local ha caído por debajo del "suelo social" en salud y agua [cite: 130-132]. La recomendación crítica es implementar una gestión que permita a la organización operar dentro del </w:t>
      </w:r>
      <w:r w:rsidDel="00000000" w:rsidR="00000000" w:rsidRPr="00000000">
        <w:rPr>
          <w:b w:val="1"/>
          <w:bCs w:val="1"/>
          <w:rtl w:val="0"/>
        </w:rPr>
        <w:t xml:space="preserve">espacio seguro y justo para la humanidad</w:t>
      </w:r>
      <w:r w:rsidDel="00000000" w:rsidR="00000000" w:rsidRPr="00000000">
        <w:rPr>
          <w:rtl w:val="0"/>
        </w:rPr>
        <w:t xml:space="preserve">, limitando su producción a la capacidad regenerativa de la cuenca [cite: 133].</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Propuestas de Decrecimiento y Economía Circular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propone aplicar el </w:t>
      </w:r>
      <w:r w:rsidDel="00000000" w:rsidR="00000000" w:rsidRPr="00000000">
        <w:rPr>
          <w:b w:val="1"/>
          <w:bCs w:val="1"/>
          <w:rtl w:val="0"/>
        </w:rPr>
        <w:t xml:space="preserve">decrecimiento</w:t>
      </w:r>
      <w:r w:rsidDel="00000000" w:rsidR="00000000" w:rsidRPr="00000000">
        <w:rPr>
          <w:rtl w:val="0"/>
        </w:rPr>
        <w:t xml:space="preserve"> no como una reducción de valor, sino como una reducción racional del consumo de recursos primarios [cite: 135]. Esto se complementa con la </w:t>
      </w:r>
      <w:r w:rsidDel="00000000" w:rsidR="00000000" w:rsidRPr="00000000">
        <w:rPr>
          <w:b w:val="1"/>
          <w:bCs w:val="1"/>
          <w:rtl w:val="0"/>
        </w:rPr>
        <w:t xml:space="preserve">economía circular</w:t>
      </w:r>
      <w:r w:rsidDel="00000000" w:rsidR="00000000" w:rsidRPr="00000000">
        <w:rPr>
          <w:rtl w:val="0"/>
        </w:rPr>
        <w:t xml:space="preserve">, mediante la reutilización del 100% de las aguas grises en los procesos industriales para extender la vida útil del recurso [cite: 140, 141].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Herramientas e Indicadores de Evaluación y Diagnóstico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implementación de un cambio real requiere herramientas técnicas que proporcionen datos para la toma de decisiones proactivas [cite: 165].</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Herramientas de Gestión Propuestas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Herramienta</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Aplicación en el Caso</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Justificación (Por qué usarla)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Análisis PESTEL Sostenible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Evaluar factores ecológicos y legales relacionados con el nuevo Código de Aguas.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Anticipar tendencias regulatorias y riesgos climáticos [cite: 200, 201].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Matriz de Materialidad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Identificar que la "Gestión del Agua" es el tema más relevante para stakeholders internos y externos.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Enfocar recursos donde el impacto es mayor [cite: 166, 167].</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Análisis del Ciclo de Vida (ACV)</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Evaluar el gasto de agua desde la plantación hasta el empaque final.</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Detectar puntos críticos (hotspots) para rediseño de procesos [cite: 194, 195].</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3.2. Comparativa Normativa: ISO 14001 vs. EMAS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la gestión ambiental, se recomienda transitar de una certificación </w:t>
      </w:r>
      <w:r w:rsidDel="00000000" w:rsidR="00000000" w:rsidRPr="00000000">
        <w:rPr>
          <w:b w:val="1"/>
          <w:bCs w:val="1"/>
          <w:rtl w:val="0"/>
        </w:rPr>
        <w:t xml:space="preserve">ISO 14001</w:t>
      </w:r>
      <w:r w:rsidDel="00000000" w:rsidR="00000000" w:rsidRPr="00000000">
        <w:rPr>
          <w:rtl w:val="0"/>
        </w:rPr>
        <w:t xml:space="preserve"> (estándar internacional basado en el ciclo PHVA) hacia el reglamento </w:t>
      </w:r>
      <w:r w:rsidDel="00000000" w:rsidR="00000000" w:rsidRPr="00000000">
        <w:rPr>
          <w:b w:val="1"/>
          <w:bCs w:val="1"/>
          <w:rtl w:val="0"/>
        </w:rPr>
        <w:t xml:space="preserve">EMAS</w:t>
      </w:r>
      <w:r w:rsidDel="00000000" w:rsidR="00000000" w:rsidRPr="00000000">
        <w:rPr>
          <w:rtl w:val="0"/>
        </w:rPr>
        <w:t xml:space="preserve">. Aunque ambos son voluntarios, el EMAS es más exigente ya que obliga a la publicación de una Declaración Ambiental verificada y requiere una participación más rigurosa de los trabajadores [cite: 174-193]. Esto garantizaría la transparencia necesaria para recuperar la confianza de la comunidad.</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Indicadores Clave de Desempeño (KPIs)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Ambiental:</w:t>
      </w:r>
      <w:r w:rsidDel="00000000" w:rsidR="00000000" w:rsidRPr="00000000">
        <w:rPr>
          <w:rtl w:val="0"/>
        </w:rPr>
        <w:t xml:space="preserve"> Huella hídrica total (m³ de agua/tonelada exportada). Meta: Reducción del 25% en 2 años [cite: 149].</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w:t>
      </w:r>
      <w:r w:rsidDel="00000000" w:rsidR="00000000" w:rsidRPr="00000000">
        <w:rPr>
          <w:rtl w:val="0"/>
        </w:rPr>
        <w:t xml:space="preserve"> Índice de satisfacción de la comunidad local medido semestralmente. Meta: 80% de aprobación [cite: 150].</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Económico:</w:t>
      </w:r>
      <w:r w:rsidDel="00000000" w:rsidR="00000000" w:rsidRPr="00000000">
        <w:rPr>
          <w:rtl w:val="0"/>
        </w:rPr>
        <w:t xml:space="preserve"> Porcentaje de inversión en I+D para tecnologías de riego de precisión [cite: 151].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Análisis de Prácticas Sostenibles Implementadas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continuación, se describen las prácticas que la organización debe adoptar para generar un impacto positivo integral [cite: 95].</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Innovación Tecnológica y Riego Inteligente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implementación de sensores de humedad en el suelo conectados a sistemas de inteligencia artificial permite reducir el consumo de agua en un 30-50%. Esta práctica impacta en la dimensión económica (ahorro de energía y agua) y ambiental (preservación de acuíferos) [cite: 98, 105].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Gobernanza y Participación Comunitaria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propone la creación de un </w:t>
      </w:r>
      <w:r w:rsidDel="00000000" w:rsidR="00000000" w:rsidRPr="00000000">
        <w:rPr>
          <w:b w:val="1"/>
          <w:bCs w:val="1"/>
          <w:rtl w:val="0"/>
        </w:rPr>
        <w:t xml:space="preserve">Consejo de Cuenca Participativo</w:t>
      </w:r>
      <w:r w:rsidDel="00000000" w:rsidR="00000000" w:rsidRPr="00000000">
        <w:rPr>
          <w:rtl w:val="0"/>
        </w:rPr>
        <w:t xml:space="preserve"> donde la empresa, pequeños agricultores y el sector público co-creen soluciones de distribución de agua. Esto se alinea con las prácticas de empresas líderes como Danone o Unilever, que empoderan a los trabajadores y comunidades locales para asegurar legitimidad social [cite: 101, 233].</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Regeneración de Ecosistemas y Reforestación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empresa debe invertir en la reforestación de las zonas altas de la cuenca con especies nativas para mejorar la infiltración de agua lluvia. Esto se vincula con la </w:t>
      </w:r>
      <w:r w:rsidDel="00000000" w:rsidR="00000000" w:rsidRPr="00000000">
        <w:rPr>
          <w:b w:val="1"/>
          <w:bCs w:val="1"/>
          <w:rtl w:val="0"/>
        </w:rPr>
        <w:t xml:space="preserve">Gestión Ambiental</w:t>
      </w:r>
      <w:r w:rsidDel="00000000" w:rsidR="00000000" w:rsidRPr="00000000">
        <w:rPr>
          <w:rtl w:val="0"/>
        </w:rPr>
        <w:t xml:space="preserve"> proactiva, transformando a la organización de un ente extractor a uno regenerador [cite: 103].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Conclusión General y Recomendaciones Críticas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sostenibilidad organizacional no es un complemento del negocio, sino su nuevo cimiento [cite: 223]. El caso analizado demuestra que la gestión irresponsable del agua genera una cascada de impactos negativos que eventualmente destruyen el valor económico.</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Hallazgos Principales: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 organización carecía de una visión sistémica, operando en silos que ignoraban los límites planetarios [cite: 230].</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 herramientas de medición (indicadores) son el motor para la mejora continua y la atracción de inversión responsable [cite: 146, 226].</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Recomendaciones para el Triple Impacto:</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Transparencia:</w:t>
      </w:r>
      <w:r w:rsidDel="00000000" w:rsidR="00000000" w:rsidRPr="00000000">
        <w:rPr>
          <w:rtl w:val="0"/>
        </w:rPr>
        <w:t xml:space="preserve"> Adoptar los marcos del </w:t>
      </w:r>
      <w:r w:rsidDel="00000000" w:rsidR="00000000" w:rsidRPr="00000000">
        <w:rPr>
          <w:b w:val="1"/>
          <w:bCs w:val="1"/>
          <w:rtl w:val="0"/>
        </w:rPr>
        <w:t xml:space="preserve">Global Reporting Initiative (GRI)</w:t>
      </w:r>
      <w:r w:rsidDel="00000000" w:rsidR="00000000" w:rsidRPr="00000000">
        <w:rPr>
          <w:rtl w:val="0"/>
        </w:rPr>
        <w:t xml:space="preserve"> para reportar impactos de manera estandarizada y pública [cite: 154].</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Cultura Organizacional:</w:t>
      </w:r>
      <w:r w:rsidDel="00000000" w:rsidR="00000000" w:rsidRPr="00000000">
        <w:rPr>
          <w:rtl w:val="0"/>
        </w:rPr>
        <w:t xml:space="preserve"> Invertir en formación para líderes orientados al triple impacto, siguiendo el ejemplo de organizaciones como Google [cite: 237].</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Resiliencia:</w:t>
      </w:r>
      <w:r w:rsidDel="00000000" w:rsidR="00000000" w:rsidRPr="00000000">
        <w:rPr>
          <w:rtl w:val="0"/>
        </w:rPr>
        <w:t xml:space="preserve"> Diversificar la matriz de producción hacia cultivos con menor demanda hídrica, asegurando la continuidad del empleo en la región [cite: 269, 270].</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Referencias Bibliográficas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AIEP (2025). </w:t>
      </w:r>
      <w:r w:rsidDel="00000000" w:rsidR="00000000" w:rsidRPr="00000000">
        <w:rPr>
          <w:i w:val="1"/>
          <w:iCs w:val="1"/>
          <w:rtl w:val="0"/>
        </w:rPr>
        <w:t xml:space="preserve">Sostenibilidad Organizacional: Apunte de la Semana 4</w:t>
      </w:r>
      <w:r w:rsidDel="00000000" w:rsidR="00000000" w:rsidRPr="00000000">
        <w:rPr>
          <w:rtl w:val="0"/>
        </w:rPr>
        <w:t xml:space="preserve">. Dirección Nacional de Currículum y Evaluación.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 Lab (2022). </w:t>
      </w:r>
      <w:r w:rsidDel="00000000" w:rsidR="00000000" w:rsidRPr="00000000">
        <w:rPr>
          <w:i w:val="1"/>
          <w:iCs w:val="1"/>
          <w:rtl w:val="0"/>
        </w:rPr>
        <w:t xml:space="preserve">About B Corporations</w:t>
      </w:r>
      <w:r w:rsidDel="00000000" w:rsidR="00000000" w:rsidRPr="00000000">
        <w:rPr>
          <w:rtl w:val="0"/>
        </w:rPr>
        <w:t xml:space="preserve">. Recuperado de https://bcorporation.net/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Ellen MacArthur Foundation (2015). </w:t>
      </w:r>
      <w:r w:rsidDel="00000000" w:rsidR="00000000" w:rsidRPr="00000000">
        <w:rPr>
          <w:i w:val="1"/>
          <w:iCs w:val="1"/>
          <w:rtl w:val="0"/>
        </w:rPr>
        <w:t xml:space="preserve">Towards the circular economy: Economic and business rationale for an accelerated transition</w:t>
      </w:r>
      <w:r w:rsidDel="00000000" w:rsidR="00000000" w:rsidRPr="00000000">
        <w:rPr>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ISO (2020). </w:t>
      </w:r>
      <w:r w:rsidDel="00000000" w:rsidR="00000000" w:rsidRPr="00000000">
        <w:rPr>
          <w:i w:val="1"/>
          <w:iCs w:val="1"/>
          <w:rtl w:val="0"/>
        </w:rPr>
        <w:t xml:space="preserve">ISO 14001: Environmental management systems - Requirements with guidance for use</w:t>
      </w:r>
      <w:r w:rsidDel="00000000" w:rsidR="00000000" w:rsidRPr="00000000">
        <w:rPr>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Organización de las Naciones Unidas (2015). </w:t>
      </w:r>
      <w:r w:rsidDel="00000000" w:rsidR="00000000" w:rsidRPr="00000000">
        <w:rPr>
          <w:i w:val="1"/>
          <w:iCs w:val="1"/>
          <w:rtl w:val="0"/>
        </w:rPr>
        <w:t xml:space="preserve">Transformar nuestro mundo: la Agenda 2030 para el Desarrollo Sostenible</w:t>
      </w:r>
      <w:r w:rsidDel="00000000" w:rsidR="00000000" w:rsidRPr="00000000">
        <w:rPr>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Raworth, K. (2017). </w:t>
      </w:r>
      <w:r w:rsidDel="00000000" w:rsidR="00000000" w:rsidRPr="00000000">
        <w:rPr>
          <w:i w:val="1"/>
          <w:iCs w:val="1"/>
          <w:rtl w:val="0"/>
        </w:rPr>
        <w:t xml:space="preserve">Doughnut economics: Seven ways to think like a 21st-century economist</w:t>
      </w:r>
      <w:r w:rsidDel="00000000" w:rsidR="00000000" w:rsidRPr="00000000">
        <w:rPr>
          <w:rtl w:val="0"/>
        </w:rPr>
        <w:t xml:space="preserve">. Random House Business.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