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8"/>
          <w:szCs w:val="48"/>
        </w:rPr>
        <w:t xml:space="preserve">SISTEMA ARDIP</w:t>
      </w:r>
    </w:p>
    <w:p>
      <w:pPr>
        <w:spacing w:after="320"/>
        <w:jc w:val="center"/>
      </w:pPr>
      <w:r>
        <w:rPr>
          <w:color w:val="595959"/>
          <w:sz w:val="28"/>
          <w:szCs w:val="28"/>
        </w:rPr>
        <w:t xml:space="preserve">Sistema de Gestión de Información para Investigaciones Policiales</w:t>
      </w:r>
    </w:p>
    <w:p>
      <w:pPr>
        <w:spacing w:after="60"/>
        <w:jc w:val="center"/>
      </w:pPr>
      <w:r>
        <w:rPr>
          <w:i/>
          <w:iCs/>
          <w:color w:val="595959"/>
          <w:sz w:val="22"/>
          <w:szCs w:val="22"/>
        </w:rPr>
        <w:t xml:space="preserve">Anteproyecto – Diseño funcional del sistema</w:t>
      </w:r>
    </w:p>
    <w:p>
      <w:pPr>
        <w:spacing w:after="40"/>
        <w:jc w:val="center"/>
      </w:pPr>
      <w:r>
        <w:rPr>
          <w:b/>
          <w:bCs/>
          <w:sz w:val="22"/>
          <w:szCs w:val="22"/>
        </w:rPr>
        <w:t xml:space="preserve">Autor: Flores, Maximiliano</w:t>
      </w:r>
    </w:p>
    <w:p>
      <w:pPr>
        <w:spacing w:after="40"/>
        <w:jc w:val="center"/>
      </w:pPr>
      <w:r>
        <w:rPr>
          <w:sz w:val="22"/>
          <w:szCs w:val="22"/>
        </w:rPr>
        <w:t xml:space="preserve">Ámbito de aplicación: Brigada de Investigaciones – Policía de San Juan</w:t>
      </w:r>
    </w:p>
    <w:p>
      <w:pPr>
        <w:spacing w:after="200"/>
        <w:jc w:val="center"/>
      </w:pPr>
      <w:r>
        <w:rPr>
          <w:color w:val="595959"/>
          <w:sz w:val="22"/>
          <w:szCs w:val="22"/>
        </w:rPr>
        <w:t xml:space="preserve">San Juan, octubre de 2025</w:t>
      </w:r>
    </w:p>
    <w:p>
      <w:pPr>
        <w:pBdr>
          <w:bottom w:val="single" w:color="1F3864" w:sz="8"/>
        </w:pBdr>
        <w:spacing w:after="240"/>
      </w:pPr>
    </w:p>
    <w:p>
      <w:pPr>
        <w:pStyle w:val="Heading1"/>
        <w:spacing w:after="160" w:before="320"/>
      </w:pPr>
      <w:r>
        <w:rPr>
          <w:b/>
          <w:bCs/>
          <w:color w:val="1F3864"/>
          <w:sz w:val="28"/>
          <w:szCs w:val="28"/>
        </w:rPr>
        <w:t xml:space="preserve">1. Resumen ejecutivo</w:t>
      </w:r>
    </w:p>
    <w:p>
      <w:pPr>
        <w:spacing w:after="160" w:line="300"/>
        <w:jc w:val="both"/>
      </w:pPr>
      <w:r>
        <w:rPr>
          <w:sz w:val="22"/>
          <w:szCs w:val="22"/>
        </w:rPr>
        <w:t xml:space="preserve">ARDIP es un proyecto de sistema informático concebido desde la propia experiencia del trabajo en brigada, pensado para resolver un problema concreto de la tarea investigativa: la información que se produce en cada actuación queda dispersa, se pierde cuando la causa se cierra y no puede aprovecharse en investigaciones futuras.</w:t>
      </w:r>
    </w:p>
    <w:p>
      <w:pPr>
        <w:spacing w:after="160" w:line="300"/>
        <w:jc w:val="both"/>
      </w:pPr>
      <w:r>
        <w:rPr>
          <w:sz w:val="22"/>
          <w:szCs w:val="22"/>
        </w:rPr>
        <w:t xml:space="preserve">El sistema propone centralizar en una única plataforma las fichas de personas, domicilios, procedimientos y documentación, mantenerlas vinculadas entre sí de manera permanente, y controlar mediante roles y auditoría quién accede a cada dato. El presente documento reúne el diseño funcional completo del sistema — sus módulos, la estructura de su base de datos y su esquema de seguridad — elaborado sobre tecnologías estándar y sin costos, de modo que el desarrollo puede encararse con recursos propios.</w:t>
      </w:r>
    </w:p>
    <w:p>
      <w:pPr>
        <w:pStyle w:val="Heading1"/>
        <w:spacing w:after="160" w:before="320"/>
      </w:pPr>
      <w:r>
        <w:rPr>
          <w:b/>
          <w:bCs/>
          <w:color w:val="1F3864"/>
          <w:sz w:val="28"/>
          <w:szCs w:val="28"/>
        </w:rPr>
        <w:t xml:space="preserve">2. El problema que motivó el desarrollo</w:t>
      </w:r>
    </w:p>
    <w:p>
      <w:pPr>
        <w:spacing w:after="160" w:line="300"/>
        <w:jc w:val="both"/>
      </w:pPr>
      <w:r>
        <w:rPr>
          <w:sz w:val="22"/>
          <w:szCs w:val="22"/>
        </w:rPr>
        <w:t xml:space="preserve">En la práctica diaria de una brigada, la información de valor investigativo se registra en soportes aislados: actuaciones en papel, planillas individuales, fotografías en teléfonos personales y datos que quedan en la memoria de cada investigador. Esto genera consecuencias conocidas por todos:</w:t>
      </w:r>
    </w:p>
    <w:p>
      <w:pPr>
        <w:pStyle w:val="ListParagraph"/>
        <w:numPr>
          <w:ilvl w:val="0"/>
          <w:numId w:val="2"/>
        </w:numPr>
        <w:spacing w:after="80"/>
      </w:pPr>
      <w:r>
        <w:rPr>
          <w:sz w:val="22"/>
          <w:szCs w:val="22"/>
        </w:rPr>
        <w:t xml:space="preserve">Cuando un hecho se esclarece, la información reunida deja de consultarse, aunque muchas veces sería útil para hechos posteriores.</w:t>
      </w:r>
    </w:p>
    <w:p>
      <w:pPr>
        <w:pStyle w:val="ListParagraph"/>
        <w:numPr>
          <w:ilvl w:val="0"/>
          <w:numId w:val="2"/>
        </w:numPr>
        <w:spacing w:after="80"/>
      </w:pPr>
      <w:r>
        <w:rPr>
          <w:sz w:val="22"/>
          <w:szCs w:val="22"/>
        </w:rPr>
        <w:t xml:space="preserve">Dos investigadores pueden estar trabajando sobre la misma persona o el mismo domicilio sin saberlo.</w:t>
      </w:r>
    </w:p>
    <w:p>
      <w:pPr>
        <w:pStyle w:val="ListParagraph"/>
        <w:numPr>
          <w:ilvl w:val="0"/>
          <w:numId w:val="2"/>
        </w:numPr>
        <w:spacing w:after="80"/>
      </w:pPr>
      <w:r>
        <w:rPr>
          <w:sz w:val="22"/>
          <w:szCs w:val="22"/>
        </w:rPr>
        <w:t xml:space="preserve">Reconstruir el historial de una persona (actuaciones previas, domicilios que utilizó, con quién fue vinculada) exige revisar registros aislados uno por uno.</w:t>
      </w:r>
    </w:p>
    <w:p>
      <w:pPr>
        <w:pStyle w:val="ListParagraph"/>
        <w:numPr>
          <w:ilvl w:val="0"/>
          <w:numId w:val="2"/>
        </w:numPr>
        <w:spacing w:after="80"/>
      </w:pPr>
      <w:r>
        <w:rPr>
          <w:sz w:val="22"/>
          <w:szCs w:val="22"/>
        </w:rPr>
        <w:t xml:space="preserve">No existe un registro de quién consultó o modificó un dato, lo que dificulta el manejo responsable de información sensible.</w:t>
      </w:r>
    </w:p>
    <w:p>
      <w:pPr>
        <w:spacing w:after="160" w:line="300"/>
        <w:jc w:val="both"/>
      </w:pPr>
      <w:r>
        <w:rPr>
          <w:sz w:val="22"/>
          <w:szCs w:val="22"/>
        </w:rPr>
        <w:t xml:space="preserve">ARDIP nace para convertir esa información dispersa en una memoria institucional: un registro único, ordenado y consultable, que crezca con cada actuación y quede disponible para las que vengan.</w:t>
      </w:r>
    </w:p>
    <w:p>
      <w:pPr>
        <w:pStyle w:val="Heading1"/>
        <w:spacing w:after="160" w:before="320"/>
      </w:pPr>
      <w:r>
        <w:rPr>
          <w:b/>
          <w:bCs/>
          <w:color w:val="1F3864"/>
          <w:sz w:val="28"/>
          <w:szCs w:val="28"/>
        </w:rPr>
        <w:t xml:space="preserve">3. Qué es ARDIP</w:t>
      </w:r>
    </w:p>
    <w:p>
      <w:pPr>
        <w:spacing w:after="160" w:line="300"/>
        <w:jc w:val="both"/>
      </w:pPr>
      <w:r>
        <w:rPr>
          <w:sz w:val="22"/>
          <w:szCs w:val="22"/>
        </w:rPr>
        <w:t xml:space="preserve">Se proyecta como una aplicación web de uso interno, accesible desde cualquier computadora o teléfono de la dependencia mediante usuario y contraseña. No requerirá instalación en cada equipo: funcionará sobre un servidor propio y se adaptará automáticamente a pantallas de escritorio y móviles, de modo que podrá consultarse tanto en la oficina como durante tareas en la calle.</w:t>
      </w:r>
    </w:p>
    <w:p>
      <w:pPr>
        <w:spacing w:after="160" w:line="300"/>
        <w:jc w:val="both"/>
      </w:pPr>
      <w:r>
        <w:rPr>
          <w:sz w:val="22"/>
          <w:szCs w:val="22"/>
        </w:rPr>
        <w:t xml:space="preserve">El diseño se apoya en tecnologías de uso masivo y probado (Laravel, MySQL, arquitectura web estándar), lo que garantizará mantenimiento sencillo, posibilidad de crecimiento por módulos y costo cero en licencias de software.</w:t>
      </w:r>
    </w:p>
    <w:p>
      <w:pPr>
        <w:spacing w:after="60" w:before="120"/>
        <w:jc w:val="center"/>
      </w:pPr>
      <w:r>
        <w:drawing>
          <wp:inline distT="0" distB="0" distL="0" distR="0">
            <wp:extent cx="5905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28875"/>
                    </a:xfrm>
                    <a:prstGeom prst="rect">
                      <a:avLst/>
                    </a:prstGeom>
                  </pic:spPr>
                </pic:pic>
              </a:graphicData>
            </a:graphic>
          </wp:inline>
        </w:drawing>
      </w:r>
    </w:p>
    <w:p>
      <w:pPr>
        <w:spacing w:after="200"/>
        <w:jc w:val="center"/>
      </w:pPr>
      <w:r>
        <w:rPr>
          <w:i/>
          <w:iCs/>
          <w:color w:val="595959"/>
          <w:sz w:val="18"/>
          <w:szCs w:val="18"/>
        </w:rPr>
        <w:t xml:space="preserve">Figura 1 – Esquema de funcionamiento propuesto: los usuarios accederán por red interna al servidor, que concentrará la base de datos y la auditoría.</w:t>
      </w:r>
    </w:p>
    <w:p>
      <w:pPr>
        <w:pStyle w:val="Heading1"/>
        <w:spacing w:after="160" w:before="320"/>
      </w:pPr>
      <w:r>
        <w:rPr>
          <w:b/>
          <w:bCs/>
          <w:color w:val="1F3864"/>
          <w:sz w:val="28"/>
          <w:szCs w:val="28"/>
        </w:rPr>
        <w:t xml:space="preserve">4. Módulos del sistema</w:t>
      </w:r>
    </w:p>
    <w:p>
      <w:pPr>
        <w:spacing w:after="160" w:line="300"/>
        <w:jc w:val="both"/>
      </w:pPr>
      <w:r>
        <w:rPr>
          <w:sz w:val="22"/>
          <w:szCs w:val="22"/>
        </w:rPr>
        <w:t xml:space="preserve">El diseño funcional contempla los siguientes módulos a desarrollar: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80"/>
              <w:left w:type="dxa" w:w="120"/>
              <w:bottom w:type="dxa" w:w="80"/>
              <w:right w:type="dxa" w:w="120"/>
            </w:tcMar>
          </w:tcPr>
          <w:p>
            <w:pPr>
              <w:spacing w:after="0"/>
            </w:pPr>
            <w:r>
              <w:rPr>
                <w:b/>
                <w:bCs/>
                <w:color w:val="FFFFFF"/>
                <w:sz w:val="20"/>
                <w:szCs w:val="20"/>
              </w:rPr>
              <w:t xml:space="preserve">Módulo</w:t>
            </w:r>
          </w:p>
        </w:tc>
        <w:tc>
          <w:tcPr>
            <w:tcW w:type="dxa" w:w="6760"/>
            <w:shd w:fill="1F3864" w:val="clear"/>
            <w:tcMar>
              <w:top w:type="dxa" w:w="80"/>
              <w:left w:type="dxa" w:w="120"/>
              <w:bottom w:type="dxa" w:w="80"/>
              <w:right w:type="dxa" w:w="120"/>
            </w:tcMar>
          </w:tcPr>
          <w:p>
            <w:pPr>
              <w:spacing w:after="0"/>
            </w:pPr>
            <w:r>
              <w:rPr>
                <w:b/>
                <w:bCs/>
                <w:color w:val="FFFFFF"/>
                <w:sz w:val="20"/>
                <w:szCs w:val="20"/>
              </w:rPr>
              <w:t xml:space="preserve">Qué resuelve</w:t>
            </w:r>
          </w:p>
        </w:tc>
      </w:tr>
      <w:tr>
        <w:tc>
          <w:tcPr>
            <w:tcW w:type="dxa" w:w="2600"/>
            <w:tcMar>
              <w:top w:type="dxa" w:w="80"/>
              <w:left w:type="dxa" w:w="120"/>
              <w:bottom w:type="dxa" w:w="80"/>
              <w:right w:type="dxa" w:w="120"/>
            </w:tcMar>
          </w:tcPr>
          <w:p>
            <w:pPr>
              <w:spacing w:after="0"/>
            </w:pPr>
            <w:r>
              <w:rPr>
                <w:b/>
                <w:bCs/>
                <w:color w:val="000000"/>
                <w:sz w:val="20"/>
                <w:szCs w:val="20"/>
              </w:rPr>
              <w:t xml:space="preserve">Personas</w:t>
            </w:r>
          </w:p>
        </w:tc>
        <w:tc>
          <w:tcPr>
            <w:tcW w:type="dxa" w:w="6760"/>
            <w:tcMar>
              <w:top w:type="dxa" w:w="80"/>
              <w:left w:type="dxa" w:w="120"/>
              <w:bottom w:type="dxa" w:w="80"/>
              <w:right w:type="dxa" w:w="120"/>
            </w:tcMar>
          </w:tcPr>
          <w:p>
            <w:pPr>
              <w:spacing w:after="0"/>
            </w:pPr>
            <w:r>
              <w:rPr>
                <w:b w:val="false"/>
                <w:bCs w:val="false"/>
                <w:color w:val="000000"/>
                <w:sz w:val="20"/>
                <w:szCs w:val="20"/>
              </w:rPr>
              <w:t xml:space="preserve">Ficha completa de cada persona de interés: datos filiatorios, fotografía, documentación asociada, alias o apodos conocidos y su historial de domicilios. Toda persona cargada quedará disponible para búsquedas futuras.</w:t>
            </w:r>
          </w:p>
        </w:tc>
      </w:tr>
      <w:tr>
        <w:tc>
          <w:tcPr>
            <w:tcW w:type="dxa" w:w="2600"/>
            <w:shd w:fill="F2F4F8" w:val="clear"/>
            <w:tcMar>
              <w:top w:type="dxa" w:w="80"/>
              <w:left w:type="dxa" w:w="120"/>
              <w:bottom w:type="dxa" w:w="80"/>
              <w:right w:type="dxa" w:w="120"/>
            </w:tcMar>
          </w:tcPr>
          <w:p>
            <w:pPr>
              <w:spacing w:after="0"/>
            </w:pPr>
            <w:r>
              <w:rPr>
                <w:b/>
                <w:bCs/>
                <w:color w:val="000000"/>
                <w:sz w:val="20"/>
                <w:szCs w:val="20"/>
              </w:rPr>
              <w:t xml:space="preserve">Domicilios</w:t>
            </w:r>
          </w:p>
        </w:tc>
        <w:tc>
          <w:tcPr>
            <w:tcW w:type="dxa" w:w="6760"/>
            <w:shd w:fill="F2F4F8" w:val="clear"/>
            <w:tcMar>
              <w:top w:type="dxa" w:w="80"/>
              <w:left w:type="dxa" w:w="120"/>
              <w:bottom w:type="dxa" w:w="80"/>
              <w:right w:type="dxa" w:w="120"/>
            </w:tcMar>
          </w:tcPr>
          <w:p>
            <w:pPr>
              <w:spacing w:after="0"/>
            </w:pPr>
            <w:r>
              <w:rPr>
                <w:b w:val="false"/>
                <w:bCs w:val="false"/>
                <w:color w:val="000000"/>
                <w:sz w:val="20"/>
                <w:szCs w:val="20"/>
              </w:rPr>
              <w:t xml:space="preserve">Registro acumulativo de domicilios con geolocalización en mapa interactivo. Un mismo domicilio podrá quedar vinculado a distintas personas y actuaciones a lo largo del tiempo, lo que permitirá detectar coincidencias que a simple vista pasarían inadvertidas.</w:t>
            </w:r>
          </w:p>
        </w:tc>
      </w:tr>
      <w:tr>
        <w:tc>
          <w:tcPr>
            <w:tcW w:type="dxa" w:w="2600"/>
            <w:tcMar>
              <w:top w:type="dxa" w:w="80"/>
              <w:left w:type="dxa" w:w="120"/>
              <w:bottom w:type="dxa" w:w="80"/>
              <w:right w:type="dxa" w:w="120"/>
            </w:tcMar>
          </w:tcPr>
          <w:p>
            <w:pPr>
              <w:spacing w:after="0"/>
            </w:pPr>
            <w:r>
              <w:rPr>
                <w:b/>
                <w:bCs/>
                <w:color w:val="000000"/>
                <w:sz w:val="20"/>
                <w:szCs w:val="20"/>
              </w:rPr>
              <w:t xml:space="preserve">Procedimientos</w:t>
            </w:r>
          </w:p>
        </w:tc>
        <w:tc>
          <w:tcPr>
            <w:tcW w:type="dxa" w:w="6760"/>
            <w:tcMar>
              <w:top w:type="dxa" w:w="80"/>
              <w:left w:type="dxa" w:w="120"/>
              <w:bottom w:type="dxa" w:w="80"/>
              <w:right w:type="dxa" w:w="120"/>
            </w:tcMar>
          </w:tcPr>
          <w:p>
            <w:pPr>
              <w:spacing w:after="0"/>
            </w:pPr>
            <w:r>
              <w:rPr>
                <w:b w:val="false"/>
                <w:bCs w:val="false"/>
                <w:color w:val="000000"/>
                <w:sz w:val="20"/>
                <w:szCs w:val="20"/>
              </w:rPr>
              <w:t xml:space="preserve">Carga de allanamientos y actuaciones, con vinculación directa a las personas y domicilios intervinientes y a la UFI correspondiente. Generación de reportes en PDF para acompañar la actuación judicial.</w:t>
            </w:r>
          </w:p>
        </w:tc>
      </w:tr>
      <w:tr>
        <w:tc>
          <w:tcPr>
            <w:tcW w:type="dxa" w:w="2600"/>
            <w:shd w:fill="F2F4F8" w:val="clear"/>
            <w:tcMar>
              <w:top w:type="dxa" w:w="80"/>
              <w:left w:type="dxa" w:w="120"/>
              <w:bottom w:type="dxa" w:w="80"/>
              <w:right w:type="dxa" w:w="120"/>
            </w:tcMar>
          </w:tcPr>
          <w:p>
            <w:pPr>
              <w:spacing w:after="0"/>
            </w:pPr>
            <w:r>
              <w:rPr>
                <w:b/>
                <w:bCs/>
                <w:color w:val="000000"/>
                <w:sz w:val="20"/>
                <w:szCs w:val="20"/>
              </w:rPr>
              <w:t xml:space="preserve">Biblioteca digital</w:t>
            </w:r>
          </w:p>
        </w:tc>
        <w:tc>
          <w:tcPr>
            <w:tcW w:type="dxa" w:w="6760"/>
            <w:shd w:fill="F2F4F8" w:val="clear"/>
            <w:tcMar>
              <w:top w:type="dxa" w:w="80"/>
              <w:left w:type="dxa" w:w="120"/>
              <w:bottom w:type="dxa" w:w="80"/>
              <w:right w:type="dxa" w:w="120"/>
            </w:tcMar>
          </w:tcPr>
          <w:p>
            <w:pPr>
              <w:spacing w:after="0"/>
            </w:pPr>
            <w:r>
              <w:rPr>
                <w:b w:val="false"/>
                <w:bCs w:val="false"/>
                <w:color w:val="000000"/>
                <w:sz w:val="20"/>
                <w:szCs w:val="20"/>
              </w:rPr>
              <w:t xml:space="preserve">Almacenamiento seguro y ordenado de documentación disponible (Actas de allanamiento, memos de entrevistas, inspecciones oculares, distintas actas en blanco, leyes vigentes como la 941-R), evitando la dispersión en papeles y carpetas personales.</w:t>
            </w:r>
          </w:p>
        </w:tc>
      </w:tr>
      <w:tr>
        <w:tc>
          <w:tcPr>
            <w:tcW w:type="dxa" w:w="2600"/>
            <w:tcMar>
              <w:top w:type="dxa" w:w="80"/>
              <w:left w:type="dxa" w:w="120"/>
              <w:bottom w:type="dxa" w:w="80"/>
              <w:right w:type="dxa" w:w="120"/>
            </w:tcMar>
          </w:tcPr>
          <w:p>
            <w:pPr>
              <w:spacing w:after="0"/>
            </w:pPr>
            <w:r>
              <w:rPr>
                <w:b/>
                <w:bCs/>
                <w:color w:val="000000"/>
                <w:sz w:val="20"/>
                <w:szCs w:val="20"/>
              </w:rPr>
              <w:t xml:space="preserve">Panel de indicadores</w:t>
            </w:r>
          </w:p>
        </w:tc>
        <w:tc>
          <w:tcPr>
            <w:tcW w:type="dxa" w:w="6760"/>
            <w:tcMar>
              <w:top w:type="dxa" w:w="80"/>
              <w:left w:type="dxa" w:w="120"/>
              <w:bottom w:type="dxa" w:w="80"/>
              <w:right w:type="dxa" w:w="120"/>
            </w:tcMar>
          </w:tcPr>
          <w:p>
            <w:pPr>
              <w:spacing w:after="0"/>
            </w:pPr>
            <w:r>
              <w:rPr>
                <w:b w:val="false"/>
                <w:bCs w:val="false"/>
                <w:color w:val="000000"/>
                <w:sz w:val="20"/>
                <w:szCs w:val="20"/>
              </w:rPr>
              <w:t xml:space="preserve">Tablero con estadísticas del trabajo cargado: cantidad de procedimientos, personas registradas, actividad por brigada y por período.</w:t>
            </w:r>
          </w:p>
        </w:tc>
      </w:tr>
      <w:tr>
        <w:tc>
          <w:tcPr>
            <w:tcW w:type="dxa" w:w="2600"/>
            <w:shd w:fill="F2F4F8" w:val="clear"/>
            <w:tcMar>
              <w:top w:type="dxa" w:w="80"/>
              <w:left w:type="dxa" w:w="120"/>
              <w:bottom w:type="dxa" w:w="80"/>
              <w:right w:type="dxa" w:w="120"/>
            </w:tcMar>
          </w:tcPr>
          <w:p>
            <w:pPr>
              <w:spacing w:after="0"/>
            </w:pPr>
            <w:r>
              <w:rPr>
                <w:b/>
                <w:bCs/>
                <w:color w:val="000000"/>
                <w:sz w:val="20"/>
                <w:szCs w:val="20"/>
              </w:rPr>
              <w:t xml:space="preserve">Usuarios y auditoría</w:t>
            </w:r>
          </w:p>
        </w:tc>
        <w:tc>
          <w:tcPr>
            <w:tcW w:type="dxa" w:w="6760"/>
            <w:shd w:fill="F2F4F8" w:val="clear"/>
            <w:tcMar>
              <w:top w:type="dxa" w:w="80"/>
              <w:left w:type="dxa" w:w="120"/>
              <w:bottom w:type="dxa" w:w="80"/>
              <w:right w:type="dxa" w:w="120"/>
            </w:tcMar>
          </w:tcPr>
          <w:p>
            <w:pPr>
              <w:spacing w:after="0"/>
            </w:pPr>
            <w:r>
              <w:rPr>
                <w:b w:val="false"/>
                <w:bCs w:val="false"/>
                <w:color w:val="000000"/>
                <w:sz w:val="20"/>
                <w:szCs w:val="20"/>
              </w:rPr>
              <w:t xml:space="preserve">Administración de cuentas del personal con roles diferenciados y registro automático de cada acción realizada en el sistema (quién, qué, cuándo y desde dónde).</w:t>
            </w:r>
          </w:p>
        </w:tc>
      </w:tr>
    </w:tbl>
    <w:p>
      <w:pPr>
        <w:spacing w:after="160"/>
      </w:pPr>
    </w:p>
    <w:p>
      <w:pPr>
        <w:pStyle w:val="Heading1"/>
        <w:spacing w:after="160" w:before="320"/>
      </w:pPr>
      <w:r>
        <w:rPr>
          <w:b/>
          <w:bCs/>
          <w:color w:val="1F3864"/>
          <w:sz w:val="28"/>
          <w:szCs w:val="28"/>
        </w:rPr>
        <w:t xml:space="preserve">5. Estructura de datos</w:t>
      </w:r>
    </w:p>
    <w:p>
      <w:pPr>
        <w:spacing w:after="160" w:line="300"/>
        <w:jc w:val="both"/>
      </w:pPr>
      <w:r>
        <w:rPr>
          <w:sz w:val="22"/>
          <w:szCs w:val="22"/>
        </w:rPr>
        <w:t xml:space="preserve">El modelo de datos: define qué se registra de cada entidad y, sobre todo, cómo se relacionan entre sí. El siguiente esquema resume las entidades principales y sus vínculos:</w:t>
      </w:r>
    </w:p>
    <w:p>
      <w:pPr>
        <w:spacing w:after="60" w:before="120"/>
        <w:jc w:val="center"/>
      </w:pPr>
      <w:r>
        <w:drawing>
          <wp:inline distT="0" distB="0" distL="0" distR="0">
            <wp:extent cx="5905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990975"/>
                    </a:xfrm>
                    <a:prstGeom prst="rect">
                      <a:avLst/>
                    </a:prstGeom>
                  </pic:spPr>
                </pic:pic>
              </a:graphicData>
            </a:graphic>
          </wp:inline>
        </w:drawing>
      </w:r>
    </w:p>
    <w:p>
      <w:pPr>
        <w:spacing w:after="200"/>
        <w:jc w:val="center"/>
      </w:pPr>
      <w:r>
        <w:rPr>
          <w:i/>
          <w:iCs/>
          <w:color w:val="595959"/>
          <w:sz w:val="18"/>
          <w:szCs w:val="18"/>
        </w:rPr>
        <w:t xml:space="preserve">Figura 2 – Modelo de entidades y relaciones del sistema (simplificado).</w:t>
      </w:r>
    </w:p>
    <w:p>
      <w:pPr>
        <w:spacing w:after="160" w:line="300"/>
        <w:jc w:val="both"/>
      </w:pPr>
      <w:r>
        <w:rPr>
          <w:sz w:val="22"/>
          <w:szCs w:val="22"/>
        </w:rPr>
        <w:t xml:space="preserve">Los puntos clave de esta estructura:</w:t>
      </w:r>
    </w:p>
    <w:p>
      <w:pPr>
        <w:pStyle w:val="ListParagraph"/>
        <w:numPr>
          <w:ilvl w:val="0"/>
          <w:numId w:val="2"/>
        </w:numPr>
        <w:spacing w:after="80"/>
      </w:pPr>
      <w:r>
        <w:rPr>
          <w:sz w:val="22"/>
          <w:szCs w:val="22"/>
        </w:rPr>
        <w:t xml:space="preserve">Una persona puede tener varios alias, varios domicilios y figurar en varios procedimientos; y a la inversa, un procedimiento o un domicilio pueden involucrar a varias personas. Estas relaciones “de muchos a muchos” son las que permitirán los cruces de información.</w:t>
      </w:r>
    </w:p>
    <w:p>
      <w:pPr>
        <w:pStyle w:val="ListParagraph"/>
        <w:numPr>
          <w:ilvl w:val="0"/>
          <w:numId w:val="2"/>
        </w:numPr>
        <w:spacing w:after="80"/>
      </w:pPr>
      <w:r>
        <w:rPr>
          <w:sz w:val="22"/>
          <w:szCs w:val="22"/>
        </w:rPr>
        <w:t xml:space="preserve">El vínculo entre una persona y un procedimiento no será un simple tilde: guardará la situación procesal (detenido, notificado, no hallado).</w:t>
      </w:r>
    </w:p>
    <w:p>
      <w:pPr>
        <w:pStyle w:val="ListParagraph"/>
        <w:numPr>
          <w:ilvl w:val="0"/>
          <w:numId w:val="2"/>
        </w:numPr>
        <w:spacing w:after="80"/>
      </w:pPr>
      <w:r>
        <w:rPr>
          <w:sz w:val="22"/>
          <w:szCs w:val="22"/>
        </w:rPr>
        <w:t xml:space="preserve">El vínculo entre una persona y un domicilio construirá el historial de lugares que utilizó a lo largo del tiempo.</w:t>
      </w:r>
    </w:p>
    <w:p>
      <w:pPr>
        <w:pStyle w:val="ListParagraph"/>
        <w:numPr>
          <w:ilvl w:val="0"/>
          <w:numId w:val="2"/>
        </w:numPr>
        <w:spacing w:after="80"/>
      </w:pPr>
      <w:r>
        <w:rPr>
          <w:sz w:val="22"/>
          <w:szCs w:val="22"/>
        </w:rPr>
        <w:t xml:space="preserve">Cada procedimiento registrará su legajo fiscal, carátula, UFI y brigada interviniente, las órdenes libradas (allanamiento, secuestro, detención) y sus resultados, quedando asociado al usuario que lo cargue.</w:t>
      </w:r>
    </w:p>
    <w:p>
      <w:pPr>
        <w:pStyle w:val="ListParagraph"/>
        <w:numPr>
          <w:ilvl w:val="0"/>
          <w:numId w:val="2"/>
        </w:numPr>
        <w:spacing w:after="80"/>
      </w:pPr>
      <w:r>
        <w:rPr>
          <w:sz w:val="22"/>
          <w:szCs w:val="22"/>
        </w:rPr>
        <w:t xml:space="preserve">Los domicilios guardarán coordenadas geográficas, lo que habilitará su visualización en mapa y el futuro análisis por zonas.</w:t>
      </w:r>
    </w:p>
    <w:p>
      <w:pPr>
        <w:spacing w:after="160" w:line="300"/>
        <w:jc w:val="both"/>
      </w:pPr>
      <w:r>
        <w:rPr>
          <w:sz w:val="22"/>
          <w:szCs w:val="22"/>
        </w:rPr>
        <w:t xml:space="preserve">Esta estructura está definida a nivel de tablas, campos y claves en la documentación técnica del proyecto.</w:t>
      </w:r>
    </w:p>
    <w:p>
      <w:pPr>
        <w:pStyle w:val="Heading1"/>
        <w:spacing w:after="160" w:before="320"/>
      </w:pPr>
      <w:r>
        <w:rPr>
          <w:b/>
          <w:bCs/>
          <w:color w:val="1F3864"/>
          <w:sz w:val="28"/>
          <w:szCs w:val="28"/>
        </w:rPr>
        <w:t xml:space="preserve">6. El valor central: información acumulativa y vinculada</w:t>
      </w:r>
    </w:p>
    <w:p>
      <w:pPr>
        <w:spacing w:after="160" w:line="300"/>
        <w:jc w:val="both"/>
      </w:pPr>
      <w:r>
        <w:rPr>
          <w:sz w:val="22"/>
          <w:szCs w:val="22"/>
        </w:rPr>
        <w:t xml:space="preserve">La característica particular es que ningún dato quedará aislado. Cada persona, domicilio, procedimiento y documento se relacionará con los demás, y esas relaciones se conservarán en el tiempo. En la práctica, esto significa que:</w:t>
      </w:r>
    </w:p>
    <w:p>
      <w:pPr>
        <w:pStyle w:val="ListParagraph"/>
        <w:numPr>
          <w:ilvl w:val="0"/>
          <w:numId w:val="2"/>
        </w:numPr>
        <w:spacing w:after="80"/>
      </w:pPr>
      <w:r>
        <w:rPr>
          <w:sz w:val="22"/>
          <w:szCs w:val="22"/>
        </w:rPr>
        <w:t xml:space="preserve">Al cargar una nueva actuación, el sistema permitirá verificar de inmediato si las personas o domicilios involucrados ya registran antecedentes de carga en otras actuaciones.</w:t>
      </w:r>
    </w:p>
    <w:p>
      <w:pPr>
        <w:pStyle w:val="ListParagraph"/>
        <w:numPr>
          <w:ilvl w:val="0"/>
          <w:numId w:val="2"/>
        </w:numPr>
        <w:spacing w:after="80"/>
      </w:pPr>
      <w:r>
        <w:rPr>
          <w:sz w:val="22"/>
          <w:szCs w:val="22"/>
        </w:rPr>
        <w:t xml:space="preserve">La ficha de una persona mostrará su historial completo: alias, fotografías, documentación, domicilios utilizados a lo largo del tiempo y procedimientos en los que fue vinculada.</w:t>
      </w:r>
    </w:p>
    <w:p>
      <w:pPr>
        <w:pStyle w:val="ListParagraph"/>
        <w:numPr>
          <w:ilvl w:val="0"/>
          <w:numId w:val="2"/>
        </w:numPr>
        <w:spacing w:after="80"/>
      </w:pPr>
      <w:r>
        <w:rPr>
          <w:sz w:val="22"/>
          <w:szCs w:val="22"/>
        </w:rPr>
        <w:t xml:space="preserve">Un domicilio conservará el registro de todas las personas y actuaciones asociadas a él, aun cuando pertenezcan a causas distintas y distantes en el tiempo.</w:t>
      </w:r>
    </w:p>
    <w:p>
      <w:pPr>
        <w:pStyle w:val="ListParagraph"/>
        <w:numPr>
          <w:ilvl w:val="0"/>
          <w:numId w:val="2"/>
        </w:numPr>
        <w:spacing w:after="80"/>
      </w:pPr>
      <w:r>
        <w:rPr>
          <w:sz w:val="22"/>
          <w:szCs w:val="22"/>
        </w:rPr>
        <w:t xml:space="preserve">Las búsquedas por nombre, apodo, documento o dirección devolverán resultados en segundos, sobre toda la información histórica cargada.</w:t>
      </w:r>
    </w:p>
    <w:p>
      <w:pPr>
        <w:spacing w:after="160" w:line="300"/>
        <w:jc w:val="both"/>
      </w:pPr>
      <w:r>
        <w:rPr>
          <w:sz w:val="22"/>
          <w:szCs w:val="22"/>
        </w:rPr>
        <w:t xml:space="preserve">De esta forma, cada actuación que se cargue no solo documentará un hecho: enriquecerá la base sobre la que se apoyarán las investigaciones siguientes. La información dejará de perderse al cierre de cada causa y pasará a producir valor de manera permanente.</w:t>
      </w:r>
    </w:p>
    <w:p>
      <w:pPr>
        <w:spacing w:after="60" w:before="120"/>
        <w:jc w:val="center"/>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05100"/>
                    </a:xfrm>
                    <a:prstGeom prst="rect">
                      <a:avLst/>
                    </a:prstGeom>
                  </pic:spPr>
                </pic:pic>
              </a:graphicData>
            </a:graphic>
          </wp:inline>
        </w:drawing>
      </w:r>
    </w:p>
    <w:p>
      <w:pPr>
        <w:spacing w:after="200"/>
        <w:jc w:val="center"/>
      </w:pPr>
      <w:r>
        <w:rPr>
          <w:i/>
          <w:iCs/>
          <w:color w:val="595959"/>
          <w:sz w:val="18"/>
          <w:szCs w:val="18"/>
        </w:rPr>
        <w:t xml:space="preserve">Figura 3 – Circuito de la información: lo cargado en cada actuación quedará disponible para todas las siguientes.</w:t>
      </w:r>
    </w:p>
    <w:p>
      <w:pPr>
        <w:pStyle w:val="Heading1"/>
        <w:spacing w:after="160" w:before="320"/>
      </w:pPr>
      <w:r>
        <w:rPr>
          <w:b/>
          <w:bCs/>
          <w:color w:val="1F3864"/>
          <w:sz w:val="28"/>
          <w:szCs w:val="28"/>
        </w:rPr>
        <w:t xml:space="preserve">7. Seguridad, roles y auditoría</w:t>
      </w:r>
    </w:p>
    <w:p>
      <w:pPr>
        <w:spacing w:after="160" w:line="300"/>
        <w:jc w:val="both"/>
      </w:pPr>
      <w:r>
        <w:rPr>
          <w:sz w:val="22"/>
          <w:szCs w:val="22"/>
        </w:rPr>
        <w:t xml:space="preserve">Un sistema que concentra información sensible exige un control estricto de acceso. ARDIP fue diseñado desde el inicio con ese criterio, contemplando la normativa vigente en materia de protección de datos personales (Ley 25.326):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80"/>
              <w:left w:type="dxa" w:w="120"/>
              <w:bottom w:type="dxa" w:w="80"/>
              <w:right w:type="dxa" w:w="120"/>
            </w:tcMar>
          </w:tcPr>
          <w:p>
            <w:pPr>
              <w:spacing w:after="0"/>
            </w:pPr>
            <w:r>
              <w:rPr>
                <w:b/>
                <w:bCs/>
                <w:color w:val="FFFFFF"/>
                <w:sz w:val="20"/>
                <w:szCs w:val="20"/>
              </w:rPr>
              <w:t xml:space="preserve">Rol</w:t>
            </w:r>
          </w:p>
        </w:tc>
        <w:tc>
          <w:tcPr>
            <w:tcW w:type="dxa" w:w="7160"/>
            <w:shd w:fill="1F3864" w:val="clear"/>
            <w:tcMar>
              <w:top w:type="dxa" w:w="80"/>
              <w:left w:type="dxa" w:w="120"/>
              <w:bottom w:type="dxa" w:w="80"/>
              <w:right w:type="dxa" w:w="120"/>
            </w:tcMar>
          </w:tcPr>
          <w:p>
            <w:pPr>
              <w:spacing w:after="0"/>
            </w:pPr>
            <w:r>
              <w:rPr>
                <w:b/>
                <w:bCs/>
                <w:color w:val="FFFFFF"/>
                <w:sz w:val="20"/>
                <w:szCs w:val="20"/>
              </w:rPr>
              <w:t xml:space="preserve">Alcance</w:t>
            </w:r>
          </w:p>
        </w:tc>
      </w:tr>
      <w:tr>
        <w:tc>
          <w:tcPr>
            <w:tcW w:type="dxa" w:w="2200"/>
            <w:tcMar>
              <w:top w:type="dxa" w:w="80"/>
              <w:left w:type="dxa" w:w="120"/>
              <w:bottom w:type="dxa" w:w="80"/>
              <w:right w:type="dxa" w:w="120"/>
            </w:tcMar>
          </w:tcPr>
          <w:p>
            <w:pPr>
              <w:spacing w:after="0"/>
            </w:pPr>
            <w:r>
              <w:rPr>
                <w:b/>
                <w:bCs/>
                <w:color w:val="000000"/>
                <w:sz w:val="20"/>
                <w:szCs w:val="20"/>
              </w:rPr>
              <w:t xml:space="preserve">Administrador general</w:t>
            </w:r>
          </w:p>
        </w:tc>
        <w:tc>
          <w:tcPr>
            <w:tcW w:type="dxa" w:w="7160"/>
            <w:tcMar>
              <w:top w:type="dxa" w:w="80"/>
              <w:left w:type="dxa" w:w="120"/>
              <w:bottom w:type="dxa" w:w="80"/>
              <w:right w:type="dxa" w:w="120"/>
            </w:tcMar>
          </w:tcPr>
          <w:p>
            <w:pPr>
              <w:spacing w:after="0"/>
            </w:pPr>
            <w:r>
              <w:rPr>
                <w:b w:val="false"/>
                <w:bCs w:val="false"/>
                <w:color w:val="000000"/>
                <w:sz w:val="20"/>
                <w:szCs w:val="20"/>
              </w:rPr>
              <w:t xml:space="preserve">Configuración del sistema, gestión de usuarios y acceso a la auditoría completa.</w:t>
            </w:r>
          </w:p>
        </w:tc>
      </w:tr>
      <w:tr>
        <w:tc>
          <w:tcPr>
            <w:tcW w:type="dxa" w:w="2200"/>
            <w:shd w:fill="F2F4F8" w:val="clear"/>
            <w:tcMar>
              <w:top w:type="dxa" w:w="80"/>
              <w:left w:type="dxa" w:w="120"/>
              <w:bottom w:type="dxa" w:w="80"/>
              <w:right w:type="dxa" w:w="120"/>
            </w:tcMar>
          </w:tcPr>
          <w:p>
            <w:pPr>
              <w:spacing w:after="0"/>
            </w:pPr>
            <w:r>
              <w:rPr>
                <w:b/>
                <w:bCs/>
                <w:color w:val="000000"/>
                <w:sz w:val="20"/>
                <w:szCs w:val="20"/>
              </w:rPr>
              <w:t xml:space="preserve">Administrador</w:t>
            </w:r>
          </w:p>
        </w:tc>
        <w:tc>
          <w:tcPr>
            <w:tcW w:type="dxa" w:w="7160"/>
            <w:shd w:fill="F2F4F8" w:val="clear"/>
            <w:tcMar>
              <w:top w:type="dxa" w:w="80"/>
              <w:left w:type="dxa" w:w="120"/>
              <w:bottom w:type="dxa" w:w="80"/>
              <w:right w:type="dxa" w:w="120"/>
            </w:tcMar>
          </w:tcPr>
          <w:p>
            <w:pPr>
              <w:spacing w:after="0"/>
            </w:pPr>
            <w:r>
              <w:rPr>
                <w:b w:val="false"/>
                <w:bCs w:val="false"/>
                <w:color w:val="000000"/>
                <w:sz w:val="20"/>
                <w:szCs w:val="20"/>
              </w:rPr>
              <w:t xml:space="preserve">Gestión operativa de los módulos y supervisión del trabajo de su dependencia.</w:t>
            </w:r>
          </w:p>
        </w:tc>
      </w:tr>
      <w:tr>
        <w:tc>
          <w:tcPr>
            <w:tcW w:type="dxa" w:w="2200"/>
            <w:tcMar>
              <w:top w:type="dxa" w:w="80"/>
              <w:left w:type="dxa" w:w="120"/>
              <w:bottom w:type="dxa" w:w="80"/>
              <w:right w:type="dxa" w:w="120"/>
            </w:tcMar>
          </w:tcPr>
          <w:p>
            <w:pPr>
              <w:spacing w:after="0"/>
            </w:pPr>
            <w:r>
              <w:rPr>
                <w:b/>
                <w:bCs/>
                <w:color w:val="000000"/>
                <w:sz w:val="20"/>
                <w:szCs w:val="20"/>
              </w:rPr>
              <w:t xml:space="preserve">Cargador</w:t>
            </w:r>
          </w:p>
        </w:tc>
        <w:tc>
          <w:tcPr>
            <w:tcW w:type="dxa" w:w="7160"/>
            <w:tcMar>
              <w:top w:type="dxa" w:w="80"/>
              <w:left w:type="dxa" w:w="120"/>
              <w:bottom w:type="dxa" w:w="80"/>
              <w:right w:type="dxa" w:w="120"/>
            </w:tcMar>
          </w:tcPr>
          <w:p>
            <w:pPr>
              <w:spacing w:after="0"/>
            </w:pPr>
            <w:r>
              <w:rPr>
                <w:b w:val="false"/>
                <w:bCs w:val="false"/>
                <w:color w:val="000000"/>
                <w:sz w:val="20"/>
                <w:szCs w:val="20"/>
              </w:rPr>
              <w:t xml:space="preserve">Carga y edición de personas, domicilios, procedimientos y documentación.</w:t>
            </w:r>
          </w:p>
        </w:tc>
      </w:tr>
      <w:tr>
        <w:tc>
          <w:tcPr>
            <w:tcW w:type="dxa" w:w="2200"/>
            <w:shd w:fill="F2F4F8" w:val="clear"/>
            <w:tcMar>
              <w:top w:type="dxa" w:w="80"/>
              <w:left w:type="dxa" w:w="120"/>
              <w:bottom w:type="dxa" w:w="80"/>
              <w:right w:type="dxa" w:w="120"/>
            </w:tcMar>
          </w:tcPr>
          <w:p>
            <w:pPr>
              <w:spacing w:after="0"/>
            </w:pPr>
            <w:r>
              <w:rPr>
                <w:b/>
                <w:bCs/>
                <w:color w:val="000000"/>
                <w:sz w:val="20"/>
                <w:szCs w:val="20"/>
              </w:rPr>
              <w:t xml:space="preserve">Consultor</w:t>
            </w:r>
          </w:p>
        </w:tc>
        <w:tc>
          <w:tcPr>
            <w:tcW w:type="dxa" w:w="7160"/>
            <w:shd w:fill="F2F4F8" w:val="clear"/>
            <w:tcMar>
              <w:top w:type="dxa" w:w="80"/>
              <w:left w:type="dxa" w:w="120"/>
              <w:bottom w:type="dxa" w:w="80"/>
              <w:right w:type="dxa" w:w="120"/>
            </w:tcMar>
          </w:tcPr>
          <w:p>
            <w:pPr>
              <w:spacing w:after="0"/>
            </w:pPr>
            <w:r>
              <w:rPr>
                <w:b w:val="false"/>
                <w:bCs w:val="false"/>
                <w:color w:val="000000"/>
                <w:sz w:val="20"/>
                <w:szCs w:val="20"/>
              </w:rPr>
              <w:t xml:space="preserve">Acceso de solo lectura para consulta de información, sin posibilidad de modificarla.</w:t>
            </w:r>
          </w:p>
        </w:tc>
      </w:tr>
    </w:tbl>
    <w:p>
      <w:pPr>
        <w:spacing w:after="120"/>
      </w:pPr>
    </w:p>
    <w:p>
      <w:pPr>
        <w:spacing w:after="160" w:line="300"/>
        <w:jc w:val="both"/>
      </w:pPr>
      <w:r>
        <w:rPr>
          <w:sz w:val="22"/>
          <w:szCs w:val="22"/>
        </w:rPr>
        <w:t xml:space="preserve">Además de los roles, el sistema registrará automáticamente cada acción realizada: qué usuario la hizo, sobre qué registro, en qué momento y desde qué dispositivo. Esta auditoría permanente permitirá responder en cualquier momento quién accedió a determinada información, condición indispensable para que una base de datos de este tipo pueda incorporarse formalmente al trabajo de una dependencia policial y eventualmente recibir información de otros organismos mediante los convenios que correspondan.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ec1e8c534380f13376dab1cae5e7ccba02ed6a.png"/><Relationship Id="rId8" Type="http://schemas.openxmlformats.org/officeDocument/2006/relationships/image" Target="media/e5c3cb1a4191806a80e3f3cb7b0e78dbc8e0571e.png"/><Relationship Id="rId9" Type="http://schemas.openxmlformats.org/officeDocument/2006/relationships/image" Target="media/731d47e664fb27a6dcb85e7eeb17aa5ea9d9a30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2026-07-19T00:18:10.458Z</dcterms:created>
  <dcterms:modified xsi:type="dcterms:W3CDTF">2026-07-19T00:18:10.471Z</dcterms:modified>
</cp:coreProperties>
</file>

<file path=docProps/custom.xml><?xml version="1.0" encoding="utf-8"?>
<Properties xmlns="http://schemas.openxmlformats.org/officeDocument/2006/custom-properties" xmlns:vt="http://schemas.openxmlformats.org/officeDocument/2006/docPropsVTypes"/>
</file>