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8"/>
          <w:szCs w:val="48"/>
        </w:rPr>
        <w:t xml:space="preserve">SISTEMA ARDIP</w:t>
      </w:r>
    </w:p>
    <w:p>
      <w:pPr>
        <w:spacing w:after="320"/>
        <w:jc w:val="center"/>
      </w:pPr>
      <w:r>
        <w:rPr>
          <w:color w:val="595959"/>
          <w:sz w:val="28"/>
          <w:szCs w:val="28"/>
        </w:rPr>
        <w:t xml:space="preserve">Sistema de Gestión de Información para Investigaciones Policiales</w:t>
      </w:r>
    </w:p>
    <w:p>
      <w:pPr>
        <w:spacing w:after="60"/>
        <w:jc w:val="center"/>
      </w:pPr>
      <w:r>
        <w:rPr>
          <w:i/>
          <w:iCs/>
          <w:color w:val="595959"/>
          <w:sz w:val="22"/>
          <w:szCs w:val="22"/>
        </w:rPr>
        <w:t xml:space="preserve">Documento de presentación funcional</w:t>
      </w:r>
    </w:p>
    <w:p>
      <w:pPr>
        <w:spacing w:after="40"/>
        <w:jc w:val="center"/>
      </w:pPr>
      <w:r>
        <w:rPr>
          <w:b/>
          <w:bCs/>
          <w:sz w:val="22"/>
          <w:szCs w:val="22"/>
        </w:rPr>
        <w:t xml:space="preserve">Autor: Flores, Maximiliano</w:t>
      </w:r>
    </w:p>
    <w:p>
      <w:pPr>
        <w:spacing w:after="40"/>
        <w:jc w:val="center"/>
      </w:pPr>
      <w:r>
        <w:rPr>
          <w:sz w:val="22"/>
          <w:szCs w:val="22"/>
        </w:rPr>
        <w:t xml:space="preserve">Ámbito de aplicación: Brigada de Investigaciones – Policía de San Juan</w:t>
      </w:r>
    </w:p>
    <w:p>
      <w:pPr>
        <w:spacing w:after="200"/>
        <w:jc w:val="center"/>
      </w:pPr>
      <w:r>
        <w:rPr>
          <w:color w:val="595959"/>
          <w:sz w:val="22"/>
          <w:szCs w:val="22"/>
        </w:rPr>
        <w:t xml:space="preserve">Proyecto iniciado en octubre de 2025 – Versión 1.0 operativa</w:t>
      </w:r>
    </w:p>
    <w:p>
      <w:pPr>
        <w:pBdr>
          <w:bottom w:val="single" w:color="1F3864" w:sz="8"/>
        </w:pBdr>
        <w:spacing w:after="240"/>
      </w:pPr>
    </w:p>
    <w:p>
      <w:pPr>
        <w:pStyle w:val="Heading1"/>
        <w:spacing w:after="160" w:before="320"/>
      </w:pPr>
      <w:r>
        <w:rPr>
          <w:b/>
          <w:bCs/>
          <w:color w:val="1F3864"/>
          <w:sz w:val="28"/>
          <w:szCs w:val="28"/>
        </w:rPr>
        <w:t xml:space="preserve">1. Resumen ejecutivo</w:t>
      </w:r>
    </w:p>
    <w:p>
      <w:pPr>
        <w:spacing w:after="160" w:line="300"/>
        <w:jc w:val="both"/>
      </w:pPr>
      <w:r>
        <w:rPr>
          <w:sz w:val="22"/>
          <w:szCs w:val="22"/>
        </w:rPr>
        <w:t xml:space="preserve">ARDIP es un sistema informático desarrollado íntegramente dentro de la fuerza, pensado para resolver un problema concreto del trabajo investigativo: la información que se produce en cada actuación queda dispersa, se pierde cuando la causa se cierra y no puede aprovecharse en investigaciones futuras.</w:t>
      </w:r>
    </w:p>
    <w:p>
      <w:pPr>
        <w:spacing w:after="160" w:line="300"/>
        <w:jc w:val="both"/>
      </w:pPr>
      <w:r>
        <w:rPr>
          <w:sz w:val="22"/>
          <w:szCs w:val="22"/>
        </w:rPr>
        <w:t xml:space="preserve">El sistema centraliza en una única plataforma las fichas de personas, domicilios, procedimientos y documentación, las mantiene vinculadas entre sí de manera permanente, y controla mediante roles y auditoría quién accede a cada dato. Se encuentra desarrollado y en funcionamiento a nivel de versión 1.0, construido con tecnologías estándar y sin costos de licencias.</w:t>
      </w:r>
    </w:p>
    <w:p>
      <w:pPr>
        <w:pStyle w:val="Heading1"/>
        <w:spacing w:after="160" w:before="320"/>
      </w:pPr>
      <w:r>
        <w:rPr>
          <w:b/>
          <w:bCs/>
          <w:color w:val="1F3864"/>
          <w:sz w:val="28"/>
          <w:szCs w:val="28"/>
        </w:rPr>
        <w:t xml:space="preserve">2. El problema que motivó el desarrollo</w:t>
      </w:r>
    </w:p>
    <w:p>
      <w:pPr>
        <w:spacing w:after="160" w:line="300"/>
        <w:jc w:val="both"/>
      </w:pPr>
      <w:r>
        <w:rPr>
          <w:sz w:val="22"/>
          <w:szCs w:val="22"/>
        </w:rPr>
        <w:t xml:space="preserve">En la práctica diaria de una brigada, la información de valor investigativo se registra en soportes aislados: actuaciones en papel, planillas individuales, fotografías en teléfonos personales y datos que quedan en la memoria de cada investigador. Esto genera consecuencias conocidas por todos:</w:t>
      </w:r>
    </w:p>
    <w:p>
      <w:pPr>
        <w:pStyle w:val="ListParagraph"/>
        <w:numPr>
          <w:ilvl w:val="0"/>
          <w:numId w:val="2"/>
        </w:numPr>
        <w:spacing w:after="80"/>
      </w:pPr>
      <w:r>
        <w:rPr>
          <w:sz w:val="22"/>
          <w:szCs w:val="22"/>
        </w:rPr>
        <w:t xml:space="preserve">Cuando un hecho se esclarece, la información reunida deja de consultarse, aunque muchas veces sería útil para hechos posteriores.</w:t>
      </w:r>
    </w:p>
    <w:p>
      <w:pPr>
        <w:pStyle w:val="ListParagraph"/>
        <w:numPr>
          <w:ilvl w:val="0"/>
          <w:numId w:val="2"/>
        </w:numPr>
        <w:spacing w:after="80"/>
      </w:pPr>
      <w:r>
        <w:rPr>
          <w:sz w:val="22"/>
          <w:szCs w:val="22"/>
        </w:rPr>
        <w:t xml:space="preserve">Dos investigadores pueden estar trabajando sobre la misma persona o el mismo domicilio sin saberlo.</w:t>
      </w:r>
    </w:p>
    <w:p>
      <w:pPr>
        <w:pStyle w:val="ListParagraph"/>
        <w:numPr>
          <w:ilvl w:val="0"/>
          <w:numId w:val="2"/>
        </w:numPr>
        <w:spacing w:after="80"/>
      </w:pPr>
      <w:r>
        <w:rPr>
          <w:sz w:val="22"/>
          <w:szCs w:val="22"/>
        </w:rPr>
        <w:t xml:space="preserve">Reconstruir el historial de una persona (actuaciones previas, domicilios que utilizó, con quién fue vinculada) exige revisar expedientes uno por uno.</w:t>
      </w:r>
    </w:p>
    <w:p>
      <w:pPr>
        <w:pStyle w:val="ListParagraph"/>
        <w:numPr>
          <w:ilvl w:val="0"/>
          <w:numId w:val="2"/>
        </w:numPr>
        <w:spacing w:after="80"/>
      </w:pPr>
      <w:r>
        <w:rPr>
          <w:sz w:val="22"/>
          <w:szCs w:val="22"/>
        </w:rPr>
        <w:t xml:space="preserve">No existe un registro de quién consultó o modificó un dato, lo que dificulta el manejo responsable de información sensible.</w:t>
      </w:r>
    </w:p>
    <w:p>
      <w:pPr>
        <w:spacing w:after="160" w:line="300"/>
        <w:jc w:val="both"/>
      </w:pPr>
      <w:r>
        <w:rPr>
          <w:sz w:val="22"/>
          <w:szCs w:val="22"/>
        </w:rPr>
        <w:t xml:space="preserve">ARDIP nace para convertir esa información dispersa en una memoria institucional: un registro único, ordenado y consultable, que crece con cada actuación y queda disponible para las que vengan.</w:t>
      </w:r>
    </w:p>
    <w:p>
      <w:pPr>
        <w:pStyle w:val="Heading1"/>
        <w:spacing w:after="160" w:before="320"/>
      </w:pPr>
      <w:r>
        <w:rPr>
          <w:b/>
          <w:bCs/>
          <w:color w:val="1F3864"/>
          <w:sz w:val="28"/>
          <w:szCs w:val="28"/>
        </w:rPr>
        <w:t xml:space="preserve">3. Qué es ARDIP</w:t>
      </w:r>
    </w:p>
    <w:p>
      <w:pPr>
        <w:spacing w:after="160" w:line="300"/>
        <w:jc w:val="both"/>
      </w:pPr>
      <w:r>
        <w:rPr>
          <w:sz w:val="22"/>
          <w:szCs w:val="22"/>
        </w:rPr>
        <w:t xml:space="preserve">Es una aplicación web de uso interno, accesible desde cualquier computadora o teléfono de la dependencia mediante usuario y contraseña. No requiere instalación en cada equipo: funciona sobre un servidor propio y se adapta automáticamente a pantallas de escritorio y móviles, de modo que puede consultarse tanto en la oficina como en la calle.</w:t>
      </w:r>
    </w:p>
    <w:p>
      <w:pPr>
        <w:spacing w:after="160" w:line="300"/>
        <w:jc w:val="both"/>
      </w:pPr>
      <w:r>
        <w:rPr>
          <w:sz w:val="22"/>
          <w:szCs w:val="22"/>
        </w:rPr>
        <w:t xml:space="preserve">El desarrollo se realizó sobre tecnologías de uso masivo y probado (Laravel, MySQL, arquitectura web estándar), lo que garantiza mantenimiento sencillo, posibilidad de crecimiento y costo cero en licencias de software.</w:t>
      </w:r>
    </w:p>
    <w:p>
      <w:pPr>
        <w:pStyle w:val="Heading1"/>
        <w:spacing w:after="160" w:before="320"/>
      </w:pPr>
      <w:r>
        <w:rPr>
          <w:b/>
          <w:bCs/>
          <w:color w:val="1F3864"/>
          <w:sz w:val="28"/>
          <w:szCs w:val="28"/>
        </w:rPr>
        <w:t xml:space="preserve">4. Módulos desarrollados</w:t>
      </w:r>
    </w:p>
    <w:p>
      <w:pPr>
        <w:spacing w:after="160" w:line="300"/>
        <w:jc w:val="both"/>
      </w:pPr>
      <w:r>
        <w:rPr>
          <w:sz w:val="22"/>
          <w:szCs w:val="22"/>
        </w:rPr>
        <w:t xml:space="preserve">La versión actual cuenta con los siguientes módulos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20"/>
              <w:bottom w:type="dxa" w:w="80"/>
              <w:right w:type="dxa" w:w="120"/>
            </w:tcMar>
          </w:tcPr>
          <w:p>
            <w:pPr>
              <w:spacing w:after="0"/>
            </w:pPr>
            <w:r>
              <w:rPr>
                <w:b/>
                <w:bCs/>
                <w:color w:val="FFFFFF"/>
                <w:sz w:val="20"/>
                <w:szCs w:val="20"/>
              </w:rPr>
              <w:t xml:space="preserve">Módulo</w:t>
            </w:r>
          </w:p>
        </w:tc>
        <w:tc>
          <w:tcPr>
            <w:tcW w:type="dxa" w:w="6760"/>
            <w:shd w:fill="1F3864" w:val="clear"/>
            <w:tcMar>
              <w:top w:type="dxa" w:w="80"/>
              <w:left w:type="dxa" w:w="120"/>
              <w:bottom w:type="dxa" w:w="80"/>
              <w:right w:type="dxa" w:w="120"/>
            </w:tcMar>
          </w:tcPr>
          <w:p>
            <w:pPr>
              <w:spacing w:after="0"/>
            </w:pPr>
            <w:r>
              <w:rPr>
                <w:b/>
                <w:bCs/>
                <w:color w:val="FFFFFF"/>
                <w:sz w:val="20"/>
                <w:szCs w:val="20"/>
              </w:rPr>
              <w:t xml:space="preserve">Qué resuelve</w:t>
            </w:r>
          </w:p>
        </w:tc>
      </w:tr>
      <w:tr>
        <w:tc>
          <w:tcPr>
            <w:tcW w:type="dxa" w:w="2600"/>
            <w:tcMar>
              <w:top w:type="dxa" w:w="80"/>
              <w:left w:type="dxa" w:w="120"/>
              <w:bottom w:type="dxa" w:w="80"/>
              <w:right w:type="dxa" w:w="120"/>
            </w:tcMar>
          </w:tcPr>
          <w:p>
            <w:pPr>
              <w:spacing w:after="0"/>
            </w:pPr>
            <w:r>
              <w:rPr>
                <w:b/>
                <w:bCs/>
                <w:color w:val="000000"/>
                <w:sz w:val="20"/>
                <w:szCs w:val="20"/>
              </w:rPr>
              <w:t xml:space="preserve">Personas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Ficha completa de cada persona de interés: datos filiatorios, fotografía, documentación asociada, alias o apodos conocidos y su historial de domicilios. Toda persona cargada queda disponible para búsquedas futuras.</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Domicilios</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Registro acumulativo de domicilios con geolocalización en mapa interactivo. Un mismo domicilio puede quedar vinculado a distintas personas y actuaciones a lo largo del tiempo, lo que permite detectar coincidencias que a simple vista pasarían inadvertidas.</w:t>
            </w:r>
          </w:p>
        </w:tc>
      </w:tr>
      <w:tr>
        <w:tc>
          <w:tcPr>
            <w:tcW w:type="dxa" w:w="2600"/>
            <w:tcMar>
              <w:top w:type="dxa" w:w="80"/>
              <w:left w:type="dxa" w:w="120"/>
              <w:bottom w:type="dxa" w:w="80"/>
              <w:right w:type="dxa" w:w="120"/>
            </w:tcMar>
          </w:tcPr>
          <w:p>
            <w:pPr>
              <w:spacing w:after="0"/>
            </w:pPr>
            <w:r>
              <w:rPr>
                <w:b/>
                <w:bCs/>
                <w:color w:val="000000"/>
                <w:sz w:val="20"/>
                <w:szCs w:val="20"/>
              </w:rPr>
              <w:t xml:space="preserve">Procedimientos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Carga de allanamientos y actuaciones, con vinculación directa a las personas y domicilios intervinientes y a la UFI correspondiente. Generación de reportes en PDF para acompañar la actuación judicial.</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Biblioteca digital</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Almacenamiento seguro y ordenado de documentación (oficios, informes, actas), asociada a las fichas correspondientes, evitando la dispersión en papeles y carpetas personales.</w:t>
            </w:r>
          </w:p>
        </w:tc>
      </w:tr>
      <w:tr>
        <w:tc>
          <w:tcPr>
            <w:tcW w:type="dxa" w:w="2600"/>
            <w:tcMar>
              <w:top w:type="dxa" w:w="80"/>
              <w:left w:type="dxa" w:w="120"/>
              <w:bottom w:type="dxa" w:w="80"/>
              <w:right w:type="dxa" w:w="120"/>
            </w:tcMar>
          </w:tcPr>
          <w:p>
            <w:pPr>
              <w:spacing w:after="0"/>
            </w:pPr>
            <w:r>
              <w:rPr>
                <w:b/>
                <w:bCs/>
                <w:color w:val="000000"/>
                <w:sz w:val="20"/>
                <w:szCs w:val="20"/>
              </w:rPr>
              <w:t xml:space="preserve">Brigadas y UFIs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Catálogos administrativos que permiten organizar el trabajo por equipo y por unidad fiscal, y filtrar la información según la dependencia que la generó.</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Panel de indicadores</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Tablero con estadísticas del trabajo cargado: cantidad de procedimientos, personas registradas, actividad por brigada y por período.</w:t>
            </w:r>
          </w:p>
        </w:tc>
      </w:tr>
      <w:tr>
        <w:tc>
          <w:tcPr>
            <w:tcW w:type="dxa" w:w="2600"/>
            <w:tcMar>
              <w:top w:type="dxa" w:w="80"/>
              <w:left w:type="dxa" w:w="120"/>
              <w:bottom w:type="dxa" w:w="80"/>
              <w:right w:type="dxa" w:w="120"/>
            </w:tcMar>
          </w:tcPr>
          <w:p>
            <w:pPr>
              <w:spacing w:after="0"/>
            </w:pPr>
            <w:r>
              <w:rPr>
                <w:b/>
                <w:bCs/>
                <w:color w:val="000000"/>
                <w:sz w:val="20"/>
                <w:szCs w:val="20"/>
              </w:rPr>
              <w:t xml:space="preserve">Usuarios y auditoría</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Administración de cuentas del personal con roles diferenciados y registro automático de cada acción realizada en el sistema (quién, qué, cuándo y desde dónde).</w:t>
            </w:r>
          </w:p>
        </w:tc>
      </w:tr>
    </w:tbl>
    <w:p>
      <w:pPr>
        <w:spacing w:after="160"/>
      </w:pPr>
    </w:p>
    <w:p>
      <w:pPr>
        <w:pStyle w:val="Heading1"/>
        <w:spacing w:after="160" w:before="320"/>
      </w:pPr>
      <w:r>
        <w:rPr>
          <w:b/>
          <w:bCs/>
          <w:color w:val="1F3864"/>
          <w:sz w:val="28"/>
          <w:szCs w:val="28"/>
        </w:rPr>
        <w:t xml:space="preserve">5. El valor central: información acumulativa y vinculada</w:t>
      </w:r>
    </w:p>
    <w:p>
      <w:pPr>
        <w:spacing w:after="160" w:line="300"/>
        <w:jc w:val="both"/>
      </w:pPr>
      <w:r>
        <w:rPr>
          <w:sz w:val="22"/>
          <w:szCs w:val="22"/>
        </w:rPr>
        <w:t xml:space="preserve">La característica que distingue a ARDIP de una simple planilla es que ningún dato queda aislado. Cada persona, domicilio, procedimiento y documento se relaciona con los demás, y esas relaciones se conservan en el tiempo. En la práctica, esto significa que:</w:t>
      </w:r>
    </w:p>
    <w:p>
      <w:pPr>
        <w:pStyle w:val="ListParagraph"/>
        <w:numPr>
          <w:ilvl w:val="0"/>
          <w:numId w:val="2"/>
        </w:numPr>
        <w:spacing w:after="80"/>
      </w:pPr>
      <w:r>
        <w:rPr>
          <w:sz w:val="22"/>
          <w:szCs w:val="22"/>
        </w:rPr>
        <w:t xml:space="preserve">Al cargar una nueva actuación, el sistema permite verificar de inmediato si las personas o domicilios involucrados ya registran antecedentes de carga en otras actuaciones.</w:t>
      </w:r>
    </w:p>
    <w:p>
      <w:pPr>
        <w:pStyle w:val="ListParagraph"/>
        <w:numPr>
          <w:ilvl w:val="0"/>
          <w:numId w:val="2"/>
        </w:numPr>
        <w:spacing w:after="80"/>
      </w:pPr>
      <w:r>
        <w:rPr>
          <w:sz w:val="22"/>
          <w:szCs w:val="22"/>
        </w:rPr>
        <w:t xml:space="preserve">La ficha de una persona muestra su historial completo: alias, fotografías, documentación, domicilios utilizados a lo largo del tiempo y procedimientos en los que fue vinculada.</w:t>
      </w:r>
    </w:p>
    <w:p>
      <w:pPr>
        <w:pStyle w:val="ListParagraph"/>
        <w:numPr>
          <w:ilvl w:val="0"/>
          <w:numId w:val="2"/>
        </w:numPr>
        <w:spacing w:after="80"/>
      </w:pPr>
      <w:r>
        <w:rPr>
          <w:sz w:val="22"/>
          <w:szCs w:val="22"/>
        </w:rPr>
        <w:t xml:space="preserve">Un domicilio conserva el registro de todas las personas y actuaciones asociadas a él, aun cuando pertenezcan a causas distintas y distantes en el tiempo.</w:t>
      </w:r>
    </w:p>
    <w:p>
      <w:pPr>
        <w:pStyle w:val="ListParagraph"/>
        <w:numPr>
          <w:ilvl w:val="0"/>
          <w:numId w:val="2"/>
        </w:numPr>
        <w:spacing w:after="80"/>
      </w:pPr>
      <w:r>
        <w:rPr>
          <w:sz w:val="22"/>
          <w:szCs w:val="22"/>
        </w:rPr>
        <w:t xml:space="preserve">Las búsquedas por nombre, apodo, documento o dirección devuelven resultados en segundos, sobre toda la información histórica cargada.</w:t>
      </w:r>
    </w:p>
    <w:p>
      <w:pPr>
        <w:spacing w:after="160" w:line="300"/>
        <w:jc w:val="both"/>
      </w:pPr>
      <w:r>
        <w:rPr>
          <w:sz w:val="22"/>
          <w:szCs w:val="22"/>
        </w:rPr>
        <w:t xml:space="preserve">De esta forma, cada actuación que se carga no solo documenta un hecho: enriquece la base sobre la que se apoyarán las investigaciones siguientes. La información deja de perderse al cierre de cada causa y pasa a producir valor de manera permanente.</w:t>
      </w:r>
    </w:p>
    <w:p>
      <w:pPr>
        <w:pStyle w:val="Heading1"/>
        <w:spacing w:after="160" w:before="320"/>
      </w:pPr>
      <w:r>
        <w:rPr>
          <w:b/>
          <w:bCs/>
          <w:color w:val="1F3864"/>
          <w:sz w:val="28"/>
          <w:szCs w:val="28"/>
        </w:rPr>
        <w:t xml:space="preserve">6. Seguridad, roles y auditoría</w:t>
      </w:r>
    </w:p>
    <w:p>
      <w:pPr>
        <w:spacing w:after="160" w:line="300"/>
        <w:jc w:val="both"/>
      </w:pPr>
      <w:r>
        <w:rPr>
          <w:sz w:val="22"/>
          <w:szCs w:val="22"/>
        </w:rPr>
        <w:t xml:space="preserve">Un sistema que concentra información sensible exige un control estricto de acceso. ARDIP fue diseñado desde el inicio con ese criterio, contemplando la normativa vigente en materia de protección de datos personales (Ley 25.326):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80"/>
              <w:left w:type="dxa" w:w="120"/>
              <w:bottom w:type="dxa" w:w="80"/>
              <w:right w:type="dxa" w:w="120"/>
            </w:tcMar>
          </w:tcPr>
          <w:p>
            <w:pPr>
              <w:spacing w:after="0"/>
            </w:pPr>
            <w:r>
              <w:rPr>
                <w:b/>
                <w:bCs/>
                <w:color w:val="FFFFFF"/>
                <w:sz w:val="20"/>
                <w:szCs w:val="20"/>
              </w:rPr>
              <w:t xml:space="preserve">Rol</w:t>
            </w:r>
          </w:p>
        </w:tc>
        <w:tc>
          <w:tcPr>
            <w:tcW w:type="dxa" w:w="7160"/>
            <w:shd w:fill="1F3864" w:val="clear"/>
            <w:tcMar>
              <w:top w:type="dxa" w:w="80"/>
              <w:left w:type="dxa" w:w="120"/>
              <w:bottom w:type="dxa" w:w="80"/>
              <w:right w:type="dxa" w:w="120"/>
            </w:tcMar>
          </w:tcPr>
          <w:p>
            <w:pPr>
              <w:spacing w:after="0"/>
            </w:pPr>
            <w:r>
              <w:rPr>
                <w:b/>
                <w:bCs/>
                <w:color w:val="FFFFFF"/>
                <w:sz w:val="20"/>
                <w:szCs w:val="20"/>
              </w:rPr>
              <w:t xml:space="preserve">Alcance</w:t>
            </w:r>
          </w:p>
        </w:tc>
      </w:tr>
      <w:tr>
        <w:tc>
          <w:tcPr>
            <w:tcW w:type="dxa" w:w="2200"/>
            <w:tcMar>
              <w:top w:type="dxa" w:w="80"/>
              <w:left w:type="dxa" w:w="120"/>
              <w:bottom w:type="dxa" w:w="80"/>
              <w:right w:type="dxa" w:w="120"/>
            </w:tcMar>
          </w:tcPr>
          <w:p>
            <w:pPr>
              <w:spacing w:after="0"/>
            </w:pPr>
            <w:r>
              <w:rPr>
                <w:b/>
                <w:bCs/>
                <w:color w:val="000000"/>
                <w:sz w:val="20"/>
                <w:szCs w:val="20"/>
              </w:rPr>
              <w:t xml:space="preserve">Administrador general</w:t>
            </w:r>
          </w:p>
        </w:tc>
        <w:tc>
          <w:tcPr>
            <w:tcW w:type="dxa" w:w="7160"/>
            <w:tcMar>
              <w:top w:type="dxa" w:w="80"/>
              <w:left w:type="dxa" w:w="120"/>
              <w:bottom w:type="dxa" w:w="80"/>
              <w:right w:type="dxa" w:w="120"/>
            </w:tcMar>
          </w:tcPr>
          <w:p>
            <w:pPr>
              <w:spacing w:after="0"/>
            </w:pPr>
            <w:r>
              <w:rPr>
                <w:b w:val="false"/>
                <w:bCs w:val="false"/>
                <w:color w:val="000000"/>
                <w:sz w:val="20"/>
                <w:szCs w:val="20"/>
              </w:rPr>
              <w:t xml:space="preserve">Configuración del sistema, gestión de usuarios y acceso a la auditoría completa.</w:t>
            </w:r>
          </w:p>
        </w:tc>
      </w:tr>
      <w:tr>
        <w:tc>
          <w:tcPr>
            <w:tcW w:type="dxa" w:w="2200"/>
            <w:shd w:fill="F2F4F8" w:val="clear"/>
            <w:tcMar>
              <w:top w:type="dxa" w:w="80"/>
              <w:left w:type="dxa" w:w="120"/>
              <w:bottom w:type="dxa" w:w="80"/>
              <w:right w:type="dxa" w:w="120"/>
            </w:tcMar>
          </w:tcPr>
          <w:p>
            <w:pPr>
              <w:spacing w:after="0"/>
            </w:pPr>
            <w:r>
              <w:rPr>
                <w:b/>
                <w:bCs/>
                <w:color w:val="000000"/>
                <w:sz w:val="20"/>
                <w:szCs w:val="20"/>
              </w:rPr>
              <w:t xml:space="preserve">Administrador</w:t>
            </w:r>
          </w:p>
        </w:tc>
        <w:tc>
          <w:tcPr>
            <w:tcW w:type="dxa" w:w="7160"/>
            <w:shd w:fill="F2F4F8" w:val="clear"/>
            <w:tcMar>
              <w:top w:type="dxa" w:w="80"/>
              <w:left w:type="dxa" w:w="120"/>
              <w:bottom w:type="dxa" w:w="80"/>
              <w:right w:type="dxa" w:w="120"/>
            </w:tcMar>
          </w:tcPr>
          <w:p>
            <w:pPr>
              <w:spacing w:after="0"/>
            </w:pPr>
            <w:r>
              <w:rPr>
                <w:b w:val="false"/>
                <w:bCs w:val="false"/>
                <w:color w:val="000000"/>
                <w:sz w:val="20"/>
                <w:szCs w:val="20"/>
              </w:rPr>
              <w:t xml:space="preserve">Gestión operativa de los módulos y supervisión del trabajo de su dependencia.</w:t>
            </w:r>
          </w:p>
        </w:tc>
      </w:tr>
      <w:tr>
        <w:tc>
          <w:tcPr>
            <w:tcW w:type="dxa" w:w="2200"/>
            <w:tcMar>
              <w:top w:type="dxa" w:w="80"/>
              <w:left w:type="dxa" w:w="120"/>
              <w:bottom w:type="dxa" w:w="80"/>
              <w:right w:type="dxa" w:w="120"/>
            </w:tcMar>
          </w:tcPr>
          <w:p>
            <w:pPr>
              <w:spacing w:after="0"/>
            </w:pPr>
            <w:r>
              <w:rPr>
                <w:b/>
                <w:bCs/>
                <w:color w:val="000000"/>
                <w:sz w:val="20"/>
                <w:szCs w:val="20"/>
              </w:rPr>
              <w:t xml:space="preserve">Cargador</w:t>
            </w:r>
          </w:p>
        </w:tc>
        <w:tc>
          <w:tcPr>
            <w:tcW w:type="dxa" w:w="7160"/>
            <w:tcMar>
              <w:top w:type="dxa" w:w="80"/>
              <w:left w:type="dxa" w:w="120"/>
              <w:bottom w:type="dxa" w:w="80"/>
              <w:right w:type="dxa" w:w="120"/>
            </w:tcMar>
          </w:tcPr>
          <w:p>
            <w:pPr>
              <w:spacing w:after="0"/>
            </w:pPr>
            <w:r>
              <w:rPr>
                <w:b w:val="false"/>
                <w:bCs w:val="false"/>
                <w:color w:val="000000"/>
                <w:sz w:val="20"/>
                <w:szCs w:val="20"/>
              </w:rPr>
              <w:t xml:space="preserve">Carga y edición de personas, domicilios, procedimientos y documentación.</w:t>
            </w:r>
          </w:p>
        </w:tc>
      </w:tr>
      <w:tr>
        <w:tc>
          <w:tcPr>
            <w:tcW w:type="dxa" w:w="2200"/>
            <w:shd w:fill="F2F4F8" w:val="clear"/>
            <w:tcMar>
              <w:top w:type="dxa" w:w="80"/>
              <w:left w:type="dxa" w:w="120"/>
              <w:bottom w:type="dxa" w:w="80"/>
              <w:right w:type="dxa" w:w="120"/>
            </w:tcMar>
          </w:tcPr>
          <w:p>
            <w:pPr>
              <w:spacing w:after="0"/>
            </w:pPr>
            <w:r>
              <w:rPr>
                <w:b/>
                <w:bCs/>
                <w:color w:val="000000"/>
                <w:sz w:val="20"/>
                <w:szCs w:val="20"/>
              </w:rPr>
              <w:t xml:space="preserve">Consultor</w:t>
            </w:r>
          </w:p>
        </w:tc>
        <w:tc>
          <w:tcPr>
            <w:tcW w:type="dxa" w:w="7160"/>
            <w:shd w:fill="F2F4F8" w:val="clear"/>
            <w:tcMar>
              <w:top w:type="dxa" w:w="80"/>
              <w:left w:type="dxa" w:w="120"/>
              <w:bottom w:type="dxa" w:w="80"/>
              <w:right w:type="dxa" w:w="120"/>
            </w:tcMar>
          </w:tcPr>
          <w:p>
            <w:pPr>
              <w:spacing w:after="0"/>
            </w:pPr>
            <w:r>
              <w:rPr>
                <w:b w:val="false"/>
                <w:bCs w:val="false"/>
                <w:color w:val="000000"/>
                <w:sz w:val="20"/>
                <w:szCs w:val="20"/>
              </w:rPr>
              <w:t xml:space="preserve">Acceso de solo lectura para consulta de información, sin posibilidad de modificarla.</w:t>
            </w:r>
          </w:p>
        </w:tc>
      </w:tr>
    </w:tbl>
    <w:p>
      <w:pPr>
        <w:spacing w:after="120"/>
      </w:pPr>
    </w:p>
    <w:p>
      <w:pPr>
        <w:spacing w:after="160" w:line="300"/>
        <w:jc w:val="both"/>
      </w:pPr>
      <w:r>
        <w:rPr>
          <w:sz w:val="22"/>
          <w:szCs w:val="22"/>
        </w:rPr>
        <w:t xml:space="preserve">Además de los roles, el sistema registra automáticamente cada acción realizada: qué usuario la hizo, sobre qué registro, en qué momento y desde qué dispositivo. Esta auditoría permanente permite responder en cualquier momento quién accedió a determinada información, condición indispensable para que una base de datos de este tipo pueda incorporarse formalmente al trabajo de una dependencia policial y eventualmente recibir información de otros organismos mediante los convenios que correspondan.</w:t>
      </w:r>
    </w:p>
    <w:p>
      <w:pPr>
        <w:pStyle w:val="Heading1"/>
        <w:spacing w:after="160" w:before="320"/>
      </w:pPr>
      <w:r>
        <w:rPr>
          <w:b/>
          <w:bCs/>
          <w:color w:val="1F3864"/>
          <w:sz w:val="28"/>
          <w:szCs w:val="28"/>
        </w:rPr>
        <w:t xml:space="preserve">7. Líneas de evolución previstas</w:t>
      </w:r>
    </w:p>
    <w:p>
      <w:pPr>
        <w:spacing w:after="160" w:line="300"/>
        <w:jc w:val="both"/>
      </w:pPr>
      <w:r>
        <w:rPr>
          <w:sz w:val="22"/>
          <w:szCs w:val="22"/>
        </w:rPr>
        <w:t xml:space="preserve">La arquitectura del sistema fue pensada para crecer por módulos. Sobre la base ya construida, las ampliaciones previstas en la documentación del proyecto incluyen:</w:t>
      </w:r>
    </w:p>
    <w:p>
      <w:pPr>
        <w:pStyle w:val="ListParagraph"/>
        <w:numPr>
          <w:ilvl w:val="0"/>
          <w:numId w:val="2"/>
        </w:numPr>
        <w:spacing w:after="80"/>
      </w:pPr>
      <w:r>
        <w:rPr>
          <w:sz w:val="22"/>
          <w:szCs w:val="22"/>
        </w:rPr>
        <w:t xml:space="preserve">Registro de vehículos y de abonados telefónicos como nuevas entidades vinculables a personas, domicilios y actuaciones.</w:t>
      </w:r>
    </w:p>
    <w:p>
      <w:pPr>
        <w:pStyle w:val="ListParagraph"/>
        <w:numPr>
          <w:ilvl w:val="0"/>
          <w:numId w:val="2"/>
        </w:numPr>
        <w:spacing w:after="80"/>
      </w:pPr>
      <w:r>
        <w:rPr>
          <w:sz w:val="22"/>
          <w:szCs w:val="22"/>
        </w:rPr>
        <w:t xml:space="preserve">Visualización gráfica de vínculos entre personas, domicilios, vehículos y hechos, para facilitar el análisis de casos complejos.</w:t>
      </w:r>
    </w:p>
    <w:p>
      <w:pPr>
        <w:pStyle w:val="ListParagraph"/>
        <w:numPr>
          <w:ilvl w:val="0"/>
          <w:numId w:val="2"/>
        </w:numPr>
        <w:spacing w:after="80"/>
      </w:pPr>
      <w:r>
        <w:rPr>
          <w:sz w:val="22"/>
          <w:szCs w:val="22"/>
        </w:rPr>
        <w:t xml:space="preserve">Reportes consolidados orientados a la presentación de resultados ante las unidades fiscales.</w:t>
      </w:r>
    </w:p>
    <w:p>
      <w:pPr>
        <w:pStyle w:val="ListParagraph"/>
        <w:numPr>
          <w:ilvl w:val="0"/>
          <w:numId w:val="2"/>
        </w:numPr>
        <w:spacing w:after="80"/>
      </w:pPr>
      <w:r>
        <w:rPr>
          <w:sz w:val="22"/>
          <w:szCs w:val="22"/>
        </w:rPr>
        <w:t xml:space="preserve">Incorporación de información proveniente de otros organismos y registros públicos, a medida que se formalicen los convenios institucionales que lo habiliten.</w:t>
      </w:r>
    </w:p>
    <w:p>
      <w:pPr>
        <w:pStyle w:val="ListParagraph"/>
        <w:numPr>
          <w:ilvl w:val="0"/>
          <w:numId w:val="2"/>
        </w:numPr>
        <w:spacing w:after="80"/>
      </w:pPr>
      <w:r>
        <w:rPr>
          <w:sz w:val="22"/>
          <w:szCs w:val="22"/>
        </w:rPr>
        <w:t xml:space="preserve">Consulta e intercambio de información con otras dependencias de la fuerza, manteniendo la trazabilidad de cada acceso.</w:t>
      </w:r>
    </w:p>
    <w:p>
      <w:pPr>
        <w:pStyle w:val="Heading1"/>
        <w:spacing w:after="160" w:before="320"/>
      </w:pPr>
      <w:r>
        <w:rPr>
          <w:b/>
          <w:bCs/>
          <w:color w:val="1F3864"/>
          <w:sz w:val="28"/>
          <w:szCs w:val="28"/>
        </w:rPr>
        <w:t xml:space="preserve">8. Viabilidad</w:t>
      </w:r>
    </w:p>
    <w:p>
      <w:pPr>
        <w:spacing w:after="160" w:line="300"/>
        <w:jc w:val="both"/>
      </w:pPr>
      <w:r>
        <w:rPr>
          <w:sz w:val="22"/>
          <w:szCs w:val="22"/>
        </w:rPr>
        <w:t xml:space="preserve">El punto más importante a destacar es que ARDIP no es una idea a desarrollar: es un sistema ya construido y en funcionamiento en su versión 1.0. Su puesta en servicio en una dependencia requiere únicamente un servidor estándar (o una computadora destinada a tal fin), sin licencias pagas ni equipamiento especial, y la capacitación del personal es mínima porque la interfaz está pensada para el uso policial cotidiano, completamente en español.</w:t>
      </w:r>
    </w:p>
    <w:p>
      <w:pPr>
        <w:spacing w:after="160" w:line="300"/>
        <w:jc w:val="both"/>
      </w:pPr>
      <w:r>
        <w:rPr>
          <w:sz w:val="22"/>
          <w:szCs w:val="22"/>
        </w:rPr>
        <w:t xml:space="preserve">Por haber sido desarrollado dentro de la fuerza, el sistema puede adaptarse con rapidez a las necesidades específicas de la dependencia que lo adopte, sin depender de proveedores externos.</w:t>
      </w:r>
    </w:p>
    <w:p>
      <w:pPr>
        <w:pStyle w:val="Heading1"/>
        <w:spacing w:after="160" w:before="320"/>
      </w:pPr>
      <w:r>
        <w:rPr>
          <w:b/>
          <w:bCs/>
          <w:color w:val="1F3864"/>
          <w:sz w:val="28"/>
          <w:szCs w:val="28"/>
        </w:rPr>
        <w:t xml:space="preserve">9. Conclusión</w:t>
      </w:r>
    </w:p>
    <w:p>
      <w:pPr>
        <w:spacing w:after="160" w:line="300"/>
        <w:jc w:val="both"/>
      </w:pPr>
      <w:r>
        <w:rPr>
          <w:sz w:val="22"/>
          <w:szCs w:val="22"/>
        </w:rPr>
        <w:t xml:space="preserve">El trabajo investigativo produce todos los días información valiosa que hoy se pierde por falta de una herramienta que la conserve, la relacione y la proteja. ARDIP fue desarrollado para cubrir exactamente ese vacío: transforma los datos sueltos de cada actuación en una base de conocimiento permanente, consultable y auditada, que potencia cada nueva investigación con todo lo aprendido en las anteriores.</w:t>
      </w:r>
    </w:p>
    <w:p>
      <w:pPr>
        <w:spacing w:after="160" w:line="300"/>
        <w:jc w:val="both"/>
      </w:pPr>
      <w:r>
        <w:rPr>
          <w:sz w:val="22"/>
          <w:szCs w:val="22"/>
        </w:rPr>
        <w:t xml:space="preserve">Se pone esta documentación a disposición como aporte para cualquier iniciativa institucional orientada a fortalecer la investigación criminal, en la convicción de que contar con el soporte informático adecuado es condición necesaria para que ese fortalecimiento sea real y sostenible en el tiempo.</w:t>
      </w:r>
    </w:p>
    <w:p>
      <w:pPr>
        <w:spacing w:before="300"/>
      </w:pPr>
    </w:p>
    <w:p>
      <w:pPr>
        <w:spacing w:before="100"/>
      </w:pPr>
      <w:r>
        <w:rPr>
          <w:b/>
          <w:bCs/>
          <w:sz w:val="22"/>
          <w:szCs w:val="22"/>
        </w:rPr>
        <w:t xml:space="preserve">Flores, Maximiliano</w:t>
      </w:r>
    </w:p>
    <w:p>
      <w:r>
        <w:rPr>
          <w:color w:val="595959"/>
          <w:sz w:val="22"/>
          <w:szCs w:val="22"/>
        </w:rPr>
        <w:t xml:space="preserve">Desarrollador del Sistema ARDIP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2026-07-18T23:42:54.067Z</dcterms:created>
  <dcterms:modified xsi:type="dcterms:W3CDTF">2026-07-18T23:42:54.068Z</dcterms:modified>
</cp:coreProperties>
</file>

<file path=docProps/custom.xml><?xml version="1.0" encoding="utf-8"?>
<Properties xmlns="http://schemas.openxmlformats.org/officeDocument/2006/custom-properties" xmlns:vt="http://schemas.openxmlformats.org/officeDocument/2006/docPropsVTypes"/>
</file>