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4"/>
          <w:szCs w:val="34"/>
          <w:u w:val="single"/>
        </w:rPr>
      </w:pPr>
      <w:bookmarkStart w:colFirst="0" w:colLast="0" w:name="_41vaax64149q" w:id="0"/>
      <w:bookmarkEnd w:id="0"/>
      <w:r w:rsidDel="00000000" w:rsidR="00000000" w:rsidRPr="00000000">
        <w:rPr>
          <w:b w:val="1"/>
          <w:bCs w:val="1"/>
          <w:color w:val="000000"/>
          <w:sz w:val="34"/>
          <w:szCs w:val="34"/>
          <w:u w:val="single"/>
          <w:rtl w:val="0"/>
        </w:rPr>
        <w:t xml:space="preserve">Incorporación</w:t>
      </w:r>
      <w:r w:rsidDel="00000000" w:rsidR="00000000" w:rsidRPr="00000000">
        <w:rPr>
          <w:b w:val="1"/>
          <w:bCs w:val="1"/>
          <w:color w:val="000000"/>
          <w:sz w:val="34"/>
          <w:szCs w:val="34"/>
          <w:rtl w:val="0"/>
        </w:rPr>
        <w:t xml:space="preserve"> </w:t>
      </w:r>
      <w:r w:rsidDel="00000000" w:rsidR="00000000" w:rsidRPr="00000000">
        <w:rPr>
          <w:b w:val="1"/>
          <w:bCs w:val="1"/>
          <w:color w:val="000000"/>
          <w:sz w:val="34"/>
          <w:szCs w:val="34"/>
          <w:u w:val="single"/>
          <w:rtl w:val="0"/>
        </w:rPr>
        <w:t xml:space="preserve">de</w:t>
      </w:r>
      <w:r w:rsidDel="00000000" w:rsidR="00000000" w:rsidRPr="00000000">
        <w:rPr>
          <w:b w:val="1"/>
          <w:bCs w:val="1"/>
          <w:color w:val="000000"/>
          <w:sz w:val="34"/>
          <w:szCs w:val="34"/>
          <w:rtl w:val="0"/>
        </w:rPr>
        <w:t xml:space="preserve"> </w:t>
      </w:r>
      <w:r w:rsidDel="00000000" w:rsidR="00000000" w:rsidRPr="00000000">
        <w:rPr>
          <w:b w:val="1"/>
          <w:bCs w:val="1"/>
          <w:color w:val="000000"/>
          <w:sz w:val="34"/>
          <w:szCs w:val="34"/>
          <w:u w:val="single"/>
          <w:rtl w:val="0"/>
        </w:rPr>
        <w:t xml:space="preserve">IA</w:t>
      </w:r>
      <w:r w:rsidDel="00000000" w:rsidR="00000000" w:rsidRPr="00000000">
        <w:rPr>
          <w:b w:val="1"/>
          <w:bCs w:val="1"/>
          <w:color w:val="000000"/>
          <w:sz w:val="34"/>
          <w:szCs w:val="34"/>
          <w:rtl w:val="0"/>
        </w:rPr>
        <w:t xml:space="preserve"> </w:t>
      </w:r>
      <w:r w:rsidDel="00000000" w:rsidR="00000000" w:rsidRPr="00000000">
        <w:rPr>
          <w:b w:val="1"/>
          <w:bCs w:val="1"/>
          <w:color w:val="000000"/>
          <w:sz w:val="34"/>
          <w:szCs w:val="34"/>
          <w:u w:val="single"/>
          <w:rtl w:val="0"/>
        </w:rPr>
        <w:t xml:space="preserve">en</w:t>
      </w:r>
      <w:r w:rsidDel="00000000" w:rsidR="00000000" w:rsidRPr="00000000">
        <w:rPr>
          <w:b w:val="1"/>
          <w:bCs w:val="1"/>
          <w:color w:val="000000"/>
          <w:sz w:val="34"/>
          <w:szCs w:val="34"/>
          <w:rtl w:val="0"/>
        </w:rPr>
        <w:t xml:space="preserve"> </w:t>
      </w:r>
      <w:r w:rsidDel="00000000" w:rsidR="00000000" w:rsidRPr="00000000">
        <w:rPr>
          <w:b w:val="1"/>
          <w:bCs w:val="1"/>
          <w:color w:val="000000"/>
          <w:sz w:val="34"/>
          <w:szCs w:val="34"/>
          <w:u w:val="single"/>
          <w:rtl w:val="0"/>
        </w:rPr>
        <w:t xml:space="preserve">OnCompetence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El enfoque que decidimos tomar para incorporar IA en </w:t>
      </w:r>
      <w:r w:rsidDel="00000000" w:rsidR="00000000" w:rsidRPr="00000000">
        <w:rPr>
          <w:rtl w:val="0"/>
        </w:rPr>
        <w:t xml:space="preserve">OnCompetence</w:t>
      </w:r>
      <w:r w:rsidDel="00000000" w:rsidR="00000000" w:rsidRPr="00000000">
        <w:rPr>
          <w:rtl w:val="0"/>
        </w:rPr>
        <w:t xml:space="preserve"> consiste en usarla como un valor agregado dentro de los productos que ya se venden. Por este motivo, los principales cambios estructurales se darán dentro de las tres células de trabajo existentes, ya que son el núcleo operativo de la empresa.</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u w:val="single"/>
        </w:rPr>
      </w:pPr>
      <w:bookmarkStart w:colFirst="0" w:colLast="0" w:name="_jpzmtkq500dc" w:id="1"/>
      <w:bookmarkEnd w:id="1"/>
      <w:r w:rsidDel="00000000" w:rsidR="00000000" w:rsidRPr="00000000">
        <w:rPr>
          <w:b w:val="1"/>
          <w:bCs w:val="1"/>
          <w:color w:val="000000"/>
          <w:sz w:val="22"/>
          <w:szCs w:val="22"/>
          <w:u w:val="single"/>
          <w:rtl w:val="0"/>
        </w:rPr>
        <w:t xml:space="preserve">Primera implementación de IA</w:t>
      </w:r>
    </w:p>
    <w:p w:rsidR="00000000" w:rsidDel="00000000" w:rsidP="00000000" w:rsidRDefault="00000000" w:rsidRPr="00000000" w14:paraId="00000004">
      <w:pPr>
        <w:spacing w:after="240" w:before="240" w:lineRule="auto"/>
        <w:rPr/>
      </w:pPr>
      <w:r w:rsidDel="00000000" w:rsidR="00000000" w:rsidRPr="00000000">
        <w:rPr>
          <w:rtl w:val="0"/>
        </w:rPr>
        <w:t xml:space="preserve">La primera implementación se dará dentro de la Célula 3, donde se buscará ofrecer al cliente no solo el ERP tradicional, sino una solución potenciada con IA: un asistente inteligente capaz de guiar al usuario en el uso del sistema, automatizar tareas operativas y facilitar su uso. Esta propuesta apunta a generar un valor diferencial claro frente a otras empresas del sector.</w:t>
      </w:r>
    </w:p>
    <w:p w:rsidR="00000000" w:rsidDel="00000000" w:rsidP="00000000" w:rsidRDefault="00000000" w:rsidRPr="00000000" w14:paraId="00000005">
      <w:pPr>
        <w:spacing w:after="240" w:before="240" w:lineRule="auto"/>
        <w:rPr/>
      </w:pPr>
      <w:r w:rsidDel="00000000" w:rsidR="00000000" w:rsidRPr="00000000">
        <w:rPr>
          <w:rtl w:val="0"/>
        </w:rPr>
        <w:t xml:space="preserve">Para poder implementarla, será fundamental agregar un nuevo puesto dentro de la célula, denominado Analista IA, que se encargará de encontrar la mejor manera de aplicar esta tecnología en cada producto. Su rol no será únicamente técnico, sino también estratégico, ya que deberá comprender el funcionamiento de los ERP para definir cómo la IA puede mejorar la experiencia del usuario.</w:t>
      </w:r>
    </w:p>
    <w:p w:rsidR="00000000" w:rsidDel="00000000" w:rsidP="00000000" w:rsidRDefault="00000000" w:rsidRPr="00000000" w14:paraId="00000006">
      <w:pPr>
        <w:spacing w:after="240" w:before="240" w:lineRule="auto"/>
        <w:rPr/>
      </w:pPr>
      <w:r w:rsidDel="00000000" w:rsidR="00000000" w:rsidRPr="00000000">
        <w:rPr>
          <w:rtl w:val="0"/>
        </w:rPr>
        <w:t xml:space="preserve">El Analista IA trabajará estrechamente con los desarrolladores, fundamentales para adaptar la plataforma e integrar correctamente las funcionalidades. Por su parte, el líder de la célula ERP tendrá un rol clave en la coordinación del proceso, asegurando el cumplimiento de objetivos y tiempos de los proyectos.</w:t>
      </w:r>
    </w:p>
    <w:p w:rsidR="00000000" w:rsidDel="00000000" w:rsidP="00000000" w:rsidRDefault="00000000" w:rsidRPr="00000000" w14:paraId="00000007">
      <w:pPr>
        <w:spacing w:after="240" w:before="240" w:lineRule="auto"/>
        <w:rPr/>
      </w:pPr>
      <w:r w:rsidDel="00000000" w:rsidR="00000000" w:rsidRPr="00000000">
        <w:rPr>
          <w:rtl w:val="0"/>
        </w:rPr>
        <w:t xml:space="preserve">Para financiar la incorporación del nuevo Analista IA, se prevé un ajuste en la estrategia comercial del producto ERP. En particular, se definirá un esquema de precios diferenciado que refleje el valor agregado que representa la nueva funcionalidad basada en IA. Esta mejora justifica un aumento en el precio del servicio, al posicionarlo como una solución más completa, moderna y eficiente.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u w:val="single"/>
        </w:rPr>
      </w:pPr>
      <w:bookmarkStart w:colFirst="0" w:colLast="0" w:name="_hvp2ytthantj" w:id="2"/>
      <w:bookmarkEnd w:id="2"/>
      <w:r w:rsidDel="00000000" w:rsidR="00000000" w:rsidRPr="00000000">
        <w:rPr>
          <w:b w:val="1"/>
          <w:bCs w:val="1"/>
          <w:color w:val="000000"/>
          <w:sz w:val="22"/>
          <w:szCs w:val="22"/>
          <w:u w:val="single"/>
          <w:rtl w:val="0"/>
        </w:rPr>
        <w:t xml:space="preserve">Segunda implementación de IA</w:t>
      </w:r>
    </w:p>
    <w:p w:rsidR="00000000" w:rsidDel="00000000" w:rsidP="00000000" w:rsidRDefault="00000000" w:rsidRPr="00000000" w14:paraId="00000009">
      <w:pPr>
        <w:spacing w:after="240" w:before="240" w:lineRule="auto"/>
        <w:rPr/>
      </w:pPr>
      <w:r w:rsidDel="00000000" w:rsidR="00000000" w:rsidRPr="00000000">
        <w:rPr>
          <w:rtl w:val="0"/>
        </w:rPr>
        <w:t xml:space="preserve">La segunda implementación se dará dentro de la Célula 1, que comenzará a ofrecer un simulador inteligente de viabilidad de proyectos. A través de esta herramienta, el cliente podrá cargar información básica sobre su proyecto —objetivos, inversión estimada, plazos, riesgos, </w:t>
      </w:r>
      <w:r w:rsidDel="00000000" w:rsidR="00000000" w:rsidRPr="00000000">
        <w:rPr>
          <w:rtl w:val="0"/>
        </w:rPr>
        <w:t xml:space="preserve">etc.—</w:t>
      </w:r>
      <w:r w:rsidDel="00000000" w:rsidR="00000000" w:rsidRPr="00000000">
        <w:rPr>
          <w:rtl w:val="0"/>
        </w:rPr>
        <w:t xml:space="preserve"> y recibir un análisis automatizado con escenarios financieros, probabilidades de éxito y recomendaciones concretas, en base a datos históricos y al contexto económico.</w:t>
      </w:r>
    </w:p>
    <w:p w:rsidR="00000000" w:rsidDel="00000000" w:rsidP="00000000" w:rsidRDefault="00000000" w:rsidRPr="00000000" w14:paraId="0000000A">
      <w:pPr>
        <w:spacing w:after="240" w:before="240" w:lineRule="auto"/>
        <w:rPr/>
      </w:pPr>
      <w:r w:rsidDel="00000000" w:rsidR="00000000" w:rsidRPr="00000000">
        <w:rPr>
          <w:rtl w:val="0"/>
        </w:rPr>
        <w:t xml:space="preserve">Este desarrollo busca potenciar el valor de la consultoría financiera mediante capacidades predictivas y de simulación.</w:t>
      </w:r>
    </w:p>
    <w:p w:rsidR="00000000" w:rsidDel="00000000" w:rsidP="00000000" w:rsidRDefault="00000000" w:rsidRPr="00000000" w14:paraId="0000000B">
      <w:pPr>
        <w:spacing w:after="240" w:before="240" w:lineRule="auto"/>
        <w:rPr/>
      </w:pPr>
      <w:r w:rsidDel="00000000" w:rsidR="00000000" w:rsidRPr="00000000">
        <w:rPr>
          <w:rtl w:val="0"/>
        </w:rPr>
        <w:t xml:space="preserve">También aquí será necesario incorporar un perfil de Analista IA, que además de conocimientos técnicos, deberá comprender profundamente los criterios financieros utilizados por la célula. Este perfil trabajará codo a codo con el actual Analista Financiero, quien traducirá las necesidades del negocio en requerimientos funcionales para la IA. Finalmente, el líder de célula garantizará que la incorporación sea técnicamente viable y estratégicamente coherente.</w:t>
      </w:r>
    </w:p>
    <w:p w:rsidR="00000000" w:rsidDel="00000000" w:rsidP="00000000" w:rsidRDefault="00000000" w:rsidRPr="00000000" w14:paraId="0000000C">
      <w:pPr>
        <w:spacing w:after="240" w:before="240" w:lineRule="auto"/>
        <w:rPr/>
      </w:pPr>
      <w:r w:rsidDel="00000000" w:rsidR="00000000" w:rsidRPr="00000000">
        <w:rPr>
          <w:rtl w:val="0"/>
        </w:rPr>
        <w:t xml:space="preserve">En este caso también, la incorporación del nuevo Analista IA se financiará mediante una adecuación en el precio del simulador inteligente. Dado que se trata de una herramienta que aporta un diferencial significativo en términos de análisis predictivo y asesoramiento estratégico, se estima que el mercado estará dispuesto a pagar un valor superior por un servicio más sofisticado y personalizado.</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uj8132j3kg4" w:id="3"/>
      <w:bookmarkEnd w:id="3"/>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956tojhywii" w:id="4"/>
      <w:bookmarkEnd w:id="4"/>
      <w:r w:rsidDel="00000000" w:rsidR="00000000" w:rsidRPr="00000000">
        <w:rPr>
          <w:rtl w:val="0"/>
        </w:rPr>
      </w:r>
    </w:p>
    <w:p w:rsidR="00000000" w:rsidDel="00000000" w:rsidP="00000000" w:rsidRDefault="00000000" w:rsidRPr="00000000" w14:paraId="0000000F">
      <w:pPr>
        <w:pStyle w:val="Heading4"/>
        <w:keepNext w:val="0"/>
        <w:keepLines w:val="0"/>
        <w:spacing w:before="280" w:lineRule="auto"/>
        <w:rPr>
          <w:b w:val="1"/>
          <w:bCs w:val="1"/>
          <w:color w:val="000000"/>
          <w:sz w:val="22"/>
          <w:szCs w:val="22"/>
          <w:u w:val="single"/>
        </w:rPr>
      </w:pPr>
      <w:bookmarkStart w:colFirst="0" w:colLast="0" w:name="_ie5grrtxoakn" w:id="5"/>
      <w:bookmarkEnd w:id="5"/>
      <w:r w:rsidDel="00000000" w:rsidR="00000000" w:rsidRPr="00000000">
        <w:rPr>
          <w:b w:val="1"/>
          <w:bCs w:val="1"/>
          <w:color w:val="000000"/>
          <w:sz w:val="22"/>
          <w:szCs w:val="22"/>
          <w:u w:val="single"/>
          <w:rtl w:val="0"/>
        </w:rPr>
        <w:t xml:space="preserve">Medidas necesarias para la adopción de IA</w:t>
      </w:r>
    </w:p>
    <w:p w:rsidR="00000000" w:rsidDel="00000000" w:rsidP="00000000" w:rsidRDefault="00000000" w:rsidRPr="00000000" w14:paraId="00000010">
      <w:pPr>
        <w:spacing w:after="240" w:before="240" w:lineRule="auto"/>
        <w:rPr/>
      </w:pPr>
      <w:r w:rsidDel="00000000" w:rsidR="00000000" w:rsidRPr="00000000">
        <w:rPr>
          <w:rtl w:val="0"/>
        </w:rPr>
        <w:t xml:space="preserve">Para implementar estas transformaciones de manera segura, eficiente y responsable, </w:t>
      </w:r>
      <w:r w:rsidDel="00000000" w:rsidR="00000000" w:rsidRPr="00000000">
        <w:rPr>
          <w:rtl w:val="0"/>
        </w:rPr>
        <w:t xml:space="preserve">OnCompetence</w:t>
      </w:r>
      <w:r w:rsidDel="00000000" w:rsidR="00000000" w:rsidRPr="00000000">
        <w:rPr>
          <w:rtl w:val="0"/>
        </w:rPr>
        <w:t xml:space="preserve"> deberá adoptar las siguientes medidas clave: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Política interna de uso responsable de IA</w:t>
        <w:br w:type="textWrapping"/>
      </w:r>
      <w:r w:rsidDel="00000000" w:rsidR="00000000" w:rsidRPr="00000000">
        <w:rPr>
          <w:rtl w:val="0"/>
        </w:rPr>
        <w:t xml:space="preserve">En </w:t>
      </w:r>
      <w:r w:rsidDel="00000000" w:rsidR="00000000" w:rsidRPr="00000000">
        <w:rPr>
          <w:rtl w:val="0"/>
        </w:rPr>
        <w:t xml:space="preserve">OnCompetence</w:t>
      </w:r>
      <w:r w:rsidDel="00000000" w:rsidR="00000000" w:rsidRPr="00000000">
        <w:rPr>
          <w:rtl w:val="0"/>
        </w:rPr>
        <w:t xml:space="preserve">, el uso de inteligencia artificial se va pensando como una herramienta que acompañe a las personas, no que las reemplace. Por eso, la empresa fue definiendo ciertos criterios para saber en qué situaciones se puede usar la IA y en cuáles no. Por ejemplo, se busca evitar automatizaciones que funcionen sin ningún tipo de supervisión humana, se prioriza la transparencia en los resultados que entrega la IA, y se tiene en cuenta que todo lo que se implemente cumpla con las leyes de cada país donde opera la empresa.</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Capacitación obligatoria para todo el personal</w:t>
        <w:br w:type="textWrapping"/>
      </w:r>
      <w:r w:rsidDel="00000000" w:rsidR="00000000" w:rsidRPr="00000000">
        <w:rPr>
          <w:rtl w:val="0"/>
        </w:rPr>
        <w:t xml:space="preserve">Desde la empresa se empezó a trabajar en talleres y espacios de formación para que todas las personas puedan aprender a usar la inteligencia artificial de manera profesional. La idea es no solo enseñar cómo funciona, sino también sacar ciertos miedos o prejuicios, como la idea de que “usar IA es hacer trampa”. Además, estas capacitaciones ayudan a entender en qué casos conviene usarla, cuándo no, y cómo sacarle verdadero provecho sin perder el criterio humano..</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Supervisión legal obligatoria para cada desarrollo</w:t>
        <w:br w:type="textWrapping"/>
      </w:r>
      <w:r w:rsidDel="00000000" w:rsidR="00000000" w:rsidRPr="00000000">
        <w:rPr>
          <w:rtl w:val="0"/>
        </w:rPr>
        <w:t xml:space="preserve">Cada vez que se quiera aplicar inteligencia artificial en un producto o servicio, va a ser clave que participe el equipo legal (ya sea interno o externo). Ellos se van a encargar de revisar si lo que se está desarrollando cumple con las leyes del país y con normas internacionales, como el RGPD o el AI Act. Esto es importante para evitar posibles sanciones o problemas legales, que pueden afectar seriamente a la empresa si no se tienen en cuenta desde el principio.</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Incorporación de perfiles técnicos especializados (Analistas IA)</w:t>
        <w:br w:type="textWrapping"/>
      </w:r>
      <w:r w:rsidDel="00000000" w:rsidR="00000000" w:rsidRPr="00000000">
        <w:rPr>
          <w:rtl w:val="0"/>
        </w:rPr>
        <w:t xml:space="preserve">Para poder implementar bien la inteligencia artificial dentro de cada célula de trabajo, va a hacer falta sumar personas con conocimientos técnicos específicos. Estos nuevos perfiles, llamados “Analistas IA”, van a tener que entender bien tanto la tecnología como el producto con el que trabajan, y también los objetivos del negocio. Su tarea principal será pensar y definir cómo aplicar la IA de forma útil, sin perder de vista lo que necesita el cliente ni lo que busca la empresa.</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Protocolo de ética y explicabilidad</w:t>
        <w:br w:type="textWrapping"/>
      </w:r>
      <w:r w:rsidDel="00000000" w:rsidR="00000000" w:rsidRPr="00000000">
        <w:rPr>
          <w:rtl w:val="0"/>
        </w:rPr>
        <w:t xml:space="preserve">Cualquier función que use inteligencia artificial tiene que poder explicarse de forma clara a quien la use. La idea es que las personas entiendan cómo se llegó a un resultado y puedan confiar en él. Para eso, se buscará evitar sesgos, asegurar que los datos usados sean válidos y que todo el proceso pueda ser seguido paso a paso. También es importante cuidar cómo se usan los datos, respetando siempre la privacidad y las reglas de cada país.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Estas medidas permiten a </w:t>
      </w:r>
      <w:r w:rsidDel="00000000" w:rsidR="00000000" w:rsidRPr="00000000">
        <w:rPr>
          <w:rtl w:val="0"/>
        </w:rPr>
        <w:t xml:space="preserve">OnCompetence</w:t>
      </w:r>
      <w:r w:rsidDel="00000000" w:rsidR="00000000" w:rsidRPr="00000000">
        <w:rPr>
          <w:rtl w:val="0"/>
        </w:rPr>
        <w:t xml:space="preserve"> incorporar la inteligencia artificial de forma estratégica, responsable y alineada a su estructura actual, de forma tal que se la tiene como oportunidad para fortalecer sus servicios, sin alterar drásticamente su estructura. Las medidas propuestas buscan acompañar ese proceso de manera gradual, equilibrando la innovación tecnológica con la responsabilidad legal, la formación del equipo y el respeto por los valores organizacionales.</w:t>
      </w:r>
    </w:p>
    <w:p w:rsidR="00000000" w:rsidDel="00000000" w:rsidP="00000000" w:rsidRDefault="00000000" w:rsidRPr="00000000" w14:paraId="00000018">
      <w:pPr>
        <w:rPr/>
      </w:pPr>
      <w:r w:rsidDel="00000000" w:rsidR="00000000" w:rsidRPr="00000000">
        <w:rPr>
          <w:rtl w:val="0"/>
        </w:rPr>
        <w:t xml:space="preserve">En este camino, la IA podría representar una ventaja competitiva real si se la integra con criterio, claridad y compromiso, tanto hacia los clientes como hacia el propio equipo de trabajo.</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