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3000"/>
        <w:jc w:val="center"/>
      </w:pPr>
      <w:r>
        <w:rPr>
          <w:b/>
          <w:bCs/>
          <w:color w:val="1B2A41"/>
          <w:sz w:val="56"/>
          <w:szCs w:val="56"/>
        </w:rPr>
        <w:t xml:space="preserve">ERPyME – MiEmpresa ERP</w:t>
      </w:r>
    </w:p>
    <w:p>
      <w:pPr>
        <w:spacing w:after="200"/>
        <w:jc w:val="center"/>
      </w:pPr>
      <w:r>
        <w:rPr>
          <w:color w:val="274B8F"/>
          <w:sz w:val="30"/>
          <w:szCs w:val="30"/>
        </w:rPr>
        <w:t xml:space="preserve">Sistema Integral de Gestión Empresarial para PyMEs Comerciales</w:t>
      </w:r>
    </w:p>
    <w:p>
      <w:pPr>
        <w:spacing w:after="120"/>
        <w:jc w:val="center"/>
      </w:pPr>
      <w:r>
        <w:rPr>
          <w:sz w:val="24"/>
          <w:szCs w:val="24"/>
        </w:rPr>
        <w:t xml:space="preserve">Especificación técnica y funcional del sistema</w:t>
      </w:r>
    </w:p>
    <w:p>
      <w:pPr>
        <w:spacing w:after="120"/>
        <w:jc w:val="center"/>
      </w:pPr>
      <w:r>
        <w:rPr>
          <w:sz w:val="24"/>
          <w:szCs w:val="24"/>
        </w:rPr>
        <w:t xml:space="preserve">Trabajo Práctico – Ingeniería de Software</w:t>
      </w:r>
    </w:p>
    <w:p>
      <w:pPr>
        <w:spacing w:after="120"/>
        <w:jc w:val="center"/>
      </w:pPr>
      <w:r>
        <w:rPr>
          <w:i/>
          <w:iCs/>
          <w:sz w:val="22"/>
          <w:szCs w:val="22"/>
        </w:rPr>
        <w:t xml:space="preserve">Julio de 2026</w:t>
      </w:r>
    </w:p>
    <w:p>
      <w:r>
        <w:br w:type="page"/>
      </w:r>
    </w:p>
    <w:p>
      <w:pPr>
        <w:pStyle w:val="Heading1"/>
      </w:pPr>
      <w:r>
        <w:t xml:space="preserve">Índice</w:t>
      </w:r>
    </w:p>
    <w:sdt>
      <w:sdtPr>
        <w:alias w:val="Índice"/>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Descripción general del sistema</w:t>
      </w:r>
    </w:p>
    <w:p>
      <w:pPr>
        <w:spacing w:after="120"/>
      </w:pPr>
      <w:r>
        <w:t xml:space="preserve">ERPyME (nombre comercial “MiEmpresa ERP”) es una aplicación de escritorio para la gestión integral de una PyME comercial. Permite administrar productos, clientes, ventas, stock, cuentas corrientes y auditoría de operaciones, según los requerimientos funcionales (RF01–RF28) y no funcionales (RNF01–RNF15) definidos en el documento de ingeniería de requisitos del proyecto.</w:t>
      </w:r>
    </w:p>
    <w:p>
      <w:pPr>
        <w:spacing w:after="120"/>
      </w:pPr>
      <w:r>
        <w:t xml:space="preserve">El requerimiento core de la primera iteración es RC01 – Registrar Venta, que integra clientes, productos, validación de stock, actualización de inventario, cuentas corrientes y trazabilidad.</w:t>
      </w:r>
    </w:p>
    <w:p>
      <w:pPr>
        <w:pStyle w:val="Heading2"/>
      </w:pPr>
      <w:r>
        <w:t xml:space="preserve">1.1 Tecnologías utilizadas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BD5E1" w:sz="1"/>
              <w:left w:val="single" w:color="CBD5E1" w:sz="1"/>
              <w:bottom w:val="single" w:color="CBD5E1" w:sz="1"/>
              <w:right w:val="single" w:color="CBD5E1" w:sz="1"/>
            </w:tcBorders>
            <w:shd w:fill="1B2A41" w:val="clear"/>
            <w:tcMar>
              <w:top w:type="dxa" w:w="80"/>
              <w:left w:type="dxa" w:w="120"/>
              <w:bottom w:type="dxa" w:w="80"/>
              <w:right w:type="dxa" w:w="120"/>
            </w:tcMar>
          </w:tcPr>
          <w:p>
            <w:r>
              <w:rPr>
                <w:b/>
                <w:bCs/>
                <w:color w:val="FFFFFF"/>
                <w:sz w:val="20"/>
                <w:szCs w:val="20"/>
              </w:rPr>
              <w:t xml:space="preserve">Componente</w:t>
            </w:r>
          </w:p>
        </w:tc>
        <w:tc>
          <w:tcPr>
            <w:tcW w:type="dxa" w:w="6426"/>
            <w:tcBorders>
              <w:top w:val="single" w:color="CBD5E1" w:sz="1"/>
              <w:left w:val="single" w:color="CBD5E1" w:sz="1"/>
              <w:bottom w:val="single" w:color="CBD5E1" w:sz="1"/>
              <w:right w:val="single" w:color="CBD5E1" w:sz="1"/>
            </w:tcBorders>
            <w:shd w:fill="1B2A41" w:val="clear"/>
            <w:tcMar>
              <w:top w:type="dxa" w:w="80"/>
              <w:left w:type="dxa" w:w="120"/>
              <w:bottom w:type="dxa" w:w="80"/>
              <w:right w:type="dxa" w:w="120"/>
            </w:tcMar>
          </w:tcPr>
          <w:p>
            <w:r>
              <w:rPr>
                <w:b/>
                <w:bCs/>
                <w:color w:val="FFFFFF"/>
                <w:sz w:val="20"/>
                <w:szCs w:val="20"/>
              </w:rPr>
              <w:t xml:space="preserve">Tecnología</w:t>
            </w:r>
          </w:p>
        </w:tc>
      </w:tr>
      <w:tr>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Lenguaje</w:t>
            </w:r>
          </w:p>
        </w:tc>
        <w:tc>
          <w:tcPr>
            <w:tcW w:type="dxa" w:w="642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C# (.NET 9)</w:t>
            </w:r>
          </w:p>
        </w:tc>
      </w:tr>
      <w:tr>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Interfaz de usuario</w:t>
            </w:r>
          </w:p>
        </w:tc>
        <w:tc>
          <w:tcPr>
            <w:tcW w:type="dxa" w:w="642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Windows Forms (formularios con diseñador de Visual Studio)</w:t>
            </w:r>
          </w:p>
        </w:tc>
      </w:tr>
      <w:tr>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Acceso a datos (ORM)</w:t>
            </w:r>
          </w:p>
        </w:tc>
        <w:tc>
          <w:tcPr>
            <w:tcW w:type="dxa" w:w="642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Entity Framework Core 9 (Microsoft.EntityFrameworkCore.SqlServer)</w:t>
            </w:r>
          </w:p>
        </w:tc>
      </w:tr>
      <w:tr>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Base de datos</w:t>
            </w:r>
          </w:p>
        </w:tc>
        <w:tc>
          <w:tcPr>
            <w:tcW w:type="dxa" w:w="642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SQL Server Express (instancia local localhost\SQLEXPRESS, base “ERPyME”)</w:t>
            </w:r>
          </w:p>
        </w:tc>
      </w:tr>
      <w:tr>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IDE</w:t>
            </w:r>
          </w:p>
        </w:tc>
        <w:tc>
          <w:tcPr>
            <w:tcW w:type="dxa" w:w="642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Visual Studio 2026 – solución ERPyME.sln</w:t>
            </w:r>
          </w:p>
        </w:tc>
      </w:tr>
      <w:tr>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Arquitectura</w:t>
            </w:r>
          </w:p>
        </w:tc>
        <w:tc>
          <w:tcPr>
            <w:tcW w:type="dxa" w:w="642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MVC: Modelo – Vista – Controladora</w:t>
            </w:r>
          </w:p>
        </w:tc>
      </w:tr>
    </w:tbl>
    <w:p>
      <w:pPr>
        <w:spacing w:after="160"/>
      </w:pPr>
    </w:p>
    <w:p>
      <w:pPr>
        <w:pStyle w:val="Heading1"/>
      </w:pPr>
      <w:r>
        <w:t xml:space="preserve">2. Arquitectura del sistema (patrón MVC)</w:t>
      </w:r>
    </w:p>
    <w:p>
      <w:pPr>
        <w:spacing w:after="120"/>
      </w:pPr>
      <w:r>
        <w:t xml:space="preserve">El proyecto está organizado en tres capas con responsabilidades separadas, siguiendo el patrón Modelo–Vista–Controladora. Esta separación cumple con el requerimiento no funcional RNF10 (mantenibilidad) y RNF11 (escalabilidad funcional).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4826"/>
      </w:tblGrid>
      <w:tr>
        <w:trPr>
          <w:tblHeader/>
        </w:trPr>
        <w:tc>
          <w:tcPr>
            <w:tcW w:type="dxa" w:w="1900"/>
            <w:tcBorders>
              <w:top w:val="single" w:color="CBD5E1" w:sz="1"/>
              <w:left w:val="single" w:color="CBD5E1" w:sz="1"/>
              <w:bottom w:val="single" w:color="CBD5E1" w:sz="1"/>
              <w:right w:val="single" w:color="CBD5E1" w:sz="1"/>
            </w:tcBorders>
            <w:shd w:fill="1B2A41" w:val="clear"/>
            <w:tcMar>
              <w:top w:type="dxa" w:w="80"/>
              <w:left w:type="dxa" w:w="120"/>
              <w:bottom w:type="dxa" w:w="80"/>
              <w:right w:type="dxa" w:w="120"/>
            </w:tcMar>
          </w:tcPr>
          <w:p>
            <w:r>
              <w:rPr>
                <w:b/>
                <w:bCs/>
                <w:color w:val="FFFFFF"/>
                <w:sz w:val="20"/>
                <w:szCs w:val="20"/>
              </w:rPr>
              <w:t xml:space="preserve">Capa</w:t>
            </w:r>
          </w:p>
        </w:tc>
        <w:tc>
          <w:tcPr>
            <w:tcW w:type="dxa" w:w="2300"/>
            <w:tcBorders>
              <w:top w:val="single" w:color="CBD5E1" w:sz="1"/>
              <w:left w:val="single" w:color="CBD5E1" w:sz="1"/>
              <w:bottom w:val="single" w:color="CBD5E1" w:sz="1"/>
              <w:right w:val="single" w:color="CBD5E1" w:sz="1"/>
            </w:tcBorders>
            <w:shd w:fill="1B2A41" w:val="clear"/>
            <w:tcMar>
              <w:top w:type="dxa" w:w="80"/>
              <w:left w:type="dxa" w:w="120"/>
              <w:bottom w:type="dxa" w:w="80"/>
              <w:right w:type="dxa" w:w="120"/>
            </w:tcMar>
          </w:tcPr>
          <w:p>
            <w:r>
              <w:rPr>
                <w:b/>
                <w:bCs/>
                <w:color w:val="FFFFFF"/>
                <w:sz w:val="20"/>
                <w:szCs w:val="20"/>
              </w:rPr>
              <w:t xml:space="preserve">Carpeta</w:t>
            </w:r>
          </w:p>
        </w:tc>
        <w:tc>
          <w:tcPr>
            <w:tcW w:type="dxa" w:w="4826"/>
            <w:tcBorders>
              <w:top w:val="single" w:color="CBD5E1" w:sz="1"/>
              <w:left w:val="single" w:color="CBD5E1" w:sz="1"/>
              <w:bottom w:val="single" w:color="CBD5E1" w:sz="1"/>
              <w:right w:val="single" w:color="CBD5E1" w:sz="1"/>
            </w:tcBorders>
            <w:shd w:fill="1B2A41" w:val="clear"/>
            <w:tcMar>
              <w:top w:type="dxa" w:w="80"/>
              <w:left w:type="dxa" w:w="120"/>
              <w:bottom w:type="dxa" w:w="80"/>
              <w:right w:type="dxa" w:w="120"/>
            </w:tcMar>
          </w:tcPr>
          <w:p>
            <w:r>
              <w:rPr>
                <w:b/>
                <w:bCs/>
                <w:color w:val="FFFFFF"/>
                <w:sz w:val="20"/>
                <w:szCs w:val="20"/>
              </w:rPr>
              <w:t xml:space="preserve">Responsabilidad</w:t>
            </w:r>
          </w:p>
        </w:tc>
      </w:tr>
      <w:tr>
        <w:tc>
          <w:tcPr>
            <w:tcW w:type="dxa" w:w="19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Modelo</w:t>
            </w:r>
          </w:p>
        </w:tc>
        <w:tc>
          <w:tcPr>
            <w:tcW w:type="dxa" w:w="23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Modelos/</w:t>
            </w:r>
          </w:p>
        </w:tc>
        <w:tc>
          <w:tcPr>
            <w:tcW w:type="dxa" w:w="482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Entidades del dominio, acceso a datos con Entity Framework Core (AppDbContext) y servicios de soporte (hash de claves, sesión, auditoría). Es la única capa que conoce la base de datos.</w:t>
            </w:r>
          </w:p>
        </w:tc>
      </w:tr>
      <w:tr>
        <w:tc>
          <w:tcPr>
            <w:tcW w:type="dxa" w:w="19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Vista</w:t>
            </w:r>
          </w:p>
        </w:tc>
        <w:tc>
          <w:tcPr>
            <w:tcW w:type="dxa" w:w="23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Vistas/</w:t>
            </w:r>
          </w:p>
        </w:tc>
        <w:tc>
          <w:tcPr>
            <w:tcW w:type="dxa" w:w="482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Formularios y pantallas Windows Forms (archivos .cs + .Designer.cs). No contienen lógica de negocio ni acceso a datos: capturan la entrada del usuario y muestran los resultados.</w:t>
            </w:r>
          </w:p>
        </w:tc>
      </w:tr>
      <w:tr>
        <w:tc>
          <w:tcPr>
            <w:tcW w:type="dxa" w:w="19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Controladora</w:t>
            </w:r>
          </w:p>
        </w:tc>
        <w:tc>
          <w:tcPr>
            <w:tcW w:type="dxa" w:w="23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Controladoras/</w:t>
            </w:r>
          </w:p>
        </w:tc>
        <w:tc>
          <w:tcPr>
            <w:tcW w:type="dxa" w:w="482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Recibe las acciones de la vista, aplica las reglas de negocio (validación de stock, bajas lógicas, cuentas corrientes, auditoría) y opera sobre el modelo.</w:t>
            </w:r>
          </w:p>
        </w:tc>
      </w:tr>
    </w:tbl>
    <w:p>
      <w:pPr>
        <w:spacing w:after="160"/>
      </w:pPr>
    </w:p>
    <w:p>
      <w:pPr>
        <w:pStyle w:val="Heading2"/>
      </w:pPr>
      <w:r>
        <w:t xml:space="preserve">2.1 Flujo MVC del caso core (RC01 – Registrar Venta)</w:t>
      </w:r>
    </w:p>
    <w:p>
      <w:pPr>
        <w:pStyle w:val="ListParagraph"/>
        <w:numPr>
          <w:ilvl w:val="0"/>
          <w:numId w:val="2"/>
        </w:numPr>
        <w:spacing w:after="60"/>
      </w:pPr>
      <w:r>
        <w:t xml:space="preserve">La vista VentaView captura cliente, forma de pago y la lista de productos con cantidades.</w:t>
      </w:r>
    </w:p>
    <w:p>
      <w:pPr>
        <w:pStyle w:val="ListParagraph"/>
        <w:numPr>
          <w:ilvl w:val="0"/>
          <w:numId w:val="2"/>
        </w:numPr>
        <w:spacing w:after="60"/>
      </w:pPr>
      <w:r>
        <w:t xml:space="preserve">La vista invoca ControladoraVentas.Registrar(clienteId, formaPago, items).</w:t>
      </w:r>
    </w:p>
    <w:p>
      <w:pPr>
        <w:pStyle w:val="ListParagraph"/>
        <w:numPr>
          <w:ilvl w:val="0"/>
          <w:numId w:val="2"/>
        </w:numPr>
        <w:spacing w:after="60"/>
      </w:pPr>
      <w:r>
        <w:t xml:space="preserve">La controladora revalida el stock contra la base (RN01), graba la venta y su detalle, descuenta el stock (RN03), actualiza la cuenta corriente si es a crédito (RN06) y registra la auditoría (RN08), todo dentro de una transacción.</w:t>
      </w:r>
    </w:p>
    <w:p>
      <w:pPr>
        <w:pStyle w:val="ListParagraph"/>
        <w:numPr>
          <w:ilvl w:val="0"/>
          <w:numId w:val="2"/>
        </w:numPr>
        <w:spacing w:after="60"/>
      </w:pPr>
      <w:r>
        <w:t xml:space="preserve">La controladora devuelve un objeto ResultadoVenta (éxito, mensaje, número de venta, saldo) y la vista solo lo muestra.</w:t>
      </w:r>
    </w:p>
    <w:p>
      <w:pPr>
        <w:pStyle w:val="Heading2"/>
      </w:pPr>
      <w:r>
        <w:t xml:space="preserve">2.2 Verificación de la separación de capas</w:t>
      </w:r>
    </w:p>
    <w:p>
      <w:pPr>
        <w:pStyle w:val="ListParagraph"/>
        <w:numPr>
          <w:ilvl w:val="0"/>
          <w:numId w:val="2"/>
        </w:numPr>
        <w:spacing w:after="60"/>
      </w:pPr>
      <w:r>
        <w:t xml:space="preserve">Ninguna vista referencia AppDbContext ni Entity Framework: el acceso a datos está concentrado en las seis controladoras y en el modelo.</w:t>
      </w:r>
    </w:p>
    <w:p>
      <w:pPr>
        <w:pStyle w:val="ListParagraph"/>
        <w:numPr>
          <w:ilvl w:val="0"/>
          <w:numId w:val="2"/>
        </w:numPr>
        <w:spacing w:after="60"/>
      </w:pPr>
      <w:r>
        <w:t xml:space="preserve">Las controladoras devuelven entidades o registros de solo lectura (records); las vistas no ejecutan consultas.</w:t>
      </w:r>
    </w:p>
    <w:p>
      <w:pPr>
        <w:pStyle w:val="ListParagraph"/>
        <w:numPr>
          <w:ilvl w:val="0"/>
          <w:numId w:val="2"/>
        </w:numPr>
        <w:spacing w:after="60"/>
      </w:pPr>
      <w:r>
        <w:t xml:space="preserve">Los estilos visuales compartidos están centralizados en Ui/Estilos.cs (RNF12 – consistencia visual).</w:t>
      </w:r>
    </w:p>
    <w:p>
      <w:pPr>
        <w:pStyle w:val="Heading1"/>
      </w:pPr>
      <w:r>
        <w:t xml:space="preserve">3. Modelo de datos y Entity Framework</w:t>
      </w:r>
    </w:p>
    <w:p>
      <w:pPr>
        <w:spacing w:after="120"/>
      </w:pPr>
      <w:r>
        <w:t xml:space="preserve">La capa de modelo utiliza Entity Framework Core con el enfoque de mapeo explícito: cada entidad C# está mapeada columna por columna contra el esquema definido en el script “Base de datos.sql” (tablas en minúsculas con claves id_*). El contexto AppDbContext define la cadena de conexión, el mapeo y la inicialización.</w:t>
      </w:r>
    </w:p>
    <w:p>
      <w:pPr>
        <w:pStyle w:val="Heading2"/>
      </w:pPr>
      <w:r>
        <w:t xml:space="preserve">3.1 Conexión a la base de datos</w:t>
      </w:r>
    </w:p>
    <w:p>
      <w:pPr>
        <w:pStyle w:val="ListParagraph"/>
        <w:numPr>
          <w:ilvl w:val="0"/>
          <w:numId w:val="2"/>
        </w:numPr>
        <w:spacing w:after="60"/>
      </w:pPr>
      <w:r>
        <w:t xml:space="preserve">Servidor: localhost\SQLEXPRESS (SQL Server Express, autenticación de Windows).</w:t>
      </w:r>
    </w:p>
    <w:p>
      <w:pPr>
        <w:pStyle w:val="ListParagraph"/>
        <w:numPr>
          <w:ilvl w:val="0"/>
          <w:numId w:val="2"/>
        </w:numPr>
        <w:spacing w:after="60"/>
      </w:pPr>
      <w:r>
        <w:t xml:space="preserve">Base de datos: ERPyME.</w:t>
      </w:r>
    </w:p>
    <w:p>
      <w:pPr>
        <w:pStyle w:val="ListParagraph"/>
        <w:numPr>
          <w:ilvl w:val="0"/>
          <w:numId w:val="2"/>
        </w:numPr>
        <w:spacing w:after="60"/>
      </w:pPr>
      <w:r>
        <w:t xml:space="preserve">Cadena de conexión definida en Modelos/AppDbContext.cs, con TrustServerCertificate y compatibilidad SQL Server 2014 (UseCompatibilityLevel(120)).</w:t>
      </w:r>
    </w:p>
    <w:p>
      <w:pPr>
        <w:pStyle w:val="ListParagraph"/>
        <w:numPr>
          <w:ilvl w:val="0"/>
          <w:numId w:val="2"/>
        </w:numPr>
        <w:spacing w:after="60"/>
      </w:pPr>
      <w:r>
        <w:t xml:space="preserve">Al iniciar, la aplicación crea la base automáticamente si no existe (EnsureCreated) con el mismo esquema del script. También funciona si la base fue creada previamente ejecutando el script en SQL Server Management Studio.</w:t>
      </w:r>
    </w:p>
    <w:p>
      <w:pPr>
        <w:pStyle w:val="ListParagraph"/>
        <w:numPr>
          <w:ilvl w:val="0"/>
          <w:numId w:val="2"/>
        </w:numPr>
        <w:spacing w:after="60"/>
      </w:pPr>
      <w:r>
        <w:t xml:space="preserve">La carga inicial incluye únicamente la configuración necesaria para operar: los usuarios con sus grupos y permisos, y los rubros base. No se cargan datos de ejemplo: productos, clientes y proveedores comienzan vacíos y se cargan desde las pantallas del sistema.</w:t>
      </w:r>
    </w:p>
    <w:p>
      <w:pPr>
        <w:pStyle w:val="Heading2"/>
      </w:pPr>
      <w:r>
        <w:t xml:space="preserve">3.2 Entidades y tablas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2300"/>
        <w:gridCol w:w="4626"/>
      </w:tblGrid>
      <w:tr>
        <w:trPr>
          <w:tblHeader/>
        </w:trPr>
        <w:tc>
          <w:tcPr>
            <w:tcW w:type="dxa" w:w="2100"/>
            <w:tcBorders>
              <w:top w:val="single" w:color="CBD5E1" w:sz="1"/>
              <w:left w:val="single" w:color="CBD5E1" w:sz="1"/>
              <w:bottom w:val="single" w:color="CBD5E1" w:sz="1"/>
              <w:right w:val="single" w:color="CBD5E1" w:sz="1"/>
            </w:tcBorders>
            <w:shd w:fill="1B2A41" w:val="clear"/>
            <w:tcMar>
              <w:top w:type="dxa" w:w="80"/>
              <w:left w:type="dxa" w:w="120"/>
              <w:bottom w:type="dxa" w:w="80"/>
              <w:right w:type="dxa" w:w="120"/>
            </w:tcMar>
          </w:tcPr>
          <w:p>
            <w:r>
              <w:rPr>
                <w:b/>
                <w:bCs/>
                <w:color w:val="FFFFFF"/>
                <w:sz w:val="20"/>
                <w:szCs w:val="20"/>
              </w:rPr>
              <w:t xml:space="preserve">Clase (entidad)</w:t>
            </w:r>
          </w:p>
        </w:tc>
        <w:tc>
          <w:tcPr>
            <w:tcW w:type="dxa" w:w="2300"/>
            <w:tcBorders>
              <w:top w:val="single" w:color="CBD5E1" w:sz="1"/>
              <w:left w:val="single" w:color="CBD5E1" w:sz="1"/>
              <w:bottom w:val="single" w:color="CBD5E1" w:sz="1"/>
              <w:right w:val="single" w:color="CBD5E1" w:sz="1"/>
            </w:tcBorders>
            <w:shd w:fill="1B2A41" w:val="clear"/>
            <w:tcMar>
              <w:top w:type="dxa" w:w="80"/>
              <w:left w:type="dxa" w:w="120"/>
              <w:bottom w:type="dxa" w:w="80"/>
              <w:right w:type="dxa" w:w="120"/>
            </w:tcMar>
          </w:tcPr>
          <w:p>
            <w:r>
              <w:rPr>
                <w:b/>
                <w:bCs/>
                <w:color w:val="FFFFFF"/>
                <w:sz w:val="20"/>
                <w:szCs w:val="20"/>
              </w:rPr>
              <w:t xml:space="preserve">Tabla SQL</w:t>
            </w:r>
          </w:p>
        </w:tc>
        <w:tc>
          <w:tcPr>
            <w:tcW w:type="dxa" w:w="4626"/>
            <w:tcBorders>
              <w:top w:val="single" w:color="CBD5E1" w:sz="1"/>
              <w:left w:val="single" w:color="CBD5E1" w:sz="1"/>
              <w:bottom w:val="single" w:color="CBD5E1" w:sz="1"/>
              <w:right w:val="single" w:color="CBD5E1" w:sz="1"/>
            </w:tcBorders>
            <w:shd w:fill="1B2A41" w:val="clear"/>
            <w:tcMar>
              <w:top w:type="dxa" w:w="80"/>
              <w:left w:type="dxa" w:w="120"/>
              <w:bottom w:type="dxa" w:w="80"/>
              <w:right w:type="dxa" w:w="120"/>
            </w:tcMar>
          </w:tcPr>
          <w:p>
            <w:r>
              <w:rPr>
                <w:b/>
                <w:bCs/>
                <w:color w:val="FFFFFF"/>
                <w:sz w:val="20"/>
                <w:szCs w:val="20"/>
              </w:rPr>
              <w:t xml:space="preserve">Descripción</w:t>
            </w:r>
          </w:p>
        </w:tc>
      </w:tr>
      <w:tr>
        <w:tc>
          <w:tcPr>
            <w:tcW w:type="dxa" w:w="21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Usuario</w:t>
            </w:r>
          </w:p>
        </w:tc>
        <w:tc>
          <w:tcPr>
            <w:tcW w:type="dxa" w:w="23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usuarios</w:t>
            </w:r>
          </w:p>
        </w:tc>
        <w:tc>
          <w:tcPr>
            <w:tcW w:type="dxa" w:w="462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Usuarios del sistema con clave hasheada (clave_hash) y estado.</w:t>
            </w:r>
          </w:p>
        </w:tc>
      </w:tr>
      <w:tr>
        <w:tc>
          <w:tcPr>
            <w:tcW w:type="dxa" w:w="21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Grupo</w:t>
            </w:r>
          </w:p>
        </w:tc>
        <w:tc>
          <w:tcPr>
            <w:tcW w:type="dxa" w:w="23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grupos</w:t>
            </w:r>
          </w:p>
        </w:tc>
        <w:tc>
          <w:tcPr>
            <w:tcW w:type="dxa" w:w="462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Grupos o roles (Administradores, Ventas).</w:t>
            </w:r>
          </w:p>
        </w:tc>
      </w:tr>
      <w:tr>
        <w:tc>
          <w:tcPr>
            <w:tcW w:type="dxa" w:w="21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Permiso</w:t>
            </w:r>
          </w:p>
        </w:tc>
        <w:tc>
          <w:tcPr>
            <w:tcW w:type="dxa" w:w="23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permisos</w:t>
            </w:r>
          </w:p>
        </w:tc>
        <w:tc>
          <w:tcPr>
            <w:tcW w:type="dxa" w:w="462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Permisos del sistema asignables a grupos.</w:t>
            </w:r>
          </w:p>
        </w:tc>
      </w:tr>
      <w:tr>
        <w:tc>
          <w:tcPr>
            <w:tcW w:type="dxa" w:w="21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(relación N a N)</w:t>
            </w:r>
          </w:p>
        </w:tc>
        <w:tc>
          <w:tcPr>
            <w:tcW w:type="dxa" w:w="23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usuario_grupo</w:t>
            </w:r>
          </w:p>
        </w:tc>
        <w:tc>
          <w:tcPr>
            <w:tcW w:type="dxa" w:w="462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Asignación de usuarios a grupos.</w:t>
            </w:r>
          </w:p>
        </w:tc>
      </w:tr>
      <w:tr>
        <w:tc>
          <w:tcPr>
            <w:tcW w:type="dxa" w:w="21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(relación N a N)</w:t>
            </w:r>
          </w:p>
        </w:tc>
        <w:tc>
          <w:tcPr>
            <w:tcW w:type="dxa" w:w="23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grupo_permiso</w:t>
            </w:r>
          </w:p>
        </w:tc>
        <w:tc>
          <w:tcPr>
            <w:tcW w:type="dxa" w:w="462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Asignación de permisos a grupos.</w:t>
            </w:r>
          </w:p>
        </w:tc>
      </w:tr>
      <w:tr>
        <w:tc>
          <w:tcPr>
            <w:tcW w:type="dxa" w:w="21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Cliente</w:t>
            </w:r>
          </w:p>
        </w:tc>
        <w:tc>
          <w:tcPr>
            <w:tcW w:type="dxa" w:w="23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clientes</w:t>
            </w:r>
          </w:p>
        </w:tc>
        <w:tc>
          <w:tcPr>
            <w:tcW w:type="dxa" w:w="462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Clientes con código, CUIT, contacto y estado.</w:t>
            </w:r>
          </w:p>
        </w:tc>
      </w:tr>
      <w:tr>
        <w:tc>
          <w:tcPr>
            <w:tcW w:type="dxa" w:w="21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Proveedor</w:t>
            </w:r>
          </w:p>
        </w:tc>
        <w:tc>
          <w:tcPr>
            <w:tcW w:type="dxa" w:w="23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proveedores</w:t>
            </w:r>
          </w:p>
        </w:tc>
        <w:tc>
          <w:tcPr>
            <w:tcW w:type="dxa" w:w="462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Proveedores (datos maestros cargados; módulo de pantalla pendiente).</w:t>
            </w:r>
          </w:p>
        </w:tc>
      </w:tr>
      <w:tr>
        <w:tc>
          <w:tcPr>
            <w:tcW w:type="dxa" w:w="21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Rubro</w:t>
            </w:r>
          </w:p>
        </w:tc>
        <w:tc>
          <w:tcPr>
            <w:tcW w:type="dxa" w:w="23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rubros</w:t>
            </w:r>
          </w:p>
        </w:tc>
        <w:tc>
          <w:tcPr>
            <w:tcW w:type="dxa" w:w="462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Rubros o categorías de productos.</w:t>
            </w:r>
          </w:p>
        </w:tc>
      </w:tr>
      <w:tr>
        <w:tc>
          <w:tcPr>
            <w:tcW w:type="dxa" w:w="21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Producto</w:t>
            </w:r>
          </w:p>
        </w:tc>
        <w:tc>
          <w:tcPr>
            <w:tcW w:type="dxa" w:w="23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productos</w:t>
            </w:r>
          </w:p>
        </w:tc>
        <w:tc>
          <w:tcPr>
            <w:tcW w:type="dxa" w:w="462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Productos con precio, stock actual, stock mínimo, rubro y estado.</w:t>
            </w:r>
          </w:p>
        </w:tc>
      </w:tr>
      <w:tr>
        <w:tc>
          <w:tcPr>
            <w:tcW w:type="dxa" w:w="21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Compra / DetalleCompra</w:t>
            </w:r>
          </w:p>
        </w:tc>
        <w:tc>
          <w:tcPr>
            <w:tcW w:type="dxa" w:w="23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compras, detalle_compra</w:t>
            </w:r>
          </w:p>
        </w:tc>
        <w:tc>
          <w:tcPr>
            <w:tcW w:type="dxa" w:w="462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Estructura de compras (pantalla pendiente).</w:t>
            </w:r>
          </w:p>
        </w:tc>
      </w:tr>
      <w:tr>
        <w:tc>
          <w:tcPr>
            <w:tcW w:type="dxa" w:w="21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Venta / DetalleVenta</w:t>
            </w:r>
          </w:p>
        </w:tc>
        <w:tc>
          <w:tcPr>
            <w:tcW w:type="dxa" w:w="23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ventas, detalle_venta</w:t>
            </w:r>
          </w:p>
        </w:tc>
        <w:tc>
          <w:tcPr>
            <w:tcW w:type="dxa" w:w="462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Ventas con número, fecha, total, estado, forma de pago e importe pagado, y su detalle por producto.</w:t>
            </w:r>
          </w:p>
        </w:tc>
      </w:tr>
      <w:tr>
        <w:tc>
          <w:tcPr>
            <w:tcW w:type="dxa" w:w="21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CuentaCorriente</w:t>
            </w:r>
          </w:p>
        </w:tc>
        <w:tc>
          <w:tcPr>
            <w:tcW w:type="dxa" w:w="23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cuentas_corrientes</w:t>
            </w:r>
          </w:p>
        </w:tc>
        <w:tc>
          <w:tcPr>
            <w:tcW w:type="dxa" w:w="462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Saldo anterior, débitos, créditos, saldo actual y estado por cliente.</w:t>
            </w:r>
          </w:p>
        </w:tc>
      </w:tr>
      <w:tr>
        <w:tc>
          <w:tcPr>
            <w:tcW w:type="dxa" w:w="21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Pago</w:t>
            </w:r>
          </w:p>
        </w:tc>
        <w:tc>
          <w:tcPr>
            <w:tcW w:type="dxa" w:w="23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pagos</w:t>
            </w:r>
          </w:p>
        </w:tc>
        <w:tc>
          <w:tcPr>
            <w:tcW w:type="dxa" w:w="462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Pagos imputados a cuentas corrientes (pantalla pendiente).</w:t>
            </w:r>
          </w:p>
        </w:tc>
      </w:tr>
      <w:tr>
        <w:tc>
          <w:tcPr>
            <w:tcW w:type="dxa" w:w="21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Auditoria</w:t>
            </w:r>
          </w:p>
        </w:tc>
        <w:tc>
          <w:tcPr>
            <w:tcW w:type="dxa" w:w="23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auditorias</w:t>
            </w:r>
          </w:p>
        </w:tc>
        <w:tc>
          <w:tcPr>
            <w:tcW w:type="dxa" w:w="462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Registro de acciones críticas con usuario, fecha/hora y referencia opcional a venta o compra.</w:t>
            </w:r>
          </w:p>
        </w:tc>
      </w:tr>
    </w:tbl>
    <w:p>
      <w:pPr>
        <w:spacing w:after="160"/>
      </w:pPr>
    </w:p>
    <w:p>
      <w:pPr>
        <w:pStyle w:val="Heading2"/>
      </w:pPr>
      <w:r>
        <w:t xml:space="preserve">3.3 Servicios del modelo</w:t>
      </w:r>
    </w:p>
    <w:p>
      <w:pPr>
        <w:pStyle w:val="ListParagraph"/>
        <w:numPr>
          <w:ilvl w:val="0"/>
          <w:numId w:val="2"/>
        </w:numPr>
        <w:spacing w:after="60"/>
      </w:pPr>
      <w:r>
        <w:t xml:space="preserve">PasswordHasher: hash SHA-256 de las contraseñas; nunca se almacenan en texto plano (RNF15).</w:t>
      </w:r>
    </w:p>
    <w:p>
      <w:pPr>
        <w:pStyle w:val="ListParagraph"/>
        <w:numPr>
          <w:ilvl w:val="0"/>
          <w:numId w:val="2"/>
        </w:numPr>
        <w:spacing w:after="60"/>
      </w:pPr>
      <w:r>
        <w:t xml:space="preserve">Sesion: mantiene el usuario autenticado y su grupo durante el uso del sistema.</w:t>
      </w:r>
    </w:p>
    <w:p>
      <w:pPr>
        <w:pStyle w:val="ListParagraph"/>
        <w:numPr>
          <w:ilvl w:val="0"/>
          <w:numId w:val="2"/>
        </w:numPr>
        <w:spacing w:after="60"/>
      </w:pPr>
      <w:r>
        <w:t xml:space="preserve">Auditor: registra acciones críticas en la tabla auditorias con usuario, fecha y detalle (RF28 / RNF07).</w:t>
      </w:r>
    </w:p>
    <w:p>
      <w:pPr>
        <w:pStyle w:val="Heading1"/>
      </w:pPr>
      <w:r>
        <w:t xml:space="preserve">4. Controladoras (lógica de negocio)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trPr>
        <w:tc>
          <w:tcPr>
            <w:tcW w:type="dxa" w:w="2900"/>
            <w:tcBorders>
              <w:top w:val="single" w:color="CBD5E1" w:sz="1"/>
              <w:left w:val="single" w:color="CBD5E1" w:sz="1"/>
              <w:bottom w:val="single" w:color="CBD5E1" w:sz="1"/>
              <w:right w:val="single" w:color="CBD5E1" w:sz="1"/>
            </w:tcBorders>
            <w:shd w:fill="1B2A41" w:val="clear"/>
            <w:tcMar>
              <w:top w:type="dxa" w:w="80"/>
              <w:left w:type="dxa" w:w="120"/>
              <w:bottom w:type="dxa" w:w="80"/>
              <w:right w:type="dxa" w:w="120"/>
            </w:tcMar>
          </w:tcPr>
          <w:p>
            <w:r>
              <w:rPr>
                <w:b/>
                <w:bCs/>
                <w:color w:val="FFFFFF"/>
                <w:sz w:val="20"/>
                <w:szCs w:val="20"/>
              </w:rPr>
              <w:t xml:space="preserve">Controladora</w:t>
            </w:r>
          </w:p>
        </w:tc>
        <w:tc>
          <w:tcPr>
            <w:tcW w:type="dxa" w:w="6126"/>
            <w:tcBorders>
              <w:top w:val="single" w:color="CBD5E1" w:sz="1"/>
              <w:left w:val="single" w:color="CBD5E1" w:sz="1"/>
              <w:bottom w:val="single" w:color="CBD5E1" w:sz="1"/>
              <w:right w:val="single" w:color="CBD5E1" w:sz="1"/>
            </w:tcBorders>
            <w:shd w:fill="1B2A41" w:val="clear"/>
            <w:tcMar>
              <w:top w:type="dxa" w:w="80"/>
              <w:left w:type="dxa" w:w="120"/>
              <w:bottom w:type="dxa" w:w="80"/>
              <w:right w:type="dxa" w:w="120"/>
            </w:tcMar>
          </w:tcPr>
          <w:p>
            <w:r>
              <w:rPr>
                <w:b/>
                <w:bCs/>
                <w:color w:val="FFFFFF"/>
                <w:sz w:val="20"/>
                <w:szCs w:val="20"/>
              </w:rPr>
              <w:t xml:space="preserve">Responsabilidad</w:t>
            </w:r>
          </w:p>
        </w:tc>
      </w:tr>
      <w:tr>
        <w:tc>
          <w:tcPr>
            <w:tcW w:type="dxa" w:w="29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ControladoraLogin</w:t>
            </w:r>
          </w:p>
        </w:tc>
        <w:tc>
          <w:tcPr>
            <w:tcW w:type="dxa" w:w="612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RF01/RF03: autenticación de usuarios (verificación de hash, estado activo), apertura y cierre de sesión con registro de auditoría.</w:t>
            </w:r>
          </w:p>
        </w:tc>
      </w:tr>
      <w:tr>
        <w:tc>
          <w:tcPr>
            <w:tcW w:type="dxa" w:w="29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ControladoraProductos</w:t>
            </w:r>
          </w:p>
        </w:tc>
        <w:tc>
          <w:tcPr>
            <w:tcW w:type="dxa" w:w="612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RF14–RF17: listado con búsqueda (RF22), alta y modificación con validaciones (RNF14), generación automática de códigos y baja lógica (RN05).</w:t>
            </w:r>
          </w:p>
        </w:tc>
      </w:tr>
      <w:tr>
        <w:tc>
          <w:tcPr>
            <w:tcW w:type="dxa" w:w="29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ControladoraClientes</w:t>
            </w:r>
          </w:p>
        </w:tc>
        <w:tc>
          <w:tcPr>
            <w:tcW w:type="dxa" w:w="612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RF10/RF11: listado con búsqueda y saldo de cuenta corriente, alta y modificación con validaciones, baja lógica.</w:t>
            </w:r>
          </w:p>
        </w:tc>
      </w:tr>
      <w:tr>
        <w:tc>
          <w:tcPr>
            <w:tcW w:type="dxa" w:w="29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ControladoraVentas</w:t>
            </w:r>
          </w:p>
        </w:tc>
        <w:tc>
          <w:tcPr>
            <w:tcW w:type="dxa" w:w="612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RC01: validación de stock (RF21/RN01), registro de la venta con detalle en una transacción, descuento de stock (RN03), actualización de cuenta corriente (RN06) y auditoría con referencia a la venta (RN08).</w:t>
            </w:r>
          </w:p>
        </w:tc>
      </w:tr>
      <w:tr>
        <w:tc>
          <w:tcPr>
            <w:tcW w:type="dxa" w:w="29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ControladoraDashboard</w:t>
            </w:r>
          </w:p>
        </w:tc>
        <w:tc>
          <w:tcPr>
            <w:tcW w:type="dxa" w:w="612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RF27: cálculo de indicadores (ventas del mes y del día, clientes activos, productos con stock bajo), ventas por día de los últimos 7 días y últimas ventas.</w:t>
            </w:r>
          </w:p>
        </w:tc>
      </w:tr>
      <w:tr>
        <w:tc>
          <w:tcPr>
            <w:tcW w:type="dxa" w:w="29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ControladoraAuditoria</w:t>
            </w:r>
          </w:p>
        </w:tc>
        <w:tc>
          <w:tcPr>
            <w:tcW w:type="dxa" w:w="612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RF28: consulta del historial de acciones críticas.</w:t>
            </w:r>
          </w:p>
        </w:tc>
      </w:tr>
    </w:tbl>
    <w:p>
      <w:pPr>
        <w:spacing w:after="160"/>
      </w:pPr>
    </w:p>
    <w:p>
      <w:pPr>
        <w:pStyle w:val="Heading1"/>
      </w:pPr>
      <w:r>
        <w:t xml:space="preserve">5. Vistas (formularios Windows Forms)</w:t>
      </w:r>
    </w:p>
    <w:p>
      <w:pPr>
        <w:spacing w:after="120"/>
      </w:pPr>
      <w:r>
        <w:t xml:space="preserve">Todas las vistas siguen el patrón estándar de Windows Forms: un archivo .Designer.cs con InitializeComponent() (editable con el diseñador visual de Visual Studio) y un archivo .cs con los manejadores de eventos que delegan en las controladoras.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trPr>
        <w:tc>
          <w:tcPr>
            <w:tcW w:type="dxa" w:w="2900"/>
            <w:tcBorders>
              <w:top w:val="single" w:color="CBD5E1" w:sz="1"/>
              <w:left w:val="single" w:color="CBD5E1" w:sz="1"/>
              <w:bottom w:val="single" w:color="CBD5E1" w:sz="1"/>
              <w:right w:val="single" w:color="CBD5E1" w:sz="1"/>
            </w:tcBorders>
            <w:shd w:fill="1B2A41" w:val="clear"/>
            <w:tcMar>
              <w:top w:type="dxa" w:w="80"/>
              <w:left w:type="dxa" w:w="120"/>
              <w:bottom w:type="dxa" w:w="80"/>
              <w:right w:type="dxa" w:w="120"/>
            </w:tcMar>
          </w:tcPr>
          <w:p>
            <w:r>
              <w:rPr>
                <w:b/>
                <w:bCs/>
                <w:color w:val="FFFFFF"/>
                <w:sz w:val="20"/>
                <w:szCs w:val="20"/>
              </w:rPr>
              <w:t xml:space="preserve">Vista</w:t>
            </w:r>
          </w:p>
        </w:tc>
        <w:tc>
          <w:tcPr>
            <w:tcW w:type="dxa" w:w="6126"/>
            <w:tcBorders>
              <w:top w:val="single" w:color="CBD5E1" w:sz="1"/>
              <w:left w:val="single" w:color="CBD5E1" w:sz="1"/>
              <w:bottom w:val="single" w:color="CBD5E1" w:sz="1"/>
              <w:right w:val="single" w:color="CBD5E1" w:sz="1"/>
            </w:tcBorders>
            <w:shd w:fill="1B2A41" w:val="clear"/>
            <w:tcMar>
              <w:top w:type="dxa" w:w="80"/>
              <w:left w:type="dxa" w:w="120"/>
              <w:bottom w:type="dxa" w:w="80"/>
              <w:right w:type="dxa" w:w="120"/>
            </w:tcMar>
          </w:tcPr>
          <w:p>
            <w:r>
              <w:rPr>
                <w:b/>
                <w:bCs/>
                <w:color w:val="FFFFFF"/>
                <w:sz w:val="20"/>
                <w:szCs w:val="20"/>
              </w:rPr>
              <w:t xml:space="preserve">Descripción</w:t>
            </w:r>
          </w:p>
        </w:tc>
      </w:tr>
      <w:tr>
        <w:tc>
          <w:tcPr>
            <w:tcW w:type="dxa" w:w="29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LoginForm</w:t>
            </w:r>
          </w:p>
        </w:tc>
        <w:tc>
          <w:tcPr>
            <w:tcW w:type="dxa" w:w="612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Pantalla de inicio de sesión con panel institucional y credenciales.</w:t>
            </w:r>
          </w:p>
        </w:tc>
      </w:tr>
      <w:tr>
        <w:tc>
          <w:tcPr>
            <w:tcW w:type="dxa" w:w="29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MainForm</w:t>
            </w:r>
          </w:p>
        </w:tc>
        <w:tc>
          <w:tcPr>
            <w:tcW w:type="dxa" w:w="612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Ventana principal: menú lateral por secciones (Principal, Gestión, Análisis, Administración), datos del usuario conectado y cierre de sesión.</w:t>
            </w:r>
          </w:p>
        </w:tc>
      </w:tr>
      <w:tr>
        <w:tc>
          <w:tcPr>
            <w:tcW w:type="dxa" w:w="29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DashboardView</w:t>
            </w:r>
          </w:p>
        </w:tc>
        <w:tc>
          <w:tcPr>
            <w:tcW w:type="dxa" w:w="612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Indicadores del negocio, gráfico de barras de ventas por día (dibujado con GDI+), productos con stock bajo y últimas ventas.</w:t>
            </w:r>
          </w:p>
        </w:tc>
      </w:tr>
      <w:tr>
        <w:tc>
          <w:tcPr>
            <w:tcW w:type="dxa" w:w="29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ProductosView / ProductoForm</w:t>
            </w:r>
          </w:p>
        </w:tc>
        <w:tc>
          <w:tcPr>
            <w:tcW w:type="dxa" w:w="612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Listado de productos con búsqueda, indicador de stock bajo y acciones por fila; formulario de alta/modificación.</w:t>
            </w:r>
          </w:p>
        </w:tc>
      </w:tr>
      <w:tr>
        <w:tc>
          <w:tcPr>
            <w:tcW w:type="dxa" w:w="29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ClientesView / ClienteForm</w:t>
            </w:r>
          </w:p>
        </w:tc>
        <w:tc>
          <w:tcPr>
            <w:tcW w:type="dxa" w:w="612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Listado de clientes con saldo de cuenta corriente y estado; formulario de alta/modificación.</w:t>
            </w:r>
          </w:p>
        </w:tc>
      </w:tr>
      <w:tr>
        <w:tc>
          <w:tcPr>
            <w:tcW w:type="dxa" w:w="29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VentaView</w:t>
            </w:r>
          </w:p>
        </w:tc>
        <w:tc>
          <w:tcPr>
            <w:tcW w:type="dxa" w:w="612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Registro de venta: cliente, forma de pago, carga de ítems con validación de stock, total en vivo y confirmación.</w:t>
            </w:r>
          </w:p>
        </w:tc>
      </w:tr>
      <w:tr>
        <w:tc>
          <w:tcPr>
            <w:tcW w:type="dxa" w:w="29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AuditoriaView</w:t>
            </w:r>
          </w:p>
        </w:tc>
        <w:tc>
          <w:tcPr>
            <w:tcW w:type="dxa" w:w="612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Historial de acciones críticas con fecha/hora, usuario, acción y detalle.</w:t>
            </w:r>
          </w:p>
        </w:tc>
      </w:tr>
      <w:tr>
        <w:tc>
          <w:tcPr>
            <w:tcW w:type="dxa" w:w="29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PlaceholderView</w:t>
            </w:r>
          </w:p>
        </w:tc>
        <w:tc>
          <w:tcPr>
            <w:tcW w:type="dxa" w:w="612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Pantalla “módulo en desarrollo” para las funciones previstas aún no implementadas.</w:t>
            </w:r>
          </w:p>
        </w:tc>
      </w:tr>
    </w:tbl>
    <w:p>
      <w:pPr>
        <w:spacing w:after="160"/>
      </w:pPr>
    </w:p>
    <w:p>
      <w:pPr>
        <w:pStyle w:val="Heading1"/>
      </w:pPr>
      <w:r>
        <w:t xml:space="preserve">6. Funcionalidades implementadas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2600"/>
        <w:gridCol w:w="2226"/>
      </w:tblGrid>
      <w:tr>
        <w:trPr>
          <w:tblHeader/>
        </w:trPr>
        <w:tc>
          <w:tcPr>
            <w:tcW w:type="dxa" w:w="4200"/>
            <w:tcBorders>
              <w:top w:val="single" w:color="CBD5E1" w:sz="1"/>
              <w:left w:val="single" w:color="CBD5E1" w:sz="1"/>
              <w:bottom w:val="single" w:color="CBD5E1" w:sz="1"/>
              <w:right w:val="single" w:color="CBD5E1" w:sz="1"/>
            </w:tcBorders>
            <w:shd w:fill="1B2A41" w:val="clear"/>
            <w:tcMar>
              <w:top w:type="dxa" w:w="80"/>
              <w:left w:type="dxa" w:w="120"/>
              <w:bottom w:type="dxa" w:w="80"/>
              <w:right w:type="dxa" w:w="120"/>
            </w:tcMar>
          </w:tcPr>
          <w:p>
            <w:r>
              <w:rPr>
                <w:b/>
                <w:bCs/>
                <w:color w:val="FFFFFF"/>
                <w:sz w:val="20"/>
                <w:szCs w:val="20"/>
              </w:rPr>
              <w:t xml:space="preserve">Módulo / Función</w:t>
            </w:r>
          </w:p>
        </w:tc>
        <w:tc>
          <w:tcPr>
            <w:tcW w:type="dxa" w:w="2600"/>
            <w:tcBorders>
              <w:top w:val="single" w:color="CBD5E1" w:sz="1"/>
              <w:left w:val="single" w:color="CBD5E1" w:sz="1"/>
              <w:bottom w:val="single" w:color="CBD5E1" w:sz="1"/>
              <w:right w:val="single" w:color="CBD5E1" w:sz="1"/>
            </w:tcBorders>
            <w:shd w:fill="1B2A41" w:val="clear"/>
            <w:tcMar>
              <w:top w:type="dxa" w:w="80"/>
              <w:left w:type="dxa" w:w="120"/>
              <w:bottom w:type="dxa" w:w="80"/>
              <w:right w:type="dxa" w:w="120"/>
            </w:tcMar>
          </w:tcPr>
          <w:p>
            <w:r>
              <w:rPr>
                <w:b/>
                <w:bCs/>
                <w:color w:val="FFFFFF"/>
                <w:sz w:val="20"/>
                <w:szCs w:val="20"/>
              </w:rPr>
              <w:t xml:space="preserve">Requerimientos</w:t>
            </w:r>
          </w:p>
        </w:tc>
        <w:tc>
          <w:tcPr>
            <w:tcW w:type="dxa" w:w="2226"/>
            <w:tcBorders>
              <w:top w:val="single" w:color="CBD5E1" w:sz="1"/>
              <w:left w:val="single" w:color="CBD5E1" w:sz="1"/>
              <w:bottom w:val="single" w:color="CBD5E1" w:sz="1"/>
              <w:right w:val="single" w:color="CBD5E1" w:sz="1"/>
            </w:tcBorders>
            <w:shd w:fill="1B2A41" w:val="clear"/>
            <w:tcMar>
              <w:top w:type="dxa" w:w="80"/>
              <w:left w:type="dxa" w:w="120"/>
              <w:bottom w:type="dxa" w:w="80"/>
              <w:right w:type="dxa" w:w="120"/>
            </w:tcMar>
          </w:tcPr>
          <w:p>
            <w:r>
              <w:rPr>
                <w:b/>
                <w:bCs/>
                <w:color w:val="FFFFFF"/>
                <w:sz w:val="20"/>
                <w:szCs w:val="20"/>
              </w:rPr>
              <w:t xml:space="preserve">Estado</w:t>
            </w:r>
          </w:p>
        </w:tc>
      </w:tr>
      <w:tr>
        <w:tc>
          <w:tcPr>
            <w:tcW w:type="dxa" w:w="4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Inicio y cierre de sesión con clave hasheada</w:t>
            </w:r>
          </w:p>
        </w:tc>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RF01, RF03, RNF01, RNF15</w:t>
            </w:r>
          </w:p>
        </w:tc>
        <w:tc>
          <w:tcPr>
            <w:tcW w:type="dxa" w:w="222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Funcional</w:t>
            </w:r>
          </w:p>
        </w:tc>
      </w:tr>
      <w:tr>
        <w:tc>
          <w:tcPr>
            <w:tcW w:type="dxa" w:w="4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Dashboard e indicadores con gráfico</w:t>
            </w:r>
          </w:p>
        </w:tc>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RF27</w:t>
            </w:r>
          </w:p>
        </w:tc>
        <w:tc>
          <w:tcPr>
            <w:tcW w:type="dxa" w:w="222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Funcional</w:t>
            </w:r>
          </w:p>
        </w:tc>
      </w:tr>
      <w:tr>
        <w:tc>
          <w:tcPr>
            <w:tcW w:type="dxa" w:w="4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Gestión de productos (listar, buscar, alta, modificación, baja lógica)</w:t>
            </w:r>
          </w:p>
        </w:tc>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RF14, RF15, RF17, RF22, RN05</w:t>
            </w:r>
          </w:p>
        </w:tc>
        <w:tc>
          <w:tcPr>
            <w:tcW w:type="dxa" w:w="222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Funcional</w:t>
            </w:r>
          </w:p>
        </w:tc>
      </w:tr>
      <w:tr>
        <w:tc>
          <w:tcPr>
            <w:tcW w:type="dxa" w:w="4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Gestión de clientes (listar, buscar, alta, modificación, baja lógica)</w:t>
            </w:r>
          </w:p>
        </w:tc>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RF10, RF11, RF22</w:t>
            </w:r>
          </w:p>
        </w:tc>
        <w:tc>
          <w:tcPr>
            <w:tcW w:type="dxa" w:w="222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Funcional</w:t>
            </w:r>
          </w:p>
        </w:tc>
      </w:tr>
      <w:tr>
        <w:tc>
          <w:tcPr>
            <w:tcW w:type="dxa" w:w="4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Registrar venta (requerimiento core)</w:t>
            </w:r>
          </w:p>
        </w:tc>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RC01, RF20, RF21, RF22</w:t>
            </w:r>
          </w:p>
        </w:tc>
        <w:tc>
          <w:tcPr>
            <w:tcW w:type="dxa" w:w="222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Funcional</w:t>
            </w:r>
          </w:p>
        </w:tc>
      </w:tr>
      <w:tr>
        <w:tc>
          <w:tcPr>
            <w:tcW w:type="dxa" w:w="4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Cuentas corrientes: generación/actualización de saldo por ventas a crédito</w:t>
            </w:r>
          </w:p>
        </w:tc>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RF23 (parcial), RN06</w:t>
            </w:r>
          </w:p>
        </w:tc>
        <w:tc>
          <w:tcPr>
            <w:tcW w:type="dxa" w:w="222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Funcional</w:t>
            </w:r>
          </w:p>
        </w:tc>
      </w:tr>
      <w:tr>
        <w:tc>
          <w:tcPr>
            <w:tcW w:type="dxa" w:w="4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Auditoría e historial</w:t>
            </w:r>
          </w:p>
        </w:tc>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RF28, RNF07</w:t>
            </w:r>
          </w:p>
        </w:tc>
        <w:tc>
          <w:tcPr>
            <w:tcW w:type="dxa" w:w="222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Funcional</w:t>
            </w:r>
          </w:p>
        </w:tc>
      </w:tr>
      <w:tr>
        <w:tc>
          <w:tcPr>
            <w:tcW w:type="dxa" w:w="4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Grupos y permisos (estructura en base con datos iniciales)</w:t>
            </w:r>
          </w:p>
        </w:tc>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RF08, RF09 (parcial)</w:t>
            </w:r>
          </w:p>
        </w:tc>
        <w:tc>
          <w:tcPr>
            <w:tcW w:type="dxa" w:w="222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Parcial</w:t>
            </w:r>
          </w:p>
        </w:tc>
      </w:tr>
      <w:tr>
        <w:tc>
          <w:tcPr>
            <w:tcW w:type="dxa" w:w="4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Gestión de proveedores</w:t>
            </w:r>
          </w:p>
        </w:tc>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RF12, RF13</w:t>
            </w:r>
          </w:p>
        </w:tc>
        <w:tc>
          <w:tcPr>
            <w:tcW w:type="dxa" w:w="222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En desarrollo</w:t>
            </w:r>
          </w:p>
        </w:tc>
      </w:tr>
      <w:tr>
        <w:tc>
          <w:tcPr>
            <w:tcW w:type="dxa" w:w="4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Registro de compras e impacto en stock</w:t>
            </w:r>
          </w:p>
        </w:tc>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RF18, RF19</w:t>
            </w:r>
          </w:p>
        </w:tc>
        <w:tc>
          <w:tcPr>
            <w:tcW w:type="dxa" w:w="222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En desarrollo</w:t>
            </w:r>
          </w:p>
        </w:tc>
      </w:tr>
      <w:tr>
        <w:tc>
          <w:tcPr>
            <w:tcW w:type="dxa" w:w="4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Pantalla de cuentas corrientes y registro de pagos</w:t>
            </w:r>
          </w:p>
        </w:tc>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RF23, RF24</w:t>
            </w:r>
          </w:p>
        </w:tc>
        <w:tc>
          <w:tcPr>
            <w:tcW w:type="dxa" w:w="222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En desarrollo</w:t>
            </w:r>
          </w:p>
        </w:tc>
      </w:tr>
      <w:tr>
        <w:tc>
          <w:tcPr>
            <w:tcW w:type="dxa" w:w="4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Reportes de ventas y stock</w:t>
            </w:r>
          </w:p>
        </w:tc>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RF25, RF26</w:t>
            </w:r>
          </w:p>
        </w:tc>
        <w:tc>
          <w:tcPr>
            <w:tcW w:type="dxa" w:w="222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En desarrollo</w:t>
            </w:r>
          </w:p>
        </w:tc>
      </w:tr>
      <w:tr>
        <w:tc>
          <w:tcPr>
            <w:tcW w:type="dxa" w:w="4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Gestión de usuarios y grupos (pantallas)</w:t>
            </w:r>
          </w:p>
        </w:tc>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RF06–RF09</w:t>
            </w:r>
          </w:p>
        </w:tc>
        <w:tc>
          <w:tcPr>
            <w:tcW w:type="dxa" w:w="222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En desarrollo</w:t>
            </w:r>
          </w:p>
        </w:tc>
      </w:tr>
      <w:tr>
        <w:tc>
          <w:tcPr>
            <w:tcW w:type="dxa" w:w="4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Cambio y recuperación de clave</w:t>
            </w:r>
          </w:p>
        </w:tc>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RF04, RF05</w:t>
            </w:r>
          </w:p>
        </w:tc>
        <w:tc>
          <w:tcPr>
            <w:tcW w:type="dxa" w:w="222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En desarrollo</w:t>
            </w:r>
          </w:p>
        </w:tc>
      </w:tr>
    </w:tbl>
    <w:p>
      <w:pPr>
        <w:spacing w:after="160"/>
      </w:pPr>
    </w:p>
    <w:p>
      <w:pPr>
        <w:pStyle w:val="Heading1"/>
      </w:pPr>
      <w:r>
        <w:t xml:space="preserve">7. Reglas de negocio implementadas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7726"/>
      </w:tblGrid>
      <w:tr>
        <w:trPr>
          <w:tblHeader/>
        </w:trPr>
        <w:tc>
          <w:tcPr>
            <w:tcW w:type="dxa" w:w="1300"/>
            <w:tcBorders>
              <w:top w:val="single" w:color="CBD5E1" w:sz="1"/>
              <w:left w:val="single" w:color="CBD5E1" w:sz="1"/>
              <w:bottom w:val="single" w:color="CBD5E1" w:sz="1"/>
              <w:right w:val="single" w:color="CBD5E1" w:sz="1"/>
            </w:tcBorders>
            <w:shd w:fill="1B2A41" w:val="clear"/>
            <w:tcMar>
              <w:top w:type="dxa" w:w="80"/>
              <w:left w:type="dxa" w:w="120"/>
              <w:bottom w:type="dxa" w:w="80"/>
              <w:right w:type="dxa" w:w="120"/>
            </w:tcMar>
          </w:tcPr>
          <w:p>
            <w:r>
              <w:rPr>
                <w:b/>
                <w:bCs/>
                <w:color w:val="FFFFFF"/>
                <w:sz w:val="20"/>
                <w:szCs w:val="20"/>
              </w:rPr>
              <w:t xml:space="preserve">Regla</w:t>
            </w:r>
          </w:p>
        </w:tc>
        <w:tc>
          <w:tcPr>
            <w:tcW w:type="dxa" w:w="7726"/>
            <w:tcBorders>
              <w:top w:val="single" w:color="CBD5E1" w:sz="1"/>
              <w:left w:val="single" w:color="CBD5E1" w:sz="1"/>
              <w:bottom w:val="single" w:color="CBD5E1" w:sz="1"/>
              <w:right w:val="single" w:color="CBD5E1" w:sz="1"/>
            </w:tcBorders>
            <w:shd w:fill="1B2A41" w:val="clear"/>
            <w:tcMar>
              <w:top w:type="dxa" w:w="80"/>
              <w:left w:type="dxa" w:w="120"/>
              <w:bottom w:type="dxa" w:w="80"/>
              <w:right w:type="dxa" w:w="120"/>
            </w:tcMar>
          </w:tcPr>
          <w:p>
            <w:r>
              <w:rPr>
                <w:b/>
                <w:bCs/>
                <w:color w:val="FFFFFF"/>
                <w:sz w:val="20"/>
                <w:szCs w:val="20"/>
              </w:rPr>
              <w:t xml:space="preserve">Implementación en el sistema</w:t>
            </w:r>
          </w:p>
        </w:tc>
      </w:tr>
      <w:tr>
        <w:tc>
          <w:tcPr>
            <w:tcW w:type="dxa" w:w="13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RN01</w:t>
            </w:r>
          </w:p>
        </w:tc>
        <w:tc>
          <w:tcPr>
            <w:tcW w:type="dxa" w:w="772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No se puede confirmar una venta sin stock suficiente: la controladora valida al agregar cada ítem y revalida contra la base antes de confirmar.</w:t>
            </w:r>
          </w:p>
        </w:tc>
      </w:tr>
      <w:tr>
        <w:tc>
          <w:tcPr>
            <w:tcW w:type="dxa" w:w="13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RN03</w:t>
            </w:r>
          </w:p>
        </w:tc>
        <w:tc>
          <w:tcPr>
            <w:tcW w:type="dxa" w:w="772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Toda venta confirmada descuenta automáticamente el stock de los productos vendidos, dentro de la misma transacción.</w:t>
            </w:r>
          </w:p>
        </w:tc>
      </w:tr>
      <w:tr>
        <w:tc>
          <w:tcPr>
            <w:tcW w:type="dxa" w:w="13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RN04</w:t>
            </w:r>
          </w:p>
        </w:tc>
        <w:tc>
          <w:tcPr>
            <w:tcW w:type="dxa" w:w="772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El acceso requiere usuario y contraseña; los usuarios pertenecen a grupos con permisos definidos en la base.</w:t>
            </w:r>
          </w:p>
        </w:tc>
      </w:tr>
      <w:tr>
        <w:tc>
          <w:tcPr>
            <w:tcW w:type="dxa" w:w="13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RN05</w:t>
            </w:r>
          </w:p>
        </w:tc>
        <w:tc>
          <w:tcPr>
            <w:tcW w:type="dxa" w:w="772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Los productos y clientes no se eliminan físicamente: se desactivan (baja lógica mediante el campo estado).</w:t>
            </w:r>
          </w:p>
        </w:tc>
      </w:tr>
      <w:tr>
        <w:tc>
          <w:tcPr>
            <w:tcW w:type="dxa" w:w="13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RN06</w:t>
            </w:r>
          </w:p>
        </w:tc>
        <w:tc>
          <w:tcPr>
            <w:tcW w:type="dxa" w:w="772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Las ventas a cuenta corriente generan o actualizan el saldo del cliente (saldo anterior, débitos y saldo actual en cuentas_corrientes).</w:t>
            </w:r>
          </w:p>
        </w:tc>
      </w:tr>
      <w:tr>
        <w:tc>
          <w:tcPr>
            <w:tcW w:type="dxa" w:w="13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RN08</w:t>
            </w:r>
          </w:p>
        </w:tc>
        <w:tc>
          <w:tcPr>
            <w:tcW w:type="dxa" w:w="772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Toda operación crítica queda auditada con usuario, fecha, hora, tipo de acción y detalle; las ventas se auditan con referencia a la venta registrada.</w:t>
            </w:r>
          </w:p>
        </w:tc>
      </w:tr>
    </w:tbl>
    <w:p>
      <w:pPr>
        <w:spacing w:after="120"/>
      </w:pPr>
      <w:r>
        <w:t xml:space="preserve">RN02 (compras incrementan stock) y RN07 (pagos descuentan saldo) quedan previstas para los módulos de Compras y Pagos, cuyas tablas ya existen en la base.</w:t>
      </w:r>
    </w:p>
    <w:p>
      <w:pPr>
        <w:pStyle w:val="Heading1"/>
      </w:pPr>
      <w:r>
        <w:t xml:space="preserve">8. Seguridad</w:t>
      </w:r>
    </w:p>
    <w:p>
      <w:pPr>
        <w:pStyle w:val="ListParagraph"/>
        <w:numPr>
          <w:ilvl w:val="0"/>
          <w:numId w:val="2"/>
        </w:numPr>
        <w:spacing w:after="60"/>
      </w:pPr>
      <w:r>
        <w:t xml:space="preserve">Autenticación obligatoria con usuario y contraseña (RNF01).</w:t>
      </w:r>
    </w:p>
    <w:p>
      <w:pPr>
        <w:pStyle w:val="ListParagraph"/>
        <w:numPr>
          <w:ilvl w:val="0"/>
          <w:numId w:val="2"/>
        </w:numPr>
        <w:spacing w:after="60"/>
      </w:pPr>
      <w:r>
        <w:t xml:space="preserve">Contraseñas almacenadas con hash SHA-256; no pueden verse en texto plano ni siquiera por administradores (RNF15).</w:t>
      </w:r>
    </w:p>
    <w:p>
      <w:pPr>
        <w:pStyle w:val="ListParagraph"/>
        <w:numPr>
          <w:ilvl w:val="0"/>
          <w:numId w:val="2"/>
        </w:numPr>
        <w:spacing w:after="60"/>
      </w:pPr>
      <w:r>
        <w:t xml:space="preserve">Estructura de grupos y permisos en base de datos: grupos Administradores (acceso total) y Ventas (ventas, clientes y reportes), con 9 permisos definidos (RNF02, base para RF09).</w:t>
      </w:r>
    </w:p>
    <w:p>
      <w:pPr>
        <w:pStyle w:val="ListParagraph"/>
        <w:numPr>
          <w:ilvl w:val="0"/>
          <w:numId w:val="2"/>
        </w:numPr>
        <w:spacing w:after="60"/>
      </w:pPr>
      <w:r>
        <w:t xml:space="preserve">Trazabilidad: inicios y cierres de sesión, altas, modificaciones, bajas lógicas y ventas quedan registrados en auditoría (RNF07).</w:t>
      </w:r>
    </w:p>
    <w:p>
      <w:pPr>
        <w:spacing w:after="160"/>
      </w:pPr>
    </w:p>
    <w:p>
      <w:pPr>
        <w:pStyle w:val="Heading2"/>
      </w:pPr>
      <w:r>
        <w:t xml:space="preserve">8.1 Usuarios de demostración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tblHeader/>
        </w:trPr>
        <w:tc>
          <w:tcPr>
            <w:tcW w:type="dxa" w:w="3000"/>
            <w:tcBorders>
              <w:top w:val="single" w:color="CBD5E1" w:sz="1"/>
              <w:left w:val="single" w:color="CBD5E1" w:sz="1"/>
              <w:bottom w:val="single" w:color="CBD5E1" w:sz="1"/>
              <w:right w:val="single" w:color="CBD5E1" w:sz="1"/>
            </w:tcBorders>
            <w:shd w:fill="1B2A41" w:val="clear"/>
            <w:tcMar>
              <w:top w:type="dxa" w:w="80"/>
              <w:left w:type="dxa" w:w="120"/>
              <w:bottom w:type="dxa" w:w="80"/>
              <w:right w:type="dxa" w:w="120"/>
            </w:tcMar>
          </w:tcPr>
          <w:p>
            <w:r>
              <w:rPr>
                <w:b/>
                <w:bCs/>
                <w:color w:val="FFFFFF"/>
                <w:sz w:val="20"/>
                <w:szCs w:val="20"/>
              </w:rPr>
              <w:t xml:space="preserve">Usuario</w:t>
            </w:r>
          </w:p>
        </w:tc>
        <w:tc>
          <w:tcPr>
            <w:tcW w:type="dxa" w:w="3000"/>
            <w:tcBorders>
              <w:top w:val="single" w:color="CBD5E1" w:sz="1"/>
              <w:left w:val="single" w:color="CBD5E1" w:sz="1"/>
              <w:bottom w:val="single" w:color="CBD5E1" w:sz="1"/>
              <w:right w:val="single" w:color="CBD5E1" w:sz="1"/>
            </w:tcBorders>
            <w:shd w:fill="1B2A41" w:val="clear"/>
            <w:tcMar>
              <w:top w:type="dxa" w:w="80"/>
              <w:left w:type="dxa" w:w="120"/>
              <w:bottom w:type="dxa" w:w="80"/>
              <w:right w:type="dxa" w:w="120"/>
            </w:tcMar>
          </w:tcPr>
          <w:p>
            <w:r>
              <w:rPr>
                <w:b/>
                <w:bCs/>
                <w:color w:val="FFFFFF"/>
                <w:sz w:val="20"/>
                <w:szCs w:val="20"/>
              </w:rPr>
              <w:t xml:space="preserve">Contraseña</w:t>
            </w:r>
          </w:p>
        </w:tc>
        <w:tc>
          <w:tcPr>
            <w:tcW w:type="dxa" w:w="3026"/>
            <w:tcBorders>
              <w:top w:val="single" w:color="CBD5E1" w:sz="1"/>
              <w:left w:val="single" w:color="CBD5E1" w:sz="1"/>
              <w:bottom w:val="single" w:color="CBD5E1" w:sz="1"/>
              <w:right w:val="single" w:color="CBD5E1" w:sz="1"/>
            </w:tcBorders>
            <w:shd w:fill="1B2A41" w:val="clear"/>
            <w:tcMar>
              <w:top w:type="dxa" w:w="80"/>
              <w:left w:type="dxa" w:w="120"/>
              <w:bottom w:type="dxa" w:w="80"/>
              <w:right w:type="dxa" w:w="120"/>
            </w:tcMar>
          </w:tcPr>
          <w:p>
            <w:r>
              <w:rPr>
                <w:b/>
                <w:bCs/>
                <w:color w:val="FFFFFF"/>
                <w:sz w:val="20"/>
                <w:szCs w:val="20"/>
              </w:rPr>
              <w:t xml:space="preserve">Grupo</w:t>
            </w:r>
          </w:p>
        </w:tc>
      </w:tr>
      <w:tr>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admin</w:t>
            </w:r>
          </w:p>
        </w:tc>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admin</w:t>
            </w:r>
          </w:p>
        </w:tc>
        <w:tc>
          <w:tcPr>
            <w:tcW w:type="dxa" w:w="302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Administradores</w:t>
            </w:r>
          </w:p>
        </w:tc>
      </w:tr>
      <w:tr>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vendedor</w:t>
            </w:r>
          </w:p>
        </w:tc>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vendedor</w:t>
            </w:r>
          </w:p>
        </w:tc>
        <w:tc>
          <w:tcPr>
            <w:tcW w:type="dxa" w:w="3026"/>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sz w:val="20"/>
                <w:szCs w:val="20"/>
              </w:rPr>
              <w:t xml:space="preserve">Ventas</w:t>
            </w:r>
          </w:p>
        </w:tc>
      </w:tr>
    </w:tbl>
    <w:p>
      <w:pPr>
        <w:spacing w:after="160"/>
      </w:pPr>
    </w:p>
    <w:p>
      <w:pPr>
        <w:pStyle w:val="Heading1"/>
      </w:pPr>
      <w:r>
        <w:t xml:space="preserve">9. Instalación y ejecución</w:t>
      </w:r>
    </w:p>
    <w:p>
      <w:pPr>
        <w:pStyle w:val="ListParagraph"/>
        <w:numPr>
          <w:ilvl w:val="0"/>
          <w:numId w:val="2"/>
        </w:numPr>
        <w:spacing w:after="60"/>
      </w:pPr>
      <w:r>
        <w:t xml:space="preserve">Requisitos: Windows con .NET 9 SDK y SQL Server Express en la instancia local (localhost\SQLEXPRESS).</w:t>
      </w:r>
    </w:p>
    <w:p>
      <w:pPr>
        <w:pStyle w:val="ListParagraph"/>
        <w:numPr>
          <w:ilvl w:val="0"/>
          <w:numId w:val="2"/>
        </w:numPr>
        <w:spacing w:after="60"/>
      </w:pPr>
      <w:r>
        <w:t xml:space="preserve">Abrir la solución ERPyME.sln con Visual Studio 2026 y presionar F5 (el proyecto ERPyME.WinForms es el único de la solución).</w:t>
      </w:r>
    </w:p>
    <w:p>
      <w:pPr>
        <w:pStyle w:val="ListParagraph"/>
        <w:numPr>
          <w:ilvl w:val="0"/>
          <w:numId w:val="2"/>
        </w:numPr>
        <w:spacing w:after="60"/>
      </w:pPr>
      <w:r>
        <w:t xml:space="preserve">Alternativa por consola: ejecutar “dotnet run” dentro de la carpeta ERPyME.WinForms.</w:t>
      </w:r>
    </w:p>
    <w:p>
      <w:pPr>
        <w:pStyle w:val="ListParagraph"/>
        <w:numPr>
          <w:ilvl w:val="0"/>
          <w:numId w:val="2"/>
        </w:numPr>
        <w:spacing w:after="60"/>
      </w:pPr>
      <w:r>
        <w:t xml:space="preserve">En el primer inicio la aplicación crea la base ERPyME con el esquema del script “Base de datos.sql” y carga solo la configuración inicial (usuarios con grupos y permisos, y los rubros base). No se cargan datos de ejemplo.</w:t>
      </w:r>
    </w:p>
    <w:p>
      <w:pPr>
        <w:spacing w:after="160"/>
      </w:pPr>
    </w:p>
    <w:p>
      <w:pPr>
        <w:pStyle w:val="Heading1"/>
      </w:pPr>
      <w:r>
        <w:t xml:space="preserve">10. Próximos pasos</w:t>
      </w:r>
    </w:p>
    <w:p>
      <w:pPr>
        <w:pStyle w:val="ListParagraph"/>
        <w:numPr>
          <w:ilvl w:val="0"/>
          <w:numId w:val="2"/>
        </w:numPr>
        <w:spacing w:after="60"/>
      </w:pPr>
      <w:r>
        <w:t xml:space="preserve">Pantallas de proveedores y registro de compras con impacto en stock (RF12/RF13, RF18/RF19, RN02).</w:t>
      </w:r>
    </w:p>
    <w:p>
      <w:pPr>
        <w:pStyle w:val="ListParagraph"/>
        <w:numPr>
          <w:ilvl w:val="0"/>
          <w:numId w:val="2"/>
        </w:numPr>
        <w:spacing w:after="60"/>
      </w:pPr>
      <w:r>
        <w:t xml:space="preserve">Pantalla de cuentas corrientes y registro de pagos (RF23/RF24, RN07).</w:t>
      </w:r>
    </w:p>
    <w:p>
      <w:pPr>
        <w:pStyle w:val="ListParagraph"/>
        <w:numPr>
          <w:ilvl w:val="0"/>
          <w:numId w:val="2"/>
        </w:numPr>
        <w:spacing w:after="60"/>
      </w:pPr>
      <w:r>
        <w:t xml:space="preserve">Reportes de ventas y stock por período (RF25/RF26).</w:t>
      </w:r>
    </w:p>
    <w:p>
      <w:pPr>
        <w:pStyle w:val="ListParagraph"/>
        <w:numPr>
          <w:ilvl w:val="0"/>
          <w:numId w:val="2"/>
        </w:numPr>
        <w:spacing w:after="60"/>
      </w:pPr>
      <w:r>
        <w:t xml:space="preserve">Pantallas de gestión de usuarios, grupos y asignación de permisos (RF06–RF09).</w:t>
      </w:r>
    </w:p>
    <w:p>
      <w:pPr>
        <w:pStyle w:val="ListParagraph"/>
        <w:numPr>
          <w:ilvl w:val="0"/>
          <w:numId w:val="2"/>
        </w:numPr>
        <w:spacing w:after="60"/>
      </w:pPr>
      <w:r>
        <w:t xml:space="preserve">Cambio y recuperación de clave (RF04/RF05) y perfil del usuario (RF02).</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80"/>
      <w:outlineLvl w:val="0"/>
    </w:pPr>
    <w:rPr>
      <w:rFonts w:ascii="Arial" w:cs="Arial" w:eastAsia="Arial" w:hAnsi="Arial"/>
      <w:b/>
      <w:bCs/>
      <w:color w:val="1B2A41"/>
      <w:sz w:val="30"/>
      <w:szCs w:val="30"/>
    </w:rPr>
  </w:style>
  <w:style w:type="paragraph" w:styleId="Heading2">
    <w:name w:val="Heading 2"/>
    <w:basedOn w:val="Normal"/>
    <w:next w:val="Normal"/>
    <w:qFormat/>
    <w:pPr>
      <w:spacing w:after="160" w:before="220"/>
      <w:outlineLvl w:val="1"/>
    </w:pPr>
    <w:rPr>
      <w:rFonts w:ascii="Arial" w:cs="Arial" w:eastAsia="Arial" w:hAnsi="Arial"/>
      <w:b/>
      <w:bCs/>
      <w:color w:val="274B8F"/>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2026-07-12T22:42:05.612Z</dcterms:created>
  <dcterms:modified xsi:type="dcterms:W3CDTF">2026-07-12T22:42:05.613Z</dcterms:modified>
</cp:coreProperties>
</file>

<file path=docProps/custom.xml><?xml version="1.0" encoding="utf-8"?>
<Properties xmlns="http://schemas.openxmlformats.org/officeDocument/2006/custom-properties" xmlns:vt="http://schemas.openxmlformats.org/officeDocument/2006/docPropsVTypes"/>
</file>