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2937"/>
          <w:sz w:val="40"/>
          <w:szCs w:val="40"/>
        </w:rPr>
        <w:t xml:space="preserve">Instituto ERP — GestionEST</w:t>
      </w:r>
    </w:p>
    <w:p>
      <w:pPr>
        <w:spacing w:after="300"/>
      </w:pPr>
      <w:r>
        <w:rPr>
          <w:rFonts w:ascii="Calibri" w:cs="Calibri" w:eastAsia="Calibri" w:hAnsi="Calibri"/>
          <w:i/>
          <w:iCs/>
          <w:color w:val="6B7280"/>
          <w:sz w:val="22"/>
          <w:szCs w:val="22"/>
        </w:rPr>
        <w:t xml:space="preserve">Análisis técnico del sistema · 11 de agosto de 2026</w:t>
      </w:r>
    </w:p>
    <w:p>
      <w:pPr>
        <w:pStyle w:val="Heading1"/>
        <w:spacing w:after="200" w:before="400"/>
      </w:pPr>
      <w:r>
        <w:t xml:space="preserve">1. Descripción general</w:t>
      </w:r>
    </w:p>
    <w:p>
      <w:pPr>
        <w:spacing w:after="150"/>
      </w:pPr>
      <w:r>
        <w:rPr>
          <w:rFonts w:ascii="Calibri" w:cs="Calibri" w:eastAsia="Calibri" w:hAnsi="Calibri"/>
          <w:sz w:val="22"/>
          <w:szCs w:val="22"/>
        </w:rPr>
        <w:t xml:space="preserve">Instituto ERP es un sistema de gestión integral para un instituto de estética y peluquería, pensado para correr 100% local en la notebook del instituto (sin depender de internet) pero arquitecturado desde el día uno para migrar a la nube sin reescribir lógica de negocio. Cubre el ciclo completo de la operación: cursos y sus aranceles, alumnos e inscripciones, cobranza de cuotas y matrículas, profesores y liquidación de sueldos, asistencia académica, gastos operativos y caja, y un dashboard de alertas.</w:t>
      </w:r>
    </w:p>
    <w:p>
      <w:pPr>
        <w:spacing w:after="150"/>
      </w:pPr>
      <w:r>
        <w:rPr>
          <w:rFonts w:ascii="Calibri" w:cs="Calibri" w:eastAsia="Calibri" w:hAnsi="Calibri"/>
          <w:sz w:val="22"/>
          <w:szCs w:val="22"/>
        </w:rPr>
        <w:t xml:space="preserve">El proyecto está en un estado de desarrollo avanzado y funcional: los ocho módulos de negocio están implementados de punta a punta (modelo, servicio, router y pantalla), con decisiones de diseño sólidas — histórico de precios versionado, auditoría de recargos y ajustes, y un bus de eventos interno que desacopla la lógica de negocio de las notificaciones. No tiene autenticación ni está desplegado en producción todavía; el repositorio muestra evidencia de un camino de empaquetado como aplicación de escritorio (PyInstaller + Inno Setup) en paralelo a uno de despliegue en la nube (Render + Cloudflare Pages + Neon).</w:t>
      </w:r>
    </w:p>
    <w:p>
      <w:pPr>
        <w:pStyle w:val="Heading2"/>
        <w:spacing w:after="150" w:before="300"/>
      </w:pPr>
      <w:r>
        <w:t xml:space="preserve">Stack técnico</w:t>
      </w:r>
    </w:p>
    <w:p>
      <w:pPr>
        <w:pStyle w:val="ListParagraph"/>
        <w:numPr>
          <w:ilvl w:val="0"/>
          <w:numId w:val="2"/>
        </w:numPr>
        <w:spacing w:after="90"/>
      </w:pPr>
      <w:r>
        <w:rPr>
          <w:rFonts w:ascii="Calibri" w:cs="Calibri" w:eastAsia="Calibri" w:hAnsi="Calibri"/>
          <w:b/>
          <w:bCs/>
          <w:sz w:val="22"/>
          <w:szCs w:val="22"/>
        </w:rPr>
        <w:t xml:space="preserve">Backend: </w:t>
      </w:r>
      <w:r>
        <w:rPr>
          <w:rFonts w:ascii="Calibri" w:cs="Calibri" w:eastAsia="Calibri" w:hAnsi="Calibri"/>
          <w:sz w:val="22"/>
          <w:szCs w:val="22"/>
        </w:rPr>
        <w:t xml:space="preserve">Python 3 + FastAPI + SQLAlchemy 2.0 + Alembic + PostgreSQL 16.</w:t>
      </w:r>
    </w:p>
    <w:p>
      <w:pPr>
        <w:pStyle w:val="ListParagraph"/>
        <w:numPr>
          <w:ilvl w:val="0"/>
          <w:numId w:val="2"/>
        </w:numPr>
        <w:spacing w:after="90"/>
      </w:pPr>
      <w:r>
        <w:rPr>
          <w:rFonts w:ascii="Calibri" w:cs="Calibri" w:eastAsia="Calibri" w:hAnsi="Calibri"/>
          <w:b/>
          <w:bCs/>
          <w:sz w:val="22"/>
          <w:szCs w:val="22"/>
        </w:rPr>
        <w:t xml:space="preserve">Frontend: </w:t>
      </w:r>
      <w:r>
        <w:rPr>
          <w:rFonts w:ascii="Calibri" w:cs="Calibri" w:eastAsia="Calibri" w:hAnsi="Calibri"/>
          <w:sz w:val="22"/>
          <w:szCs w:val="22"/>
        </w:rPr>
        <w:t xml:space="preserve">React 19 + TypeScript + Vite + React Router + Tailwind CSS, con jsPDF disponible en el cliente.</w:t>
      </w:r>
    </w:p>
    <w:p>
      <w:pPr>
        <w:pStyle w:val="ListParagraph"/>
        <w:numPr>
          <w:ilvl w:val="0"/>
          <w:numId w:val="2"/>
        </w:numPr>
        <w:spacing w:after="90"/>
      </w:pPr>
      <w:r>
        <w:rPr>
          <w:rFonts w:ascii="Calibri" w:cs="Calibri" w:eastAsia="Calibri" w:hAnsi="Calibri"/>
          <w:b/>
          <w:bCs/>
          <w:sz w:val="22"/>
          <w:szCs w:val="22"/>
        </w:rPr>
        <w:t xml:space="preserve">Arquitectura: </w:t>
      </w:r>
      <w:r>
        <w:rPr>
          <w:rFonts w:ascii="Calibri" w:cs="Calibri" w:eastAsia="Calibri" w:hAnsi="Calibri"/>
          <w:sz w:val="22"/>
          <w:szCs w:val="22"/>
        </w:rPr>
        <w:t xml:space="preserve">monolito modular — una carpeta por dominio de negocio (cursos, alumnos, pagos, profesores, asistencias, gastos, comprobantes, dashboard, notificaciones) — con un bus de eventos interno en memoria.</w:t>
      </w:r>
    </w:p>
    <w:p>
      <w:pPr>
        <w:pStyle w:val="ListParagraph"/>
        <w:numPr>
          <w:ilvl w:val="0"/>
          <w:numId w:val="2"/>
        </w:numPr>
        <w:spacing w:after="90"/>
      </w:pPr>
      <w:r>
        <w:rPr>
          <w:rFonts w:ascii="Calibri" w:cs="Calibri" w:eastAsia="Calibri" w:hAnsi="Calibri"/>
          <w:b/>
          <w:bCs/>
          <w:sz w:val="22"/>
          <w:szCs w:val="22"/>
        </w:rPr>
        <w:t xml:space="preserve">Empaquetado: </w:t>
      </w:r>
      <w:r>
        <w:rPr>
          <w:rFonts w:ascii="Calibri" w:cs="Calibri" w:eastAsia="Calibri" w:hAnsi="Calibri"/>
          <w:sz w:val="22"/>
          <w:szCs w:val="22"/>
        </w:rPr>
        <w:t xml:space="preserve">el backend sirve el frontend ya compilado desde el mismo proceso (main.py monta frontend_dist/) y puede compilarse a un .exe con PyInstaller (launcher.py + backend.spec) para instalar en una notebook con Inno Setup.</w:t>
      </w:r>
    </w:p>
    <w:p>
      <w:pPr>
        <w:pStyle w:val="Heading1"/>
        <w:spacing w:after="200" w:before="400"/>
      </w:pPr>
      <w:r>
        <w:t xml:space="preserve">2. Funciones del sistema, por módulo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000"/>
      </w:tblGrid>
      <w:tr>
        <w:trPr>
          <w:tblHeader/>
        </w:trPr>
        <w:tc>
          <w:tcPr>
            <w:tcW w:type="dxa" w:w="1900"/>
            <w:shd w:fill="E5E7EB" w:val="clear"/>
            <w:tcMar>
              <w:top w:type="dxa" w:w="80"/>
              <w:left w:type="dxa" w:w="100"/>
              <w:bottom w:type="dxa" w:w="80"/>
              <w:right w:type="dxa" w:w="100"/>
            </w:tcMar>
          </w:tcPr>
          <w:p>
            <w:r>
              <w:rPr>
                <w:rFonts w:ascii="Calibri" w:cs="Calibri" w:eastAsia="Calibri" w:hAnsi="Calibri"/>
                <w:b/>
                <w:bCs/>
                <w:sz w:val="20"/>
                <w:szCs w:val="20"/>
              </w:rPr>
              <w:t xml:space="preserve">Módulo</w:t>
            </w:r>
          </w:p>
        </w:tc>
        <w:tc>
          <w:tcPr>
            <w:tcW w:type="dxa" w:w="3600"/>
            <w:shd w:fill="E5E7EB" w:val="clear"/>
            <w:tcMar>
              <w:top w:type="dxa" w:w="80"/>
              <w:left w:type="dxa" w:w="100"/>
              <w:bottom w:type="dxa" w:w="80"/>
              <w:right w:type="dxa" w:w="100"/>
            </w:tcMar>
          </w:tcPr>
          <w:p>
            <w:r>
              <w:rPr>
                <w:rFonts w:ascii="Calibri" w:cs="Calibri" w:eastAsia="Calibri" w:hAnsi="Calibri"/>
                <w:b/>
                <w:bCs/>
                <w:sz w:val="20"/>
                <w:szCs w:val="20"/>
              </w:rPr>
              <w:t xml:space="preserve">Qué hace</w:t>
            </w:r>
          </w:p>
        </w:tc>
        <w:tc>
          <w:tcPr>
            <w:tcW w:type="dxa" w:w="4000"/>
            <w:shd w:fill="E5E7EB" w:val="clear"/>
            <w:tcMar>
              <w:top w:type="dxa" w:w="80"/>
              <w:left w:type="dxa" w:w="100"/>
              <w:bottom w:type="dxa" w:w="80"/>
              <w:right w:type="dxa" w:w="100"/>
            </w:tcMar>
          </w:tcPr>
          <w:p>
            <w:r>
              <w:rPr>
                <w:rFonts w:ascii="Calibri" w:cs="Calibri" w:eastAsia="Calibri" w:hAnsi="Calibri"/>
                <w:b/>
                <w:bCs/>
                <w:sz w:val="20"/>
                <w:szCs w:val="20"/>
              </w:rPr>
              <w:t xml:space="preserve">Estado</w:t>
            </w:r>
          </w:p>
        </w:tc>
      </w:tr>
      <w:tr>
        <w:tc>
          <w:tcPr>
            <w:tcW w:type="dxa" w:w="1900"/>
            <w:tcMar>
              <w:top w:type="dxa" w:w="80"/>
              <w:left w:type="dxa" w:w="100"/>
              <w:bottom w:type="dxa" w:w="80"/>
              <w:right w:type="dxa" w:w="100"/>
            </w:tcMar>
          </w:tcPr>
          <w:p>
            <w:r>
              <w:rPr>
                <w:rFonts w:ascii="Calibri" w:cs="Calibri" w:eastAsia="Calibri" w:hAnsi="Calibri"/>
                <w:b/>
                <w:bCs/>
                <w:sz w:val="20"/>
                <w:szCs w:val="20"/>
              </w:rPr>
              <w:t xml:space="preserve">cursos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Alta de cursos, histórico versionado de precios (curso_precios), ajuste de arancel que actualiza cuotas pendientes y matrículas impagas.</w:t>
            </w:r>
          </w:p>
        </w:tc>
        <w:tc>
          <w:tcPr>
            <w:tcW w:type="dxa" w:w="4000"/>
            <w:tcMar>
              <w:top w:type="dxa" w:w="80"/>
              <w:left w:type="dxa" w:w="100"/>
              <w:bottom w:type="dxa" w:w="80"/>
              <w:right w:type="dxa" w:w="100"/>
            </w:tcMar>
          </w:tcPr>
          <w:p>
            <w:r>
              <w:rPr>
                <w:rFonts w:ascii="Calibri" w:cs="Calibri" w:eastAsia="Calibri" w:hAnsi="Calibri"/>
                <w:b w:val="false"/>
                <w:bCs w:val="false"/>
                <w:color w:val="6B7280"/>
                <w:sz w:val="20"/>
                <w:szCs w:val="20"/>
              </w:rPr>
              <w:t xml:space="preserve">Funcional. Ver hallazgo de performance en ajuste de arancel.</w:t>
            </w:r>
          </w:p>
        </w:tc>
      </w:tr>
      <w:tr>
        <w:tc>
          <w:tcPr>
            <w:tcW w:type="dxa" w:w="1900"/>
            <w:tcMar>
              <w:top w:type="dxa" w:w="80"/>
              <w:left w:type="dxa" w:w="100"/>
              <w:bottom w:type="dxa" w:w="80"/>
              <w:right w:type="dxa" w:w="100"/>
            </w:tcMar>
          </w:tcPr>
          <w:p>
            <w:r>
              <w:rPr>
                <w:rFonts w:ascii="Calibri" w:cs="Calibri" w:eastAsia="Calibri" w:hAnsi="Calibri"/>
                <w:b/>
                <w:bCs/>
                <w:sz w:val="20"/>
                <w:szCs w:val="20"/>
              </w:rPr>
              <w:t xml:space="preserve">alumnos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Alta de alumnos, inscripciones a cursos, congelamiento de matrícula, generación automática del plan completo de cuotas mensuales.</w:t>
            </w:r>
          </w:p>
        </w:tc>
        <w:tc>
          <w:tcPr>
            <w:tcW w:type="dxa" w:w="4000"/>
            <w:tcMar>
              <w:top w:type="dxa" w:w="80"/>
              <w:left w:type="dxa" w:w="100"/>
              <w:bottom w:type="dxa" w:w="80"/>
              <w:right w:type="dxa" w:w="100"/>
            </w:tcMar>
          </w:tcPr>
          <w:p>
            <w:r>
              <w:rPr>
                <w:rFonts w:ascii="Calibri" w:cs="Calibri" w:eastAsia="Calibri" w:hAnsi="Calibri"/>
                <w:b w:val="false"/>
                <w:bCs w:val="false"/>
                <w:color w:val="6B7280"/>
                <w:sz w:val="20"/>
                <w:szCs w:val="20"/>
              </w:rPr>
              <w:t xml:space="preserve">Funcional. Valida duplicidad de inscripción.</w:t>
            </w:r>
          </w:p>
        </w:tc>
      </w:tr>
      <w:tr>
        <w:tc>
          <w:tcPr>
            <w:tcW w:type="dxa" w:w="1900"/>
            <w:tcMar>
              <w:top w:type="dxa" w:w="80"/>
              <w:left w:type="dxa" w:w="100"/>
              <w:bottom w:type="dxa" w:w="80"/>
              <w:right w:type="dxa" w:w="100"/>
            </w:tcMar>
          </w:tcPr>
          <w:p>
            <w:r>
              <w:rPr>
                <w:rFonts w:ascii="Calibri" w:cs="Calibri" w:eastAsia="Calibri" w:hAnsi="Calibri"/>
                <w:b/>
                <w:bCs/>
                <w:sz w:val="20"/>
                <w:szCs w:val="20"/>
              </w:rPr>
              <w:t xml:space="preserve">pagos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Métodos de pago con recargo %, registro de pago de cuota y de matrícula, cálculo y auditoría de recargos, job para marcar cuotas vencidas.</w:t>
            </w:r>
          </w:p>
        </w:tc>
        <w:tc>
          <w:tcPr>
            <w:tcW w:type="dxa" w:w="4000"/>
            <w:tcMar>
              <w:top w:type="dxa" w:w="80"/>
              <w:left w:type="dxa" w:w="100"/>
              <w:bottom w:type="dxa" w:w="80"/>
              <w:right w:type="dxa" w:w="100"/>
            </w:tcMar>
          </w:tcPr>
          <w:p>
            <w:r>
              <w:rPr>
                <w:rFonts w:ascii="Calibri" w:cs="Calibri" w:eastAsia="Calibri" w:hAnsi="Calibri"/>
                <w:b w:val="false"/>
                <w:bCs w:val="false"/>
                <w:color w:val="6B7280"/>
                <w:sz w:val="20"/>
                <w:szCs w:val="20"/>
              </w:rPr>
              <w:t xml:space="preserve">Funcional. El job de vencidas existe pero no está programado (no hay cron/scheduler).</w:t>
            </w:r>
          </w:p>
        </w:tc>
      </w:tr>
      <w:tr>
        <w:tc>
          <w:tcPr>
            <w:tcW w:type="dxa" w:w="1900"/>
            <w:tcMar>
              <w:top w:type="dxa" w:w="80"/>
              <w:left w:type="dxa" w:w="100"/>
              <w:bottom w:type="dxa" w:w="80"/>
              <w:right w:type="dxa" w:w="100"/>
            </w:tcMar>
          </w:tcPr>
          <w:p>
            <w:r>
              <w:rPr>
                <w:rFonts w:ascii="Calibri" w:cs="Calibri" w:eastAsia="Calibri" w:hAnsi="Calibri"/>
                <w:b/>
                <w:bCs/>
                <w:sz w:val="20"/>
                <w:szCs w:val="20"/>
              </w:rPr>
              <w:t xml:space="preserve">profesores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Alta de profesores, carga de asistencia docente (horas asignadas vs. trabajadas), liquidación mensual con descuento automático por inasistencias, edición y marcado de pago.</w:t>
            </w:r>
          </w:p>
        </w:tc>
        <w:tc>
          <w:tcPr>
            <w:tcW w:type="dxa" w:w="4000"/>
            <w:tcMar>
              <w:top w:type="dxa" w:w="80"/>
              <w:left w:type="dxa" w:w="100"/>
              <w:bottom w:type="dxa" w:w="80"/>
              <w:right w:type="dxa" w:w="100"/>
            </w:tcMar>
          </w:tcPr>
          <w:p>
            <w:r>
              <w:rPr>
                <w:rFonts w:ascii="Calibri" w:cs="Calibri" w:eastAsia="Calibri" w:hAnsi="Calibri"/>
                <w:b w:val="false"/>
                <w:bCs w:val="false"/>
                <w:color w:val="6B7280"/>
                <w:sz w:val="20"/>
                <w:szCs w:val="20"/>
              </w:rPr>
              <w:t xml:space="preserve">Funcional con el bug de neto duplicado en edición (ver tabla de errores).</w:t>
            </w:r>
          </w:p>
        </w:tc>
      </w:tr>
      <w:tr>
        <w:tc>
          <w:tcPr>
            <w:tcW w:type="dxa" w:w="1900"/>
            <w:tcMar>
              <w:top w:type="dxa" w:w="80"/>
              <w:left w:type="dxa" w:w="100"/>
              <w:bottom w:type="dxa" w:w="80"/>
              <w:right w:type="dxa" w:w="100"/>
            </w:tcMar>
          </w:tcPr>
          <w:p>
            <w:r>
              <w:rPr>
                <w:rFonts w:ascii="Calibri" w:cs="Calibri" w:eastAsia="Calibri" w:hAnsi="Calibri"/>
                <w:b/>
                <w:bCs/>
                <w:sz w:val="20"/>
                <w:szCs w:val="20"/>
              </w:rPr>
              <w:t xml:space="preserve">asistencias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Asistencia de alumnos por inscripción y fecha, con restricción de unicidad.</w:t>
            </w:r>
          </w:p>
        </w:tc>
        <w:tc>
          <w:tcPr>
            <w:tcW w:type="dxa" w:w="4000"/>
            <w:tcMar>
              <w:top w:type="dxa" w:w="80"/>
              <w:left w:type="dxa" w:w="100"/>
              <w:bottom w:type="dxa" w:w="80"/>
              <w:right w:type="dxa" w:w="100"/>
            </w:tcMar>
          </w:tcPr>
          <w:p>
            <w:r>
              <w:rPr>
                <w:rFonts w:ascii="Calibri" w:cs="Calibri" w:eastAsia="Calibri" w:hAnsi="Calibri"/>
                <w:b w:val="false"/>
                <w:bCs w:val="false"/>
                <w:color w:val="6B7280"/>
                <w:sz w:val="20"/>
                <w:szCs w:val="20"/>
              </w:rPr>
              <w:t xml:space="preserve">Funcional.</w:t>
            </w:r>
          </w:p>
        </w:tc>
      </w:tr>
      <w:tr>
        <w:tc>
          <w:tcPr>
            <w:tcW w:type="dxa" w:w="1900"/>
            <w:tcMar>
              <w:top w:type="dxa" w:w="80"/>
              <w:left w:type="dxa" w:w="100"/>
              <w:bottom w:type="dxa" w:w="80"/>
              <w:right w:type="dxa" w:w="100"/>
            </w:tcMar>
          </w:tcPr>
          <w:p>
            <w:r>
              <w:rPr>
                <w:rFonts w:ascii="Calibri" w:cs="Calibri" w:eastAsia="Calibri" w:hAnsi="Calibri"/>
                <w:b/>
                <w:bCs/>
                <w:sz w:val="20"/>
                <w:szCs w:val="20"/>
              </w:rPr>
              <w:t xml:space="preserve">gastos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Gastos operativos con soporte de recurrencia (proyecta 11 meses a futuro), edición y borrado en cascada de los meses futuros, balance mensual ingresos vs. egresos.</w:t>
            </w:r>
          </w:p>
        </w:tc>
        <w:tc>
          <w:tcPr>
            <w:tcW w:type="dxa" w:w="4000"/>
            <w:tcMar>
              <w:top w:type="dxa" w:w="80"/>
              <w:left w:type="dxa" w:w="100"/>
              <w:bottom w:type="dxa" w:w="80"/>
              <w:right w:type="dxa" w:w="100"/>
            </w:tcMar>
          </w:tcPr>
          <w:p>
            <w:r>
              <w:rPr>
                <w:rFonts w:ascii="Calibri" w:cs="Calibri" w:eastAsia="Calibri" w:hAnsi="Calibri"/>
                <w:b w:val="false"/>
                <w:bCs w:val="false"/>
                <w:color w:val="6B7280"/>
                <w:sz w:val="20"/>
                <w:szCs w:val="20"/>
              </w:rPr>
              <w:t xml:space="preserve">Funcional. La proyección de recurrentes es fija a 1 año; no se extiende sola.</w:t>
            </w:r>
          </w:p>
        </w:tc>
      </w:tr>
      <w:tr>
        <w:tc>
          <w:tcPr>
            <w:tcW w:type="dxa" w:w="1900"/>
            <w:tcMar>
              <w:top w:type="dxa" w:w="80"/>
              <w:left w:type="dxa" w:w="100"/>
              <w:bottom w:type="dxa" w:w="80"/>
              <w:right w:type="dxa" w:w="100"/>
            </w:tcMar>
          </w:tcPr>
          <w:p>
            <w:r>
              <w:rPr>
                <w:rFonts w:ascii="Calibri" w:cs="Calibri" w:eastAsia="Calibri" w:hAnsi="Calibri"/>
                <w:b/>
                <w:bCs/>
                <w:sz w:val="20"/>
                <w:szCs w:val="20"/>
              </w:rPr>
              <w:t xml:space="preserve">comprobantes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Generación de PDF de comprobante de pago (cuota/matrícula) con fpdf2, membrete, desglose y total.</w:t>
            </w:r>
          </w:p>
        </w:tc>
        <w:tc>
          <w:tcPr>
            <w:tcW w:type="dxa" w:w="4000"/>
            <w:tcMar>
              <w:top w:type="dxa" w:w="80"/>
              <w:left w:type="dxa" w:w="100"/>
              <w:bottom w:type="dxa" w:w="80"/>
              <w:right w:type="dxa" w:w="100"/>
            </w:tcMar>
          </w:tcPr>
          <w:p>
            <w:r>
              <w:rPr>
                <w:rFonts w:ascii="Calibri" w:cs="Calibri" w:eastAsia="Calibri" w:hAnsi="Calibri"/>
                <w:b w:val="false"/>
                <w:bCs w:val="false"/>
                <w:color w:val="6B7280"/>
                <w:sz w:val="20"/>
                <w:szCs w:val="20"/>
              </w:rPr>
              <w:t xml:space="preserve">Parcial: la rama de comprobante de liquidación nunca se activa (ver errores).</w:t>
            </w:r>
          </w:p>
        </w:tc>
      </w:tr>
      <w:tr>
        <w:tc>
          <w:tcPr>
            <w:tcW w:type="dxa" w:w="1900"/>
            <w:tcMar>
              <w:top w:type="dxa" w:w="80"/>
              <w:left w:type="dxa" w:w="100"/>
              <w:bottom w:type="dxa" w:w="80"/>
              <w:right w:type="dxa" w:w="100"/>
            </w:tcMar>
          </w:tcPr>
          <w:p>
            <w:r>
              <w:rPr>
                <w:rFonts w:ascii="Calibri" w:cs="Calibri" w:eastAsia="Calibri" w:hAnsi="Calibri"/>
                <w:b/>
                <w:bCs/>
                <w:sz w:val="20"/>
                <w:szCs w:val="20"/>
              </w:rPr>
              <w:t xml:space="preserve">dashboard</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Endpoint único de alertas: cuotas vencidas, cuotas por vencer, matrículas impagas, liquidaciones pendientes de pago.</w:t>
            </w:r>
          </w:p>
        </w:tc>
        <w:tc>
          <w:tcPr>
            <w:tcW w:type="dxa" w:w="4000"/>
            <w:tcMar>
              <w:top w:type="dxa" w:w="80"/>
              <w:left w:type="dxa" w:w="100"/>
              <w:bottom w:type="dxa" w:w="80"/>
              <w:right w:type="dxa" w:w="100"/>
            </w:tcMar>
          </w:tcPr>
          <w:p>
            <w:r>
              <w:rPr>
                <w:rFonts w:ascii="Calibri" w:cs="Calibri" w:eastAsia="Calibri" w:hAnsi="Calibri"/>
                <w:b w:val="false"/>
                <w:bCs w:val="false"/>
                <w:color w:val="6B7280"/>
                <w:sz w:val="20"/>
                <w:szCs w:val="20"/>
              </w:rPr>
              <w:t xml:space="preserve">Funcional.</w:t>
            </w:r>
          </w:p>
        </w:tc>
      </w:tr>
      <w:tr>
        <w:tc>
          <w:tcPr>
            <w:tcW w:type="dxa" w:w="1900"/>
            <w:tcMar>
              <w:top w:type="dxa" w:w="80"/>
              <w:left w:type="dxa" w:w="100"/>
              <w:bottom w:type="dxa" w:w="80"/>
              <w:right w:type="dxa" w:w="100"/>
            </w:tcMar>
          </w:tcPr>
          <w:p>
            <w:r>
              <w:rPr>
                <w:rFonts w:ascii="Calibri" w:cs="Calibri" w:eastAsia="Calibri" w:hAnsi="Calibri"/>
                <w:b/>
                <w:bCs/>
                <w:sz w:val="20"/>
                <w:szCs w:val="20"/>
              </w:rPr>
              <w:t xml:space="preserve">notificaciones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Listeners del bus de eventos interno que hoy solo loguean pago.registrado, cuota.vencida y liquidacion.generada.</w:t>
            </w:r>
          </w:p>
        </w:tc>
        <w:tc>
          <w:tcPr>
            <w:tcW w:type="dxa" w:w="4000"/>
            <w:tcMar>
              <w:top w:type="dxa" w:w="80"/>
              <w:left w:type="dxa" w:w="100"/>
              <w:bottom w:type="dxa" w:w="80"/>
              <w:right w:type="dxa" w:w="100"/>
            </w:tcMar>
          </w:tcPr>
          <w:p>
            <w:r>
              <w:rPr>
                <w:rFonts w:ascii="Calibri" w:cs="Calibri" w:eastAsia="Calibri" w:hAnsi="Calibri"/>
                <w:b w:val="false"/>
                <w:bCs w:val="false"/>
                <w:color w:val="6B7280"/>
                <w:sz w:val="20"/>
                <w:szCs w:val="20"/>
              </w:rPr>
              <w:t xml:space="preserve">Stub intencional, listo para conectar WhatsApp.</w:t>
            </w:r>
          </w:p>
        </w:tc>
      </w:tr>
    </w:tbl>
    <w:p>
      <w:pPr>
        <w:pStyle w:val="Heading1"/>
        <w:spacing w:after="200" w:before="400"/>
      </w:pPr>
      <w:r>
        <w:t xml:space="preserve">3. Decisiones de modelado que vale la pena destacar</w:t>
      </w:r>
    </w:p>
    <w:p>
      <w:pPr>
        <w:pStyle w:val="ListParagraph"/>
        <w:numPr>
          <w:ilvl w:val="0"/>
          <w:numId w:val="2"/>
        </w:numPr>
        <w:spacing w:after="90"/>
      </w:pPr>
      <w:r>
        <w:rPr>
          <w:rFonts w:ascii="Calibri" w:cs="Calibri" w:eastAsia="Calibri" w:hAnsi="Calibri"/>
          <w:b/>
          <w:bCs/>
          <w:sz w:val="22"/>
          <w:szCs w:val="22"/>
        </w:rPr>
        <w:t xml:space="preserve">Histórico de precios sin romper lo ya pagado: </w:t>
      </w:r>
      <w:r>
        <w:rPr>
          <w:rFonts w:ascii="Calibri" w:cs="Calibri" w:eastAsia="Calibri" w:hAnsi="Calibri"/>
          <w:sz w:val="22"/>
          <w:szCs w:val="22"/>
        </w:rPr>
        <w:t xml:space="preserve">cada curso tiene una tabla curso_precios versionada (nunca se hace UPDATE); cada cuota guarda valor_original (congelado para auditoría) y valor_actualizado (lo vigente). Un ajuste de arancel solo puede tocar cuotas pendientes o vencidas — una cuota pagada nunca se modifica.</w:t>
      </w:r>
    </w:p>
    <w:p>
      <w:pPr>
        <w:pStyle w:val="ListParagraph"/>
        <w:numPr>
          <w:ilvl w:val="0"/>
          <w:numId w:val="2"/>
        </w:numPr>
        <w:spacing w:after="90"/>
      </w:pPr>
      <w:r>
        <w:rPr>
          <w:rFonts w:ascii="Calibri" w:cs="Calibri" w:eastAsia="Calibri" w:hAnsi="Calibri"/>
          <w:b/>
          <w:bCs/>
          <w:sz w:val="22"/>
          <w:szCs w:val="22"/>
        </w:rPr>
        <w:t xml:space="preserve">Recargos por método de pago: </w:t>
      </w:r>
      <w:r>
        <w:rPr>
          <w:rFonts w:ascii="Calibri" w:cs="Calibri" w:eastAsia="Calibri" w:hAnsi="Calibri"/>
          <w:sz w:val="22"/>
          <w:szCs w:val="22"/>
        </w:rPr>
        <w:t xml:space="preserve">cada MetodoPago tiene un recargo_pct configurable; el cálculo se hace en el momento de cobrar y queda guardado en el Pago (valor_base, recargo_aplicado, valor_total) para que sea auditable aunque cambie el % después.</w:t>
      </w:r>
    </w:p>
    <w:p>
      <w:pPr>
        <w:pStyle w:val="ListParagraph"/>
        <w:numPr>
          <w:ilvl w:val="0"/>
          <w:numId w:val="2"/>
        </w:numPr>
        <w:spacing w:after="90"/>
      </w:pPr>
      <w:r>
        <w:rPr>
          <w:rFonts w:ascii="Calibri" w:cs="Calibri" w:eastAsia="Calibri" w:hAnsi="Calibri"/>
          <w:b/>
          <w:bCs/>
          <w:sz w:val="22"/>
          <w:szCs w:val="22"/>
        </w:rPr>
        <w:t xml:space="preserve">Extensibilidad para WhatsApp: </w:t>
      </w:r>
      <w:r>
        <w:rPr>
          <w:rFonts w:ascii="Calibri" w:cs="Calibri" w:eastAsia="Calibri" w:hAnsi="Calibri"/>
          <w:sz w:val="22"/>
          <w:szCs w:val="22"/>
        </w:rPr>
        <w:t xml:space="preserve">ningún módulo de negocio conoce la existencia de WhatsApp. Cuando pasa algo relevante emiten un evento (pago.registrado, cuota.vencida, liquidacion.generada) a través de app/events/bus.py; hoy esos eventos solo se loguean en notificaciones/listeners.py, y conectar un proveedor real es agregar un listener ahí sin tocar el resto del sistema.</w:t>
      </w:r>
    </w:p>
    <w:p>
      <w:pPr>
        <w:pStyle w:val="Heading1"/>
        <w:spacing w:after="200" w:before="400"/>
      </w:pPr>
      <w:r>
        <w:t xml:space="preserve">4. Errores y problemas detectados</w:t>
      </w:r>
    </w:p>
    <w:p>
      <w:pPr>
        <w:spacing w:after="150"/>
      </w:pPr>
      <w:r>
        <w:rPr>
          <w:rFonts w:ascii="Calibri" w:cs="Calibri" w:eastAsia="Calibri" w:hAnsi="Calibri"/>
          <w:sz w:val="22"/>
          <w:szCs w:val="22"/>
        </w:rPr>
        <w:t xml:space="preserve">Se revisó el código completo de los nueve módulos de backend y las ocho pantallas de frontend. Se listan de mayor a menor severidad; "Alta" significa que afecta un cálculo de dinero o rompe una funcionalidad visible al usuario en un escenario realista.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5600"/>
        <w:gridCol w:w="2600"/>
      </w:tblGrid>
      <w:tr>
        <w:trPr>
          <w:tblHeader/>
        </w:trPr>
        <w:tc>
          <w:tcPr>
            <w:tcW w:type="dxa" w:w="1300"/>
            <w:shd w:fill="E5E7EB" w:val="clear"/>
            <w:tcMar>
              <w:top w:type="dxa" w:w="80"/>
              <w:left w:type="dxa" w:w="100"/>
              <w:bottom w:type="dxa" w:w="80"/>
              <w:right w:type="dxa" w:w="100"/>
            </w:tcMar>
          </w:tcPr>
          <w:p>
            <w:r>
              <w:rPr>
                <w:rFonts w:ascii="Calibri" w:cs="Calibri" w:eastAsia="Calibri" w:hAnsi="Calibri"/>
                <w:b/>
                <w:bCs/>
                <w:sz w:val="20"/>
                <w:szCs w:val="20"/>
              </w:rPr>
              <w:t xml:space="preserve">Severidad</w:t>
            </w:r>
          </w:p>
        </w:tc>
        <w:tc>
          <w:tcPr>
            <w:tcW w:type="dxa" w:w="5600"/>
            <w:shd w:fill="E5E7EB" w:val="clear"/>
            <w:tcMar>
              <w:top w:type="dxa" w:w="80"/>
              <w:left w:type="dxa" w:w="100"/>
              <w:bottom w:type="dxa" w:w="80"/>
              <w:right w:type="dxa" w:w="100"/>
            </w:tcMar>
          </w:tcPr>
          <w:p>
            <w:r>
              <w:rPr>
                <w:rFonts w:ascii="Calibri" w:cs="Calibri" w:eastAsia="Calibri" w:hAnsi="Calibri"/>
                <w:b/>
                <w:bCs/>
                <w:sz w:val="20"/>
                <w:szCs w:val="20"/>
              </w:rPr>
              <w:t xml:space="preserve">Descripción</w:t>
            </w:r>
          </w:p>
        </w:tc>
        <w:tc>
          <w:tcPr>
            <w:tcW w:type="dxa" w:w="2600"/>
            <w:shd w:fill="E5E7EB" w:val="clear"/>
            <w:tcMar>
              <w:top w:type="dxa" w:w="80"/>
              <w:left w:type="dxa" w:w="100"/>
              <w:bottom w:type="dxa" w:w="80"/>
              <w:right w:type="dxa" w:w="100"/>
            </w:tcMar>
          </w:tcPr>
          <w:p>
            <w:r>
              <w:rPr>
                <w:rFonts w:ascii="Calibri" w:cs="Calibri" w:eastAsia="Calibri" w:hAnsi="Calibri"/>
                <w:b/>
                <w:bCs/>
                <w:sz w:val="20"/>
                <w:szCs w:val="20"/>
              </w:rPr>
              <w:t xml:space="preserve">Ubicación</w:t>
            </w:r>
          </w:p>
        </w:tc>
      </w:tr>
      <w:tr>
        <w:tc>
          <w:tcPr>
            <w:tcW w:type="dxa" w:w="1300"/>
            <w:tcMar>
              <w:top w:type="dxa" w:w="80"/>
              <w:left w:type="dxa" w:w="100"/>
              <w:bottom w:type="dxa" w:w="80"/>
              <w:right w:type="dxa" w:w="100"/>
            </w:tcMar>
          </w:tcPr>
          <w:p>
            <w:r>
              <w:rPr>
                <w:rFonts w:ascii="Calibri" w:cs="Calibri" w:eastAsia="Calibri" w:hAnsi="Calibri"/>
                <w:b/>
                <w:bCs/>
                <w:color w:val="B91C1C"/>
                <w:sz w:val="20"/>
                <w:szCs w:val="20"/>
              </w:rPr>
              <w:t xml:space="preserve">Alta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Al editar una liquidación ya generada, el neto se recalcula como valor_bruto − descuentos. Pero al generarla automáticamente, el neto es igual al bruto (los descuentos son solo informativos, porque el bruto ya se calcula sobre horas trabajadas, no asignadas). Resultado: abrir "Editar" y guardar sin cambiar nada le resta el descuento dos veces, pagándole de menos al profesor.</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backend/app/modules/profesores/router.py (editar_liquidacion) vs service.py (generar_liquidacion)</w:t>
            </w:r>
          </w:p>
        </w:tc>
      </w:tr>
      <w:tr>
        <w:tc>
          <w:tcPr>
            <w:tcW w:type="dxa" w:w="1300"/>
            <w:tcMar>
              <w:top w:type="dxa" w:w="80"/>
              <w:left w:type="dxa" w:w="100"/>
              <w:bottom w:type="dxa" w:w="80"/>
              <w:right w:type="dxa" w:w="100"/>
            </w:tcMar>
          </w:tcPr>
          <w:p>
            <w:r>
              <w:rPr>
                <w:rFonts w:ascii="Calibri" w:cs="Calibri" w:eastAsia="Calibri" w:hAnsi="Calibri"/>
                <w:b/>
                <w:bCs/>
                <w:color w:val="B91C1C"/>
                <w:sz w:val="20"/>
                <w:szCs w:val="20"/>
              </w:rPr>
              <w:t xml:space="preserve">Alta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El botón "Descargar comprobante PDF" tiene la URL del backend hardcodeada a http://localhost:8000 en vez de usar la variable de entorno VITE_API_URL. Funciona en desarrollo local pero rompe en cualquier despliegue en la nube (Render/Cloudflare, para lo cual el proyecto ya tiene render.yaml).</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frontend/src/pages/CobranzasPage.tsx:266, AlumnosPage.tsx:282</w:t>
            </w:r>
          </w:p>
        </w:tc>
      </w:tr>
      <w:tr>
        <w:tc>
          <w:tcPr>
            <w:tcW w:type="dxa" w:w="1300"/>
            <w:tcMar>
              <w:top w:type="dxa" w:w="80"/>
              <w:left w:type="dxa" w:w="100"/>
              <w:bottom w:type="dxa" w:w="80"/>
              <w:right w:type="dxa" w:w="100"/>
            </w:tcMar>
          </w:tcPr>
          <w:p>
            <w:r>
              <w:rPr>
                <w:rFonts w:ascii="Calibri" w:cs="Calibri" w:eastAsia="Calibri" w:hAnsi="Calibri"/>
                <w:b/>
                <w:bCs/>
                <w:color w:val="B45309"/>
                <w:sz w:val="20"/>
                <w:szCs w:val="20"/>
              </w:rPr>
              <w:t xml:space="preserve">Media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No existe endpoint que cree un Comprobante de tipo "liquidacion". marcar_liquidacion_pagada() nunca inserta un registro en la tabla comprobantes, por lo que la rama de generación de PDF para liquidaciones en el router de comprobantes nunca se puede ejecutar desde la UI: no hay forma de emitir el recibo de sueldo de un profesor.</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backend/app/modules/comprobantes/router.py (rama tipo=="liquidacion") / profesores/service.py</w:t>
            </w:r>
          </w:p>
        </w:tc>
      </w:tr>
      <w:tr>
        <w:tc>
          <w:tcPr>
            <w:tcW w:type="dxa" w:w="1300"/>
            <w:tcMar>
              <w:top w:type="dxa" w:w="80"/>
              <w:left w:type="dxa" w:w="100"/>
              <w:bottom w:type="dxa" w:w="80"/>
              <w:right w:type="dxa" w:w="100"/>
            </w:tcMar>
          </w:tcPr>
          <w:p>
            <w:r>
              <w:rPr>
                <w:rFonts w:ascii="Calibri" w:cs="Calibri" w:eastAsia="Calibri" w:hAnsi="Calibri"/>
                <w:b/>
                <w:bCs/>
                <w:color w:val="B45309"/>
                <w:sz w:val="20"/>
                <w:szCs w:val="20"/>
              </w:rPr>
              <w:t xml:space="preserve">Media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La asistencia docente (AsistenciaProfesor) no tiene restricción de unicidad por (profesor, curso, fecha), a diferencia de la asistencia de alumnos que sí la tiene. Se puede cargar la misma jornada dos veces sin que el sistema lo impida, inflando las horas trabajadas y por lo tanto el monto de la liquidación.</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backend/app/modules/profesores/models.py (AsistenciaProfesor)</w:t>
            </w:r>
          </w:p>
        </w:tc>
      </w:tr>
      <w:tr>
        <w:tc>
          <w:tcPr>
            <w:tcW w:type="dxa" w:w="1300"/>
            <w:tcMar>
              <w:top w:type="dxa" w:w="80"/>
              <w:left w:type="dxa" w:w="100"/>
              <w:bottom w:type="dxa" w:w="80"/>
              <w:right w:type="dxa" w:w="100"/>
            </w:tcMar>
          </w:tcPr>
          <w:p>
            <w:r>
              <w:rPr>
                <w:rFonts w:ascii="Calibri" w:cs="Calibri" w:eastAsia="Calibri" w:hAnsi="Calibri"/>
                <w:b/>
                <w:bCs/>
                <w:color w:val="B45309"/>
                <w:sz w:val="20"/>
                <w:szCs w:val="20"/>
              </w:rPr>
              <w:t xml:space="preserve">Media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aplicar_ajuste_arancel() trae de la base TODAS las cuotas pendientes/vencidas de TODOS los cursos y recién filtra por curso_id en Python. Con una base de alumnos grande, cada aumento de arancel se vuelve una consulta cada vez más pesada e innecesaria.</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backend/app/modules/cursos/service.py (aplicar_ajuste_arancel)</w:t>
            </w:r>
          </w:p>
        </w:tc>
      </w:tr>
      <w:tr>
        <w:tc>
          <w:tcPr>
            <w:tcW w:type="dxa" w:w="1300"/>
            <w:tcMar>
              <w:top w:type="dxa" w:w="80"/>
              <w:left w:type="dxa" w:w="100"/>
              <w:bottom w:type="dxa" w:w="80"/>
              <w:right w:type="dxa" w:w="100"/>
            </w:tcMar>
          </w:tcPr>
          <w:p>
            <w:r>
              <w:rPr>
                <w:rFonts w:ascii="Calibri" w:cs="Calibri" w:eastAsia="Calibri" w:hAnsi="Calibri"/>
                <w:b/>
                <w:bCs/>
                <w:color w:val="B45309"/>
                <w:sz w:val="20"/>
                <w:szCs w:val="20"/>
              </w:rPr>
              <w:t xml:space="preserve">Media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El repositorio no incluye un archivo .env.example, pero el README indica cp .env.example .env como paso 3 de la instalación. Cualquiera que siga el instructivo tal cual se traba ahí.</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backend/ (falta .env.example)</w:t>
            </w:r>
          </w:p>
        </w:tc>
      </w:tr>
      <w:tr>
        <w:tc>
          <w:tcPr>
            <w:tcW w:type="dxa" w:w="1300"/>
            <w:tcMar>
              <w:top w:type="dxa" w:w="80"/>
              <w:left w:type="dxa" w:w="100"/>
              <w:bottom w:type="dxa" w:w="80"/>
              <w:right w:type="dxa" w:w="100"/>
            </w:tcMar>
          </w:tcPr>
          <w:p>
            <w:r>
              <w:rPr>
                <w:rFonts w:ascii="Calibri" w:cs="Calibri" w:eastAsia="Calibri" w:hAnsi="Calibri"/>
                <w:b/>
                <w:bCs/>
                <w:color w:val="047857"/>
                <w:sz w:val="20"/>
                <w:szCs w:val="20"/>
              </w:rPr>
              <w:t xml:space="preserve">Baja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Carpeta backend/alembic/versions es un duplicado literal (mismo contenido, verificado con diff) de backend/migrations/versions, dejado de cuando se renombró la carpeta de migraciones para el empaquetado con PyInstaller. alembic.ini apunta solo a migrations/, así que alembic/ es código muerto que puede confundir a quien migre a mano.</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backend/alembic/ (vestigial)</w:t>
            </w:r>
          </w:p>
        </w:tc>
      </w:tr>
      <w:tr>
        <w:tc>
          <w:tcPr>
            <w:tcW w:type="dxa" w:w="1300"/>
            <w:tcMar>
              <w:top w:type="dxa" w:w="80"/>
              <w:left w:type="dxa" w:w="100"/>
              <w:bottom w:type="dxa" w:w="80"/>
              <w:right w:type="dxa" w:w="100"/>
            </w:tcMar>
          </w:tcPr>
          <w:p>
            <w:r>
              <w:rPr>
                <w:rFonts w:ascii="Calibri" w:cs="Calibri" w:eastAsia="Calibri" w:hAnsi="Calibri"/>
                <w:b/>
                <w:bCs/>
                <w:color w:val="047857"/>
                <w:sz w:val="20"/>
                <w:szCs w:val="20"/>
              </w:rPr>
              <w:t xml:space="preserve">Baja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requirements.txt incluye tanto reportlab como fpdf2, pero la generación real de comprobantes usa únicamente fpdf2 (comprobantes/service.py). reportlab no se usa en ningún módulo — dependencia muerta que además pesa en el build de PyInstaller.</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backend/requirements.txt</w:t>
            </w:r>
          </w:p>
        </w:tc>
      </w:tr>
      <w:tr>
        <w:tc>
          <w:tcPr>
            <w:tcW w:type="dxa" w:w="1300"/>
            <w:tcMar>
              <w:top w:type="dxa" w:w="80"/>
              <w:left w:type="dxa" w:w="100"/>
              <w:bottom w:type="dxa" w:w="80"/>
              <w:right w:type="dxa" w:w="100"/>
            </w:tcMar>
          </w:tcPr>
          <w:p>
            <w:r>
              <w:rPr>
                <w:rFonts w:ascii="Calibri" w:cs="Calibri" w:eastAsia="Calibri" w:hAnsi="Calibri"/>
                <w:b/>
                <w:bCs/>
                <w:color w:val="047857"/>
                <w:sz w:val="20"/>
                <w:szCs w:val="20"/>
              </w:rPr>
              <w:t xml:space="preserve">Baja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La carpeta backend/app/modules/liquidaciones/ existe (con __init__.py) pero está vacía: toda la lógica de liquidaciones vive en profesores/. Es un remanente de una reestructuración que puede confundir a quien navegue el código esperando encontrar ahí los modelos.</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backend/app/modules/liquidaciones/</w:t>
            </w:r>
          </w:p>
        </w:tc>
      </w:tr>
      <w:tr>
        <w:tc>
          <w:tcPr>
            <w:tcW w:type="dxa" w:w="1300"/>
            <w:tcMar>
              <w:top w:type="dxa" w:w="80"/>
              <w:left w:type="dxa" w:w="100"/>
              <w:bottom w:type="dxa" w:w="80"/>
              <w:right w:type="dxa" w:w="100"/>
            </w:tcMar>
          </w:tcPr>
          <w:p>
            <w:r>
              <w:rPr>
                <w:rFonts w:ascii="Calibri" w:cs="Calibri" w:eastAsia="Calibri" w:hAnsi="Calibri"/>
                <w:b/>
                <w:bCs/>
                <w:color w:val="047857"/>
                <w:sz w:val="20"/>
                <w:szCs w:val="20"/>
              </w:rPr>
              <w:t xml:space="preserve">Baja</w:t>
            </w:r>
          </w:p>
        </w:tc>
        <w:tc>
          <w:tcPr>
            <w:tcW w:type="dxa" w:w="5600"/>
            <w:tcMar>
              <w:top w:type="dxa" w:w="80"/>
              <w:left w:type="dxa" w:w="100"/>
              <w:bottom w:type="dxa" w:w="80"/>
              <w:right w:type="dxa" w:w="100"/>
            </w:tcMar>
          </w:tcPr>
          <w:p>
            <w:r>
              <w:rPr>
                <w:rFonts w:ascii="Calibri" w:cs="Calibri" w:eastAsia="Calibri" w:hAnsi="Calibri"/>
                <w:b w:val="false"/>
                <w:bCs w:val="false"/>
                <w:sz w:val="20"/>
                <w:szCs w:val="20"/>
              </w:rPr>
              <w:t xml:space="preserve">backend/.env local tiene ENV=production apuntando a una base en 127.0.0.1:5433. No es un bug del código, pero es un riesgo operativo: si ese .env se reutiliza tal cual en un despliegue real, CORS y otras validaciones de entorno quedarían mal configuradas.</w:t>
            </w:r>
          </w:p>
        </w:tc>
        <w:tc>
          <w:tcPr>
            <w:tcW w:type="dxa" w:w="2600"/>
            <w:tcMar>
              <w:top w:type="dxa" w:w="80"/>
              <w:left w:type="dxa" w:w="100"/>
              <w:bottom w:type="dxa" w:w="80"/>
              <w:right w:type="dxa" w:w="100"/>
            </w:tcMar>
          </w:tcPr>
          <w:p>
            <w:r>
              <w:rPr>
                <w:rFonts w:ascii="Calibri" w:cs="Calibri" w:eastAsia="Calibri" w:hAnsi="Calibri"/>
                <w:b w:val="false"/>
                <w:bCs w:val="false"/>
                <w:color w:val="6B7280"/>
                <w:sz w:val="20"/>
                <w:szCs w:val="20"/>
              </w:rPr>
              <w:t xml:space="preserve">backend/.env</w:t>
            </w:r>
          </w:p>
        </w:tc>
      </w:tr>
    </w:tbl>
    <w:p>
      <w:pPr>
        <w:pStyle w:val="Heading1"/>
        <w:spacing w:after="200" w:before="400"/>
      </w:pPr>
      <w:r>
        <w:t xml:space="preserve">5. Puntos de mejora (más allá de los bugs puntuales)</w:t>
      </w:r>
    </w:p>
    <w:p>
      <w:pPr>
        <w:pStyle w:val="ListParagraph"/>
        <w:numPr>
          <w:ilvl w:val="0"/>
          <w:numId w:val="2"/>
        </w:numPr>
        <w:spacing w:after="90"/>
      </w:pPr>
      <w:r>
        <w:rPr>
          <w:rFonts w:ascii="Calibri" w:cs="Calibri" w:eastAsia="Calibri" w:hAnsi="Calibri"/>
          <w:sz w:val="22"/>
          <w:szCs w:val="22"/>
        </w:rPr>
        <w:t xml:space="preserve">No hay autenticación ni control de usuarios: cualquiera con acceso a la URL del backend puede leer y modificar todo. Es aceptable para un único operador en una notebook offline, pero es el primer bloqueante real antes de que más de una persona use el sistema o se despliegue en la nube.</w:t>
      </w:r>
    </w:p>
    <w:p>
      <w:pPr>
        <w:pStyle w:val="ListParagraph"/>
        <w:numPr>
          <w:ilvl w:val="0"/>
          <w:numId w:val="2"/>
        </w:numPr>
        <w:spacing w:after="90"/>
      </w:pPr>
      <w:r>
        <w:rPr>
          <w:rFonts w:ascii="Calibri" w:cs="Calibri" w:eastAsia="Calibri" w:hAnsi="Calibri"/>
          <w:sz w:val="22"/>
          <w:szCs w:val="22"/>
        </w:rPr>
        <w:t xml:space="preserve">El job de vencimiento de cuotas (POST /api/pagos/marcar-vencidas) existe pero no corre solo: hay que dispararlo a mano o programarlo con un cron/APScheduler. Mientras tanto, ninguna cuota pasa a "vencida" sola ni dispara el evento cuota.vencida.</w:t>
      </w:r>
    </w:p>
    <w:p>
      <w:pPr>
        <w:pStyle w:val="ListParagraph"/>
        <w:numPr>
          <w:ilvl w:val="0"/>
          <w:numId w:val="2"/>
        </w:numPr>
        <w:spacing w:after="90"/>
      </w:pPr>
      <w:r>
        <w:rPr>
          <w:rFonts w:ascii="Calibri" w:cs="Calibri" w:eastAsia="Calibri" w:hAnsi="Calibri"/>
          <w:sz w:val="22"/>
          <w:szCs w:val="22"/>
        </w:rPr>
        <w:t xml:space="preserve">Los gastos recurrentes se proyectan una única vez, 11 meses hacia adelante, al momento de crearlos. Pasado ese año no se generan solos: hace falta un job que los siga extendiendo, o el usuario deberá recrearlos manualmente.</w:t>
      </w:r>
    </w:p>
    <w:p>
      <w:pPr>
        <w:pStyle w:val="ListParagraph"/>
        <w:numPr>
          <w:ilvl w:val="0"/>
          <w:numId w:val="2"/>
        </w:numPr>
        <w:spacing w:after="90"/>
      </w:pPr>
      <w:r>
        <w:rPr>
          <w:rFonts w:ascii="Calibri" w:cs="Calibri" w:eastAsia="Calibri" w:hAnsi="Calibri"/>
          <w:sz w:val="22"/>
          <w:szCs w:val="22"/>
        </w:rPr>
        <w:t xml:space="preserve">No hay generación de PDF de liquidación (recibo de sueldo) accesible desde la UI, por el bug de comprobantes descripto arriba — hoy solo funciona el comprobante de cuota/matrícula.</w:t>
      </w:r>
    </w:p>
    <w:p>
      <w:pPr>
        <w:pStyle w:val="ListParagraph"/>
        <w:numPr>
          <w:ilvl w:val="0"/>
          <w:numId w:val="2"/>
        </w:numPr>
        <w:spacing w:after="90"/>
      </w:pPr>
      <w:r>
        <w:rPr>
          <w:rFonts w:ascii="Calibri" w:cs="Calibri" w:eastAsia="Calibri" w:hAnsi="Calibri"/>
          <w:sz w:val="22"/>
          <w:szCs w:val="22"/>
        </w:rPr>
        <w:t xml:space="preserve">No hay tests automatizados (unitarios ni de integración) en ninguno de los dos proyectos, lo cual es riesgoso dado que hay lógica financiera sensible (cálculo de recargos, ajustes de arancel, liquidaciones).</w:t>
      </w:r>
    </w:p>
    <w:p>
      <w:pPr>
        <w:pStyle w:val="ListParagraph"/>
        <w:numPr>
          <w:ilvl w:val="0"/>
          <w:numId w:val="2"/>
        </w:numPr>
        <w:spacing w:after="90"/>
      </w:pPr>
      <w:r>
        <w:rPr>
          <w:rFonts w:ascii="Calibri" w:cs="Calibri" w:eastAsia="Calibri" w:hAnsi="Calibri"/>
          <w:sz w:val="22"/>
          <w:szCs w:val="22"/>
        </w:rPr>
        <w:t xml:space="preserve">No hay paginación en los listados (alumnos, pagos, cuotas, gastos): todo trae la tabla completa. Funciona bien con pocos alumnos, pero escala mal a mediano plazo.</w:t>
      </w:r>
    </w:p>
    <w:p>
      <w:pPr>
        <w:pStyle w:val="ListParagraph"/>
        <w:numPr>
          <w:ilvl w:val="0"/>
          <w:numId w:val="2"/>
        </w:numPr>
        <w:spacing w:after="90"/>
      </w:pPr>
      <w:r>
        <w:rPr>
          <w:rFonts w:ascii="Calibri" w:cs="Calibri" w:eastAsia="Calibri" w:hAnsi="Calibri"/>
          <w:sz w:val="22"/>
          <w:szCs w:val="22"/>
        </w:rPr>
        <w:t xml:space="preserve">El dashboard de alertas no distingue por curso ni permite filtrar; con muchas inscripciones activas puede volverse una lista larga difícil de accionar.</w:t>
      </w:r>
    </w:p>
    <w:p>
      <w:pPr>
        <w:pStyle w:val="ListParagraph"/>
        <w:numPr>
          <w:ilvl w:val="0"/>
          <w:numId w:val="2"/>
        </w:numPr>
        <w:spacing w:after="90"/>
      </w:pPr>
      <w:r>
        <w:rPr>
          <w:rFonts w:ascii="Calibri" w:cs="Calibri" w:eastAsia="Calibri" w:hAnsi="Calibri"/>
          <w:sz w:val="22"/>
          <w:szCs w:val="22"/>
        </w:rPr>
        <w:t xml:space="preserve">No hay manejo de zona horaria explícito más allá de lo que da PostgreSQL/SQLAlchemy por defecto; al migrar a un servidor en la nube (posiblemente en otra zona horaria) los cálculos de "vencimiento hoy" podrían correrse un día.</w:t>
      </w:r>
    </w:p>
    <w:p>
      <w:pPr>
        <w:pStyle w:val="ListParagraph"/>
        <w:numPr>
          <w:ilvl w:val="0"/>
          <w:numId w:val="2"/>
        </w:numPr>
        <w:spacing w:after="90"/>
      </w:pPr>
      <w:r>
        <w:rPr>
          <w:rFonts w:ascii="Calibri" w:cs="Calibri" w:eastAsia="Calibri" w:hAnsi="Calibri"/>
          <w:sz w:val="22"/>
          <w:szCs w:val="22"/>
        </w:rPr>
        <w:t xml:space="preserve">El frontend no tiene manejo de sesión expirada, reintentos, ni estados de carga globales consistentes entre páginas; cada pantalla maneja su propio loading/error de forma repetida (oportunidad de extraer un hook común, ej. useApi).</w:t>
      </w:r>
    </w:p>
    <w:p>
      <w:pPr>
        <w:pStyle w:val="ListParagraph"/>
        <w:numPr>
          <w:ilvl w:val="0"/>
          <w:numId w:val="2"/>
        </w:numPr>
        <w:spacing w:after="90"/>
      </w:pPr>
      <w:r>
        <w:rPr>
          <w:rFonts w:ascii="Calibri" w:cs="Calibri" w:eastAsia="Calibri" w:hAnsi="Calibri"/>
          <w:sz w:val="22"/>
          <w:szCs w:val="22"/>
        </w:rPr>
        <w:t xml:space="preserve">No hay backups automatizados de la base de datos documentados ni un procedimiento de recuperación ante fallos, algo crítico corriendo 100% local en una notebook.</w:t>
      </w:r>
    </w:p>
    <w:p>
      <w:pPr>
        <w:pStyle w:val="Heading1"/>
        <w:spacing w:after="200" w:before="400"/>
      </w:pPr>
      <w:r>
        <w:t xml:space="preserve">6. Roadmap sugerido</w:t>
      </w:r>
    </w:p>
    <w:p>
      <w:pPr>
        <w:spacing w:after="150"/>
      </w:pPr>
      <w:r>
        <w:rPr>
          <w:rFonts w:ascii="Calibri" w:cs="Calibri" w:eastAsia="Calibri" w:hAnsi="Calibri"/>
          <w:sz w:val="22"/>
          <w:szCs w:val="22"/>
        </w:rPr>
        <w:t xml:space="preserve">Se propone un orden por impacto/urgencia, agrupando lo que ya identificó el propio equipo en el README con los hallazgos de esta revisión.</w:t>
      </w:r>
    </w:p>
    <w:p>
      <w:pPr>
        <w:pStyle w:val="Heading2"/>
        <w:spacing w:after="150" w:before="300"/>
      </w:pPr>
      <w:r>
        <w:t xml:space="preserve">Fase 1 — Corregir antes de seguir sumando funciones</w:t>
      </w:r>
    </w:p>
    <w:p>
      <w:pPr>
        <w:pStyle w:val="ListParagraph"/>
        <w:numPr>
          <w:ilvl w:val="0"/>
          <w:numId w:val="3"/>
        </w:numPr>
        <w:spacing w:after="100"/>
      </w:pPr>
      <w:r>
        <w:rPr>
          <w:rFonts w:ascii="Calibri" w:cs="Calibri" w:eastAsia="Calibri" w:hAnsi="Calibri"/>
          <w:sz w:val="22"/>
          <w:szCs w:val="22"/>
        </w:rPr>
        <w:t xml:space="preserve">Arreglar el doble descuento al editar una liquidación (bug de severidad alta) — unificar la fórmula de valor_neto entre generar_liquidacion y editar_liquidacion.</w:t>
      </w:r>
    </w:p>
    <w:p>
      <w:pPr>
        <w:pStyle w:val="ListParagraph"/>
        <w:numPr>
          <w:ilvl w:val="0"/>
          <w:numId w:val="3"/>
        </w:numPr>
        <w:spacing w:after="100"/>
      </w:pPr>
      <w:r>
        <w:rPr>
          <w:rFonts w:ascii="Calibri" w:cs="Calibri" w:eastAsia="Calibri" w:hAnsi="Calibri"/>
          <w:sz w:val="22"/>
          <w:szCs w:val="22"/>
        </w:rPr>
        <w:t xml:space="preserve">Reemplazar las URLs hardcodeadas a localhost:8000 en CobranzasPage.tsx y AlumnosPage.tsx por BASE_URL / VITE_API_URL, para que el PDF funcione también en producción.</w:t>
      </w:r>
    </w:p>
    <w:p>
      <w:pPr>
        <w:pStyle w:val="ListParagraph"/>
        <w:numPr>
          <w:ilvl w:val="0"/>
          <w:numId w:val="3"/>
        </w:numPr>
        <w:spacing w:after="100"/>
      </w:pPr>
      <w:r>
        <w:rPr>
          <w:rFonts w:ascii="Calibri" w:cs="Calibri" w:eastAsia="Calibri" w:hAnsi="Calibri"/>
          <w:sz w:val="22"/>
          <w:szCs w:val="22"/>
        </w:rPr>
        <w:t xml:space="preserve">Agregar el endpoint que cree el Comprobante al marcar una liquidación como pagada, para habilitar el recibo de sueldo en PDF.</w:t>
      </w:r>
    </w:p>
    <w:p>
      <w:pPr>
        <w:pStyle w:val="ListParagraph"/>
        <w:numPr>
          <w:ilvl w:val="0"/>
          <w:numId w:val="3"/>
        </w:numPr>
        <w:spacing w:after="100"/>
      </w:pPr>
      <w:r>
        <w:rPr>
          <w:rFonts w:ascii="Calibri" w:cs="Calibri" w:eastAsia="Calibri" w:hAnsi="Calibri"/>
          <w:sz w:val="22"/>
          <w:szCs w:val="22"/>
        </w:rPr>
        <w:t xml:space="preserve">Agregar restricción de unicidad (profesor_id, curso_id, fecha) en asistencias_profesores para evitar cargas duplicadas que infl en las liquidaciones.</w:t>
      </w:r>
    </w:p>
    <w:p>
      <w:pPr>
        <w:pStyle w:val="ListParagraph"/>
        <w:numPr>
          <w:ilvl w:val="0"/>
          <w:numId w:val="3"/>
        </w:numPr>
        <w:spacing w:after="100"/>
      </w:pPr>
      <w:r>
        <w:rPr>
          <w:rFonts w:ascii="Calibri" w:cs="Calibri" w:eastAsia="Calibri" w:hAnsi="Calibri"/>
          <w:sz w:val="22"/>
          <w:szCs w:val="22"/>
        </w:rPr>
        <w:t xml:space="preserve">Crear el archivo backend/.env.example que el README da por existente, y eliminar la carpeta duplicada backend/alembic/versions (dejar solo migrations/).</w:t>
      </w:r>
    </w:p>
    <w:p>
      <w:pPr>
        <w:pStyle w:val="Heading2"/>
        <w:spacing w:after="150" w:before="300"/>
      </w:pPr>
      <w:r>
        <w:t xml:space="preserve">Fase 2 — Completar lo que el propio README marca como pendiente</w:t>
      </w:r>
    </w:p>
    <w:p>
      <w:pPr>
        <w:pStyle w:val="ListParagraph"/>
        <w:numPr>
          <w:ilvl w:val="0"/>
          <w:numId w:val="3"/>
        </w:numPr>
        <w:spacing w:after="100"/>
      </w:pPr>
      <w:r>
        <w:rPr>
          <w:rFonts w:ascii="Calibri" w:cs="Calibri" w:eastAsia="Calibri" w:hAnsi="Calibri"/>
          <w:sz w:val="22"/>
          <w:szCs w:val="22"/>
        </w:rPr>
        <w:t xml:space="preserve">Job diario de vencimientos: programar POST /api/pagos/marcar-vencidas con APScheduler (ya corre en el mismo proceso del backend, sin infraestructura extra) para que dispare cuota.vencida todos los días.</w:t>
      </w:r>
    </w:p>
    <w:p>
      <w:pPr>
        <w:pStyle w:val="ListParagraph"/>
        <w:numPr>
          <w:ilvl w:val="0"/>
          <w:numId w:val="3"/>
        </w:numPr>
        <w:spacing w:after="100"/>
      </w:pPr>
      <w:r>
        <w:rPr>
          <w:rFonts w:ascii="Calibri" w:cs="Calibri" w:eastAsia="Calibri" w:hAnsi="Calibri"/>
          <w:sz w:val="22"/>
          <w:szCs w:val="22"/>
        </w:rPr>
        <w:t xml:space="preserve">Integración WhatsApp real: reemplazar los logger.info(...) en notificaciones/listeners.py por llamadas a WhatsApp Cloud API / Evolution API / Baileys.</w:t>
      </w:r>
    </w:p>
    <w:p>
      <w:pPr>
        <w:pStyle w:val="ListParagraph"/>
        <w:numPr>
          <w:ilvl w:val="0"/>
          <w:numId w:val="3"/>
        </w:numPr>
        <w:spacing w:after="100"/>
      </w:pPr>
      <w:r>
        <w:rPr>
          <w:rFonts w:ascii="Calibri" w:cs="Calibri" w:eastAsia="Calibri" w:hAnsi="Calibri"/>
          <w:sz w:val="22"/>
          <w:szCs w:val="22"/>
        </w:rPr>
        <w:t xml:space="preserve">Autenticación: agregar login con JWT + FastAPI Depends antes de exponer el sistema a más de un usuario o a internet — es el requisito previo para la fase de nube.</w:t>
      </w:r>
    </w:p>
    <w:p>
      <w:pPr>
        <w:pStyle w:val="Heading2"/>
        <w:spacing w:after="150" w:before="300"/>
      </w:pPr>
      <w:r>
        <w:t xml:space="preserve">Fase 3 — Robustez operativa</w:t>
      </w:r>
    </w:p>
    <w:p>
      <w:pPr>
        <w:pStyle w:val="ListParagraph"/>
        <w:numPr>
          <w:ilvl w:val="0"/>
          <w:numId w:val="3"/>
        </w:numPr>
        <w:spacing w:after="100"/>
      </w:pPr>
      <w:r>
        <w:rPr>
          <w:rFonts w:ascii="Calibri" w:cs="Calibri" w:eastAsia="Calibri" w:hAnsi="Calibri"/>
          <w:sz w:val="22"/>
          <w:szCs w:val="22"/>
        </w:rPr>
        <w:t xml:space="preserve">Sumar tests automatizados sobre la lógica financiera crítica: cálculo de recargos, ajuste de arancel, generación y edición de liquidaciones, balance de caja.</w:t>
      </w:r>
    </w:p>
    <w:p>
      <w:pPr>
        <w:pStyle w:val="ListParagraph"/>
        <w:numPr>
          <w:ilvl w:val="0"/>
          <w:numId w:val="3"/>
        </w:numPr>
        <w:spacing w:after="100"/>
      </w:pPr>
      <w:r>
        <w:rPr>
          <w:rFonts w:ascii="Calibri" w:cs="Calibri" w:eastAsia="Calibri" w:hAnsi="Calibri"/>
          <w:sz w:val="22"/>
          <w:szCs w:val="22"/>
        </w:rPr>
        <w:t xml:space="preserve">Job que extienda automáticamente los gastos recurrentes más allá de la ventana fija de 11 meses.</w:t>
      </w:r>
    </w:p>
    <w:p>
      <w:pPr>
        <w:pStyle w:val="ListParagraph"/>
        <w:numPr>
          <w:ilvl w:val="0"/>
          <w:numId w:val="3"/>
        </w:numPr>
        <w:spacing w:after="100"/>
      </w:pPr>
      <w:r>
        <w:rPr>
          <w:rFonts w:ascii="Calibri" w:cs="Calibri" w:eastAsia="Calibri" w:hAnsi="Calibri"/>
          <w:sz w:val="22"/>
          <w:szCs w:val="22"/>
        </w:rPr>
        <w:t xml:space="preserve">Paginación y filtros en los listados principales (alumnos, pagos, cuotas, gastos) antes de que el volumen de datos lo haga necesario por performance.</w:t>
      </w:r>
    </w:p>
    <w:p>
      <w:pPr>
        <w:pStyle w:val="ListParagraph"/>
        <w:numPr>
          <w:ilvl w:val="0"/>
          <w:numId w:val="3"/>
        </w:numPr>
        <w:spacing w:after="100"/>
      </w:pPr>
      <w:r>
        <w:rPr>
          <w:rFonts w:ascii="Calibri" w:cs="Calibri" w:eastAsia="Calibri" w:hAnsi="Calibri"/>
          <w:sz w:val="22"/>
          <w:szCs w:val="22"/>
        </w:rPr>
        <w:t xml:space="preserve">Optimizar aplicar_ajuste_arancel para filtrar por curso_id directamente en la consulta SQL en vez de traer todas las cuotas pendientes del sistema.</w:t>
      </w:r>
    </w:p>
    <w:p>
      <w:pPr>
        <w:pStyle w:val="ListParagraph"/>
        <w:numPr>
          <w:ilvl w:val="0"/>
          <w:numId w:val="3"/>
        </w:numPr>
        <w:spacing w:after="100"/>
      </w:pPr>
      <w:r>
        <w:rPr>
          <w:rFonts w:ascii="Calibri" w:cs="Calibri" w:eastAsia="Calibri" w:hAnsi="Calibri"/>
          <w:sz w:val="22"/>
          <w:szCs w:val="22"/>
        </w:rPr>
        <w:t xml:space="preserve">Documentar y automatizar el backup de la base PostgreSQL (local y, más adelante, en la nube).</w:t>
      </w:r>
    </w:p>
    <w:p>
      <w:pPr>
        <w:pStyle w:val="Heading2"/>
        <w:spacing w:after="150" w:before="300"/>
      </w:pPr>
      <w:r>
        <w:t xml:space="preserve">Fase 4 — Migración a la nube</w:t>
      </w:r>
    </w:p>
    <w:p>
      <w:pPr>
        <w:pStyle w:val="ListParagraph"/>
        <w:numPr>
          <w:ilvl w:val="0"/>
          <w:numId w:val="3"/>
        </w:numPr>
        <w:spacing w:after="100"/>
      </w:pPr>
      <w:r>
        <w:rPr>
          <w:rFonts w:ascii="Calibri" w:cs="Calibri" w:eastAsia="Calibri" w:hAnsi="Calibri"/>
          <w:sz w:val="22"/>
          <w:szCs w:val="22"/>
        </w:rPr>
        <w:t xml:space="preserve">Usar el render.yaml y la configuración de Neon ya presentes en el repo para desplegar el backend; conectar el frontend compilado a Cloudflare Pages apuntando a VITE_API_URL de producción.</w:t>
      </w:r>
    </w:p>
    <w:p>
      <w:pPr>
        <w:pStyle w:val="ListParagraph"/>
        <w:numPr>
          <w:ilvl w:val="0"/>
          <w:numId w:val="3"/>
        </w:numPr>
        <w:spacing w:after="100"/>
      </w:pPr>
      <w:r>
        <w:rPr>
          <w:rFonts w:ascii="Calibri" w:cs="Calibri" w:eastAsia="Calibri" w:hAnsi="Calibri"/>
          <w:sz w:val="22"/>
          <w:szCs w:val="22"/>
        </w:rPr>
        <w:t xml:space="preserve">Revisar CORS_ORIGINS y variables de entorno de producción (el .env local actual tiene ENV=production apuntando a una base local, que no debería usarse como plantilla).</w:t>
      </w:r>
    </w:p>
    <w:p>
      <w:pPr>
        <w:pStyle w:val="ListParagraph"/>
        <w:numPr>
          <w:ilvl w:val="0"/>
          <w:numId w:val="3"/>
        </w:numPr>
        <w:spacing w:after="100"/>
      </w:pPr>
      <w:r>
        <w:rPr>
          <w:rFonts w:ascii="Calibri" w:cs="Calibri" w:eastAsia="Calibri" w:hAnsi="Calibri"/>
          <w:sz w:val="22"/>
          <w:szCs w:val="22"/>
        </w:rPr>
        <w:t xml:space="preserve">Una vez con autenticación y multiusuario, evaluar roles (administrativo vs. solo consulta) si el instituto suma más de una persona operando el sistema.</w:t>
      </w:r>
    </w:p>
    <w:p>
      <w:pPr>
        <w:pBdr>
          <w:top w:val="single" w:color="E5E7EB" w:sz="6" w:space="8"/>
        </w:pBdr>
        <w:spacing w:before="400"/>
      </w:pPr>
      <w:r>
        <w:rPr>
          <w:rFonts w:ascii="Calibri" w:cs="Calibri" w:eastAsia="Calibri" w:hAnsi="Calibri"/>
          <w:i/>
          <w:iCs/>
          <w:color w:val="6B7280"/>
          <w:sz w:val="18"/>
          <w:szCs w:val="18"/>
        </w:rPr>
        <w:t xml:space="preserve">Preparado a partir de una revisión completa del código en backend/ y frontend/ (migraciones, modelos, servicios, routers y pantallas), sin ejecutar el sistema.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2026-08-11T20:21:11.367Z</dcterms:created>
  <dcterms:modified xsi:type="dcterms:W3CDTF">2026-08-11T20:21:11.367Z</dcterms:modified>
</cp:coreProperties>
</file>

<file path=docProps/custom.xml><?xml version="1.0" encoding="utf-8"?>
<Properties xmlns="http://schemas.openxmlformats.org/officeDocument/2006/custom-properties" xmlns:vt="http://schemas.openxmlformats.org/officeDocument/2006/docPropsVTypes"/>
</file>