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2.0 -->
  <w:body>
    <w:p>
      <w:pPr>
        <w:pStyle w:val="Heading3"/>
        <w:keepNext w:val="0"/>
        <w:keepLines w:val="0"/>
        <w:spacing w:before="280" w:after="281"/>
      </w:pPr>
      <w:bookmarkStart w:id="0" w:name="_b7urdng99y53"/>
      <w:bookmarkEnd w:id="0"/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color w:val="000000"/>
          <w:sz w:val="26"/>
          <w:szCs w:val="26"/>
        </w:rPr>
        <w:t>Название задачи: Создание MVP для открытия депозитов онлайн</w:t>
      </w:r>
    </w:p>
    <w:p>
      <w:pPr>
        <w:pStyle w:val="Heading3"/>
        <w:keepNext w:val="0"/>
        <w:keepLines w:val="0"/>
        <w:spacing w:before="280" w:after="281"/>
      </w:pPr>
      <w:bookmarkStart w:id="1" w:name="_hjk0fkfyohdk"/>
      <w:bookmarkEnd w:id="1"/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color w:val="000000"/>
          <w:sz w:val="26"/>
          <w:szCs w:val="26"/>
        </w:rPr>
        <w:t>Автор: </w:t>
      </w:r>
    </w:p>
    <w:p>
      <w:pPr>
        <w:pStyle w:val="Heading3"/>
        <w:keepNext w:val="0"/>
        <w:keepLines w:val="0"/>
        <w:spacing w:before="280" w:after="281"/>
      </w:pPr>
      <w:bookmarkStart w:id="2" w:name="_uanumrh8zrui"/>
      <w:bookmarkEnd w:id="2"/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color w:val="000000"/>
          <w:sz w:val="26"/>
          <w:szCs w:val="26"/>
        </w:rPr>
        <w:t>Дата: </w:t>
      </w:r>
    </w:p>
    <w:p>
      <w:pPr>
        <w:pStyle w:val="Heading3"/>
        <w:keepNext w:val="0"/>
        <w:keepLines w:val="0"/>
        <w:spacing w:before="280" w:after="281"/>
      </w:pPr>
      <w:bookmarkStart w:id="3" w:name="_3bfxc9a45514"/>
      <w:bookmarkEnd w:id="3"/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color w:val="000000"/>
          <w:sz w:val="26"/>
          <w:szCs w:val="26"/>
        </w:rPr>
        <w:t>Функциональные требования</w:t>
        <w:br/>
      </w:r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color w:val="000000"/>
          <w:sz w:val="22"/>
          <w:szCs w:val="22"/>
        </w:rPr>
        <w:t>Опишите здесь верхнеуровневые Use Cases. Их нужно оформить в виде таблицы с пошаговым описанием:</w:t>
      </w:r>
    </w:p>
    <w:tbl>
      <w:tblPr>
        <w:tblStyle w:val="TableNormal"/>
        <w:tblW w:w="9326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2059"/>
        <w:gridCol w:w="1777"/>
        <w:gridCol w:w="4794"/>
      </w:tblGrid>
      <w:tr>
        <w:tblPrEx>
          <w:tblW w:w="9326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/>
                <w:bCs/>
                <w:i w:val="0"/>
                <w:iCs w:val="0"/>
                <w:smallCaps w:val="0"/>
                <w:color w:val="000000"/>
              </w:rPr>
              <w:t>№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/>
                <w:bCs/>
                <w:i w:val="0"/>
                <w:iCs w:val="0"/>
                <w:smallCaps w:val="0"/>
                <w:color w:val="000000"/>
              </w:rPr>
              <w:t>Действующие лица или системы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/>
                <w:bCs/>
                <w:i w:val="0"/>
                <w:iCs w:val="0"/>
                <w:smallCaps w:val="0"/>
                <w:color w:val="000000"/>
              </w:rPr>
              <w:t>Use Case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/>
                <w:bCs/>
                <w:i w:val="0"/>
                <w:iCs w:val="0"/>
                <w:smallCaps w:val="0"/>
                <w:color w:val="000000"/>
              </w:rPr>
              <w:t>Описание</w:t>
            </w:r>
          </w:p>
        </w:tc>
      </w:tr>
      <w:tr>
        <w:tblPrEx>
          <w:tblW w:w="9326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1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Клиент, колл-центр, сотрудник колл-центра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Получение информации по доступным ставкам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Клиент звонит в колл-центр, оператор смотрит актуальную информацию в системе рассчета ставок и озвучивает предложение банка</w:t>
            </w:r>
          </w:p>
        </w:tc>
      </w:tr>
      <w:tr>
        <w:tblPrEx>
          <w:tblW w:w="9326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Клиент, колл-центр, партнерский колл-центр, сотрудник партнерского колл-центра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Получение информации по доступным ставкам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Клиент звонит в колл-центр, но из-за загруженности, его звонок переводят в партнерский колл центр. Оператор видит актуальную информацию по ставкам и озвучивает ее пользователю.</w:t>
            </w:r>
          </w:p>
        </w:tc>
      </w:tr>
      <w:tr>
        <w:tblPrEx>
          <w:tblW w:w="9326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3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spacing w:after="24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Клиент, интернет банк</w:t>
            </w:r>
          </w:p>
          <w:p>
            <w:pPr>
              <w:spacing w:before="240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Получение информации по доступным ставкам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Клиент заходит в интернет-банк, авторизуется и переходит на страницу открытия депозита. На странице ему отображается список доступных предложений с актуальными ставками.</w:t>
            </w:r>
          </w:p>
        </w:tc>
      </w:tr>
      <w:tr>
        <w:tblPrEx>
          <w:tblW w:w="9326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4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Клиент, интернет банк, колл-центр, партнерский колл-центр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Создание заявки на депозит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spacing w:after="240" w:line="295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Клиент заходит в интернет-банк и, ознакомившись с ставками, подает заявку на депозит.</w:t>
            </w:r>
          </w:p>
          <w:p>
            <w:pPr>
              <w:spacing w:before="240" w:line="295" w:lineRule="atLeas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Оператор колл-центра или партнерского колл-центра, заводит заявку на депозит для клиента</w:t>
            </w:r>
          </w:p>
        </w:tc>
      </w:tr>
      <w:tr>
        <w:tblPrEx>
          <w:tblW w:w="9326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5</w:t>
            </w: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Оператор кол-центра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Связь с клиентом для подтверждения</w:t>
            </w: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Если надо оператор кол-центра связывается с клиентом для уточнения деталей.</w:t>
            </w:r>
          </w:p>
        </w:tc>
      </w:tr>
      <w:tr>
        <w:tblPrEx>
          <w:tblW w:w="9326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2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4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>
      <w:pPr>
        <w:pStyle w:val="Heading3"/>
        <w:keepNext w:val="0"/>
        <w:keepLines w:val="0"/>
        <w:spacing w:before="280" w:after="281"/>
      </w:pPr>
      <w:bookmarkStart w:id="4" w:name="_u8xz25hbrgql"/>
      <w:bookmarkEnd w:id="4"/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color w:val="000000"/>
          <w:sz w:val="26"/>
          <w:szCs w:val="26"/>
        </w:rPr>
        <w:t>Нефункциональные требования</w:t>
      </w:r>
    </w:p>
    <w:tbl>
      <w:tblPr>
        <w:tblStyle w:val="TableNormal"/>
        <w:tblW w:w="9326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8"/>
        <w:gridCol w:w="8628"/>
      </w:tblGrid>
      <w:tr>
        <w:tblPrEx>
          <w:tblW w:w="9326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5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/>
                <w:bCs/>
                <w:i w:val="0"/>
                <w:iCs w:val="0"/>
                <w:smallCaps w:val="0"/>
                <w:color w:val="000000"/>
              </w:rPr>
              <w:t>№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/>
                <w:bCs/>
                <w:i w:val="0"/>
                <w:iCs w:val="0"/>
                <w:smallCaps w:val="0"/>
                <w:color w:val="000000"/>
              </w:rPr>
              <w:t>Требование</w:t>
            </w:r>
          </w:p>
        </w:tc>
      </w:tr>
      <w:tr>
        <w:tblPrEx>
          <w:tblW w:w="9326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1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Данные рассчета будут использоваться разнами системами</w:t>
            </w:r>
          </w:p>
        </w:tc>
      </w:tr>
      <w:tr>
        <w:tblPrEx>
          <w:tblW w:w="9326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Быстрый отклик системы</w:t>
            </w:r>
          </w:p>
        </w:tc>
      </w:tr>
      <w:tr>
        <w:tblPrEx>
          <w:tblW w:w="9326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3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Нужно использовать принятую в банке системы дизайна</w:t>
            </w:r>
          </w:p>
        </w:tc>
      </w:tr>
      <w:tr>
        <w:tblPrEx>
          <w:tblW w:w="9326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4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Система готова к масштабированию</w:t>
            </w:r>
          </w:p>
        </w:tc>
      </w:tr>
      <w:tr>
        <w:tblPrEx>
          <w:tblW w:w="9326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5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  <w:sz w:val="22"/>
                <w:szCs w:val="22"/>
              </w:rPr>
              <w:t>При использовании новых технологий нужно учесть совместимость с существующими платформами</w:t>
            </w:r>
          </w:p>
        </w:tc>
      </w:tr>
      <w:tr>
        <w:tblPrEx>
          <w:tblW w:w="9326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6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Работа в режиме 24/7</w:t>
            </w:r>
          </w:p>
        </w:tc>
      </w:tr>
      <w:tr>
        <w:tblPrEx>
          <w:tblW w:w="9326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7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Отклик в 99,9% случаев</w:t>
            </w:r>
          </w:p>
        </w:tc>
      </w:tr>
      <w:tr>
        <w:tblPrEx>
          <w:tblW w:w="9326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8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Добавить поддержку микросервисов и Kafka</w:t>
            </w:r>
          </w:p>
        </w:tc>
      </w:tr>
      <w:tr>
        <w:tblPrEx>
          <w:tblW w:w="9326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DefaultParagraphFont0"/>
                <w:b w:val="0"/>
                <w:bCs w:val="0"/>
                <w:i w:val="0"/>
                <w:iCs w:val="0"/>
                <w:smallCaps w:val="0"/>
                <w:color w:val="000000"/>
              </w:rPr>
              <w:t>9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  <w:hideMark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Шифрование данных</w:t>
            </w:r>
          </w:p>
        </w:tc>
      </w:tr>
      <w:tr>
        <w:tblPrEx>
          <w:tblW w:w="9326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 w:val="0"/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>
      <w:pPr>
        <w:pStyle w:val="Heading3"/>
        <w:keepNext w:val="0"/>
        <w:keepLines w:val="0"/>
        <w:spacing w:before="280" w:after="281"/>
      </w:pPr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color w:val="000000"/>
          <w:sz w:val="26"/>
          <w:szCs w:val="26"/>
        </w:rPr>
        <w:t>Решение</w:t>
      </w:r>
    </w:p>
    <w:p>
      <w:pPr>
        <w:spacing w:before="240" w:after="240"/>
      </w:pPr>
      <w:r>
        <w:t>Судя по описанию структуры компании, для разработки новых модулей можно использовать команду разработки интернет-банка.</w:t>
      </w:r>
    </w:p>
    <w:p>
      <w:pPr>
        <w:spacing w:before="240" w:after="240"/>
      </w:pPr>
    </w:p>
    <w:p>
      <w:r>
        <w:rPr>
          <w:strike w:val="0"/>
          <w:u w:val="none"/>
        </w:rPr>
        <w:drawing>
          <wp:inline>
            <wp:extent cx="5724525" cy="3724275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 w:val="0"/>
        <w:keepLines w:val="0"/>
        <w:spacing w:before="280" w:after="281"/>
        <w:jc w:val="center"/>
      </w:pPr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color w:val="434343"/>
        </w:rPr>
        <w:t>C4 Context</w:t>
      </w: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r>
        <w:rPr>
          <w:strike w:val="0"/>
          <w:u w:val="none"/>
        </w:rPr>
        <w:drawing>
          <wp:inline>
            <wp:extent cx="5724525" cy="52006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240"/>
      </w:pPr>
    </w:p>
    <w:p>
      <w:pPr>
        <w:spacing w:before="240" w:after="240"/>
        <w:jc w:val="center"/>
      </w:pPr>
      <w:r>
        <w:rPr>
          <w:rStyle w:val="DefaultParagraphFont0"/>
          <w:b/>
          <w:bCs/>
        </w:rPr>
        <w:t>C4 Container</w:t>
      </w:r>
    </w:p>
    <w:p>
      <w:pPr>
        <w:spacing w:before="240" w:after="240"/>
        <w:jc w:val="center"/>
      </w:pPr>
    </w:p>
    <w:p>
      <w:pPr>
        <w:pStyle w:val="Heading3"/>
        <w:keepNext w:val="0"/>
        <w:keepLines w:val="0"/>
        <w:spacing w:before="280" w:after="281"/>
      </w:pPr>
      <w:bookmarkStart w:id="5" w:name="_bjrr7veeh80c"/>
      <w:bookmarkEnd w:id="5"/>
      <w:r>
        <w:rPr>
          <w:rStyle w:val="DefaultParagraphFont0"/>
          <w:rFonts w:ascii="Times New Roman" w:eastAsia="Times New Roman" w:hAnsi="Times New Roman" w:cs="Times New Roman"/>
          <w:b/>
          <w:bCs/>
          <w:i w:val="0"/>
          <w:color w:val="000000"/>
          <w:sz w:val="26"/>
          <w:szCs w:val="26"/>
        </w:rPr>
        <w:t>Альтернативы</w:t>
      </w:r>
    </w:p>
    <w:p>
      <w:pPr>
        <w:spacing w:before="240" w:after="240" w:line="295" w:lineRule="atLeast"/>
      </w:pPr>
      <w:r>
        <w:rPr>
          <w:rStyle w:val="DefaultParagraphFont0"/>
        </w:rPr>
        <w:t>В качестве альтернативы, можно предложить разработку приложения, которое бы позволило менджерам рассчитывать показатели в ручную без почты.</w:t>
      </w:r>
    </w:p>
    <w:p>
      <w:pPr>
        <w:spacing w:before="240" w:after="240" w:line="295" w:lineRule="atLeast"/>
      </w:pPr>
      <w:r>
        <w:rPr>
          <w:rStyle w:val="DefaultParagraphFont0"/>
          <w:sz w:val="22"/>
          <w:szCs w:val="22"/>
        </w:rPr>
        <w:t>Пересмотреть технологический стэк и автоматизацию для всей системы, но такое решение несет за собой большие затраты на ресурсы.</w:t>
      </w:r>
    </w:p>
    <w:p>
      <w:pPr>
        <w:spacing w:before="240" w:after="240"/>
      </w:pPr>
      <w:r>
        <w:rPr>
          <w:rStyle w:val="DefaultParagraphFont0"/>
          <w:b/>
          <w:bCs/>
          <w:color w:val="000000"/>
          <w:sz w:val="26"/>
          <w:szCs w:val="26"/>
        </w:rPr>
        <w:t>Недостатки, ограничения, риски</w:t>
      </w:r>
    </w:p>
    <w:p>
      <w:pPr>
        <w:spacing w:before="240" w:after="240" w:line="295" w:lineRule="atLeast"/>
      </w:pPr>
      <w:r>
        <w:rPr>
          <w:rStyle w:val="DefaultParagraphFont0"/>
        </w:rPr>
        <w:t>Малая команда разработки, без опыта создания сервисов может столкнуться с проблемами. В случае продолжения развития собственной разработки, нужно набирать еще людей.</w:t>
      </w:r>
    </w:p>
    <w:p>
      <w:pPr>
        <w:spacing w:before="240" w:after="240" w:line="295" w:lineRule="atLeast"/>
      </w:pPr>
      <w:r>
        <w:rPr>
          <w:rStyle w:val="DefaultParagraphFont0"/>
        </w:rPr>
        <w:t xml:space="preserve">Стоит продумать масштабирование системы на несколько ЦОД-ов для  повышение скорости ответов пользователям по гео-признаку. </w:t>
        <w:br/>
        <w:t>Одновременно, это повысит общую надежность системы.</w:t>
      </w:r>
    </w:p>
    <w:p>
      <w:pPr>
        <w:spacing w:before="240" w:after="240"/>
      </w:pPr>
    </w:p>
    <w:sectPr>
      <w:pgSz w:w="11906" w:h="16838"/>
      <w:pgMar w:top="1440" w:right="1440" w:bottom="1440" w:left="1440" w:header="720" w:footer="72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 w:themeShade="7F"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DefaultParagraphFont0">
    <w:name w:val="Default_Paragraph_Font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hAnsi="Calibri Light"/>
      <w:color w:val="1F3763" w:themeShade="7F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4</Pages>
  <Words>336</Words>
  <Characters>2269</Characters>
  <Application>Microsoft Office Word</Application>
  <DocSecurity>0</DocSecurity>
  <Lines>1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