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3" w:name="_Toc1"/>
      <w:r/>
      <w:r>
        <w:t xml:space="preserve">Рецензия</w:t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72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97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79"/>
                <w:sz w:val="28"/>
                <w:szCs w:val="24"/>
              </w:rPr>
              <w:t xml:space="preserve"> 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классов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79"/>
                <w:sz w:val="28"/>
                <w:szCs w:val="24"/>
              </w:rPr>
              <w:t xml:space="preserve">и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Приложение</w:t>
            </w:r>
            <w:r>
              <w:rPr>
                <w:rStyle w:val="979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79"/>
                <w:sz w:val="28"/>
                <w:szCs w:val="24"/>
              </w:rPr>
              <w:t xml:space="preserve">А</w:t>
            </w:r>
            <w:r>
              <w:rPr>
                <w:rStyle w:val="979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72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r>
        <w:t xml:space="preserve">Описание предметной области. Актуальность</w:t>
      </w:r>
      <w:r>
        <w:t xml:space="preserve"> </w:t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6" w:name="_Toc4"/>
      <w:r/>
      <w:r>
        <w:t xml:space="preserve">Описание программы. Общие сведения</w:t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Объем проекта: 681</w:t>
      </w:r>
      <w:r>
        <w:rPr>
          <w:highlight w:val="none"/>
        </w:rPr>
        <w:t xml:space="preserve"> </w:t>
      </w:r>
      <w:r>
        <w:rPr>
          <w:highlight w:val="none"/>
        </w:rPr>
        <w:t xml:space="preserve">М</w:t>
      </w:r>
      <w:r>
        <w:rPr>
          <w:highlight w:val="none"/>
        </w:rPr>
        <w:t xml:space="preserve">Б</w:t>
      </w:r>
      <w:r>
        <w:rPr>
          <w:highlight w:val="none"/>
        </w:rPr>
        <w:t xml:space="preserve"> </w:t>
      </w:r>
      <w:r>
        <w:rPr>
          <w:highlight w:val="none"/>
        </w:rPr>
        <w:t xml:space="preserve">(вместе с исходным кодом).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Исходный код (класс</w:t>
      </w:r>
      <w:r>
        <w:rPr>
          <w:highlight w:val="none"/>
        </w:rPr>
        <w:t xml:space="preserve">ы</w:t>
      </w:r>
      <w:r>
        <w:rPr>
          <w:highlight w:val="none"/>
        </w:rPr>
        <w:t xml:space="preserve"> и код форм):</w:t>
      </w:r>
      <w:r>
        <w:rPr>
          <w:highlight w:val="none"/>
        </w:rPr>
        <w:t xml:space="preserve"> </w:t>
      </w:r>
      <w:r>
        <w:rPr>
          <w:highlight w:val="none"/>
        </w:rPr>
        <w:t xml:space="preserve">1</w:t>
      </w:r>
      <w:r>
        <w:rPr>
          <w:highlight w:val="none"/>
        </w:rPr>
        <w:t xml:space="preserve">346</w:t>
      </w:r>
      <w:r>
        <w:rPr>
          <w:highlight w:val="none"/>
        </w:rPr>
        <w:t xml:space="preserve"> </w:t>
      </w:r>
      <w:r>
        <w:rPr>
          <w:highlight w:val="none"/>
        </w:rPr>
        <w:t xml:space="preserve">строк.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972"/>
        <w:pBdr/>
        <w:spacing/>
        <w:ind/>
        <w:rPr>
          <w:highlight w:val="none"/>
          <w14:ligatures w14:val="none"/>
        </w:rPr>
      </w:pPr>
      <w:r/>
      <w:bookmarkStart w:id="27" w:name="_Toc5"/>
      <w:r/>
      <w:r>
        <w:t xml:space="preserve">Функциональное назначение</w:t>
      </w:r>
      <w:r/>
      <w:bookmarkEnd w:id="27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99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категория (Category): категория, к которой относится объявление.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местоположение (Location): местоположение, связанное с объявлением.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оценка (Rating): оценка пользователей, выставленная объявлению.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категория </w:t>
      </w:r>
      <w:r>
        <w:t xml:space="preserve">(Category):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категории.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наименование (Name): название категории.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местоположение (Location):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местоположения.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Город (City): город, в котором расположено местоположение.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Регион (Region): регион или район, к которому относится местоположение.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оценка (Rating):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оценки.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Значение (Value): значение оценки.</w:t>
      </w:r>
      <w:r>
        <w:rPr>
          <w14:ligatures w14:val="none"/>
        </w:rPr>
      </w:r>
    </w:p>
    <w:p>
      <w:pPr>
        <w:pStyle w:val="999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9" w:name="_Toc7"/>
      <w:r/>
      <w:r>
        <w:t xml:space="preserve">Физическая модель базы данных</w:t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ER диаграмма базы данных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>
        <w:rPr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"rating" (Оценки):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"announcement_categories" (Связь между объявлениями и категориями):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  <w:t xml:space="preserve">Э</w:t>
      </w:r>
      <w:r>
        <w:rPr>
          <w:highlight w:val="none"/>
        </w:rPr>
        <w:t xml:space="preserve">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0" w:name="_Toc8"/>
      <w:r/>
      <w:r>
        <w:t xml:space="preserve">Диаграмма классов</w:t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139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344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8" cy="242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2.1, 2.2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2" w:name="_Toc10"/>
      <w:r/>
      <w:r>
        <w:t xml:space="preserve">Диаграмма вариантов использования</w:t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просмотр всех данных: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удаление данных: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редактирование данных: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4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999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просмотр всех объявлений: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пользователь инициирует запрос на просмотр всех объявлений.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отправляет GET-запрос backend для получения всех объявлений.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результат запроса из базы данных возвращается Backend.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отправляет GET-ответ с данными всех объявлений frontend.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создание категории: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пользователь запрашивает создание категории.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отправляет POST-запрос Backend для создания категории.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выполняет запрос в базу данных для вставки новой записи в таблицу Category.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отправляет POST-ответ Frontend.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</w:p>
    <w:p>
      <w:pPr>
        <w:pStyle w:val="999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2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r>
        <w:t xml:space="preserve">Демонстрация работы приложения</w:t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0232" cy="408309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92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10231" cy="4083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6.63pt;height:321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6.1 – Главная страница приложения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8703" cy="39570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54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58703" cy="395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74.70pt;height:311.5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6.2 – Окно создания категории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4733" cy="400368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0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814732" cy="4003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9.11pt;height:31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6.3 – окно создания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210" cy="373133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04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87209" cy="373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53.32pt;height:293.8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6.4 – окно просмотра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4839" cy="393886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10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160" t="1352" r="0" b="1501"/>
                        <a:stretch/>
                      </pic:blipFill>
                      <pic:spPr bwMode="auto">
                        <a:xfrm flipH="0" flipV="0">
                          <a:off x="0" y="0"/>
                          <a:ext cx="3624838" cy="3938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85.42pt;height:310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3453218</wp:posOffset>
                </wp:positionH>
                <wp:positionV relativeFrom="paragraph">
                  <wp:posOffset>2952881</wp:posOffset>
                </wp:positionV>
                <wp:extent cx="1204632" cy="397809"/>
                <wp:effectExtent l="6350" t="6350" r="6350" b="635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04632" cy="39780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" type="#_x0000_t3" style="position:absolute;z-index:52224;o:allowoverlap:true;o:allowincell:true;mso-position-horizontal-relative:text;margin-left:271.91pt;mso-position-horizontal:absolute;mso-position-vertical-relative:text;margin-top:232.51pt;mso-position-vertical:absolute;width:94.85pt;height:31.32pt;mso-wrap-distance-left:9.07pt;mso-wrap-distance-top:0.00pt;mso-wrap-distance-right:9.07pt;mso-wrap-distance-bottom:0.00pt;visibility:visible;" filled="f" strokecolor="#FFC000" strokeweight="1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6.5 – установка оценки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</w:t>
      </w:r>
      <w:r>
        <w:rPr>
          <w:highlight w:val="none"/>
        </w:rPr>
        <w:t xml:space="preserve">установки оценки, на рис.6.5 мы можем увидеть среднее значение с учетом всех оценок. В данном случае оценка всего одна и это 5 звезд.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106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282453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37.20pt;height:280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6.6 – окно комментариев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6568" cy="534686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81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25830" t="3287" r="25551" b="2584"/>
                        <a:stretch/>
                      </pic:blipFill>
                      <pic:spPr bwMode="auto">
                        <a:xfrm flipH="0" flipV="0">
                          <a:off x="0" y="0"/>
                          <a:ext cx="3316568" cy="5346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61.15pt;height:421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6.7 – новый комментарий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4282452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7.20pt;height:280.78pt;mso-wrap-distance-left:0.00pt;mso-wrap-distance-top:0.00pt;mso-wrap-distance-right:0.00pt;mso-wrap-distance-bottom:0.00pt;rotation:0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6.8 – удаление комментария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6755" cy="43599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689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816755" cy="4359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00.53pt;height:343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6.9 – удаление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5990" cy="402864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307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1087" t="1320" r="0" b="-1319"/>
                        <a:stretch/>
                      </pic:blipFill>
                      <pic:spPr bwMode="auto">
                        <a:xfrm flipH="0" flipV="0">
                          <a:off x="0" y="0"/>
                          <a:ext cx="4765989" cy="4028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75.27pt;height:317.2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6.10 – страница объявлений после удаления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5" w:name="_Toc13"/>
      <w:r/>
      <w:commentRangeStart w:id="0"/>
      <w:r>
        <w:t xml:space="preserve">Список используемых источников</w:t>
      </w:r>
      <w:commentRangeEnd w:id="0"/>
      <w:r>
        <w:commentReference w:id="0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40"/>
          <w:szCs w:val="40"/>
          <w:lang w:val="en-US"/>
        </w:rPr>
      </w:r>
      <w:r>
        <w:rPr>
          <w:sz w:val="28"/>
          <w:szCs w:val="28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  <w:r>
        <w:rPr>
          <w:sz w:val="28"/>
          <w:szCs w:val="28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>
        <w:rPr>
          <w:sz w:val="40"/>
          <w:szCs w:val="40"/>
          <w:lang w:val="en-US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72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org.springframework.data.annotation.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"title"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title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"description"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description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@CreatedDate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Category.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Set&lt;Category&gt;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categories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Comment.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Set&lt;Comment&gt;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Rating.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Set&lt;Rating&gt;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Location.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"name"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com.fasterxml.jackson.annotation.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"comment"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"text"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(access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.Access.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READ_ONLY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@Temporal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(TemporalType.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"created_at"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"city"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"region"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region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orphanRemoval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Set&lt;Announcement&gt;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 {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Integer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[loadState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setLoadState]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[]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(() =&gt;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 =&gt; {</w:t>
        <w:br/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hasOwnProperty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"error"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)) 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  <w:br/>
        <w:t xml:space="preserve">            }</w:t>
        <w:br/>
        <w:t xml:space="preserve">        })</w:t>
        <w:br/>
        <w:t xml:space="preserve">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[])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message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="position-absolute</w:t>
        <w:br/>
        <w:t xml:space="preserve">            d-flex flex-column justify-content-center align-items-center</w:t>
        <w:br/>
        <w:t xml:space="preserve">             z-1 bg-opacity-25</w:t>
        <w:br/>
        <w:t xml:space="preserve">             bg-dark w-100 h-100"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&lt;Loading/&gt;</w:t>
        <w:br/>
        <w:t xml:space="preserve">            &lt;/div&gt;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style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backgroundColor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"#ffffff"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="h-100 min-vh-100 d-flex flex-column justify-content-between</w:t>
        <w:br/>
        <w:t xml:space="preserve">        p-2"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="row row-gap-1 m-0 p-0 h-100 flex-grow-1"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?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(i =&gt;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key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{i._links.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self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onEdit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{()=&gt;{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                                     setLoadState(prev=&gt;</w:t>
        <w:br/>
        <w:t xml:space="preserve">                                                                                 ({</w:t>
        <w:br/>
        <w:t xml:space="preserve">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                   ...prev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[...resp]</w:t>
        <w:br/>
        <w:t xml:space="preserve">                                                                                 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// window.location.reload();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                                                             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                :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="d-flex flex-column align-items-center justify-content-center"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&lt;h2&gt;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Пока что объявлений нет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&lt;/h2&gt;</w:t>
        <w:br/>
        <w:t xml:space="preserve">                        &lt;/li&gt;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&lt;/ul&gt;</w:t>
        <w:br/>
        <w:t xml:space="preserve">            &lt;button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="btn border border-success shadow align-self-center"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data-bs-target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="#createForm"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="modal"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Создать новое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&lt;/button&gt;</w:t>
        <w:br/>
        <w:t xml:space="preserve">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 fade"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="createForm"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="modal-dialog modal-dialog-centered"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="modal-content"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 nav-tabs"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Объявление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Категория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&lt;/ul&gt;</w:t>
        <w:br/>
        <w:t xml:space="preserve">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="tab-content shadow-lg"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onCreate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()=&gt; 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  <w:br/>
        <w:t xml:space="preserve">    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 =&gt; {</w:t>
        <w:br/>
        <w:t xml:space="preserve">                                                    setLoadState(prevState =&gt; ({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prevState.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json</w:t>
        <w:br/>
        <w:t xml:space="preserve">                                                            }</w:t>
        <w:br/>
        <w:t xml:space="preserve">                                                        )</w:t>
        <w:br/>
        <w:t xml:space="preserve">                                                    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)</w:t>
        <w:br/>
        <w:t xml:space="preserve">                                    }</w:t>
        <w:br/>
        <w:t xml:space="preserve">                            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onSubmit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{data=&gt;{</w:t>
        <w:br/>
        <w:t xml:space="preserve">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"http://localhost:8080/categories"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method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"POST"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headers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:{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accept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"content-type"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body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stringify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(data)</w:t>
        <w:br/>
        <w:t xml:space="preserve">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 ()=&gt;{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"http://localhost:8080/announcements"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ok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){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throw new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statusText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console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log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json._embedded.announcements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{error}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8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0">
    <w:name w:val="Heading 1 Char"/>
    <w:basedOn w:val="973"/>
    <w:link w:val="9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01">
    <w:name w:val="Heading 2"/>
    <w:basedOn w:val="971"/>
    <w:next w:val="971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02">
    <w:name w:val="Heading 2 Char"/>
    <w:basedOn w:val="973"/>
    <w:link w:val="80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03">
    <w:name w:val="Heading 3"/>
    <w:basedOn w:val="971"/>
    <w:next w:val="971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04">
    <w:name w:val="Heading 3 Char"/>
    <w:basedOn w:val="973"/>
    <w:link w:val="8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05">
    <w:name w:val="Heading 4"/>
    <w:basedOn w:val="971"/>
    <w:next w:val="971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6">
    <w:name w:val="Heading 4 Char"/>
    <w:basedOn w:val="973"/>
    <w:link w:val="8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7">
    <w:name w:val="Heading 5"/>
    <w:basedOn w:val="971"/>
    <w:next w:val="971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8">
    <w:name w:val="Heading 5 Char"/>
    <w:basedOn w:val="973"/>
    <w:link w:val="80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9">
    <w:name w:val="Heading 6"/>
    <w:basedOn w:val="971"/>
    <w:next w:val="971"/>
    <w:link w:val="8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0">
    <w:name w:val="Heading 6 Char"/>
    <w:basedOn w:val="973"/>
    <w:link w:val="8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11">
    <w:name w:val="Heading 7"/>
    <w:basedOn w:val="971"/>
    <w:next w:val="971"/>
    <w:link w:val="81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2">
    <w:name w:val="Heading 7 Char"/>
    <w:basedOn w:val="973"/>
    <w:link w:val="8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3">
    <w:name w:val="Heading 8"/>
    <w:basedOn w:val="971"/>
    <w:next w:val="971"/>
    <w:link w:val="81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4">
    <w:name w:val="Heading 8 Char"/>
    <w:basedOn w:val="973"/>
    <w:link w:val="8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15">
    <w:name w:val="Heading 9"/>
    <w:basedOn w:val="971"/>
    <w:next w:val="971"/>
    <w:link w:val="81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6">
    <w:name w:val="Heading 9 Char"/>
    <w:basedOn w:val="973"/>
    <w:link w:val="81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7">
    <w:name w:val="No Spacing"/>
    <w:uiPriority w:val="1"/>
    <w:qFormat/>
    <w:pPr>
      <w:pBdr/>
      <w:spacing w:after="0" w:before="0" w:line="240" w:lineRule="auto"/>
      <w:ind/>
    </w:pPr>
  </w:style>
  <w:style w:type="paragraph" w:styleId="818">
    <w:name w:val="Title"/>
    <w:basedOn w:val="971"/>
    <w:next w:val="971"/>
    <w:link w:val="8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9">
    <w:name w:val="Title Char"/>
    <w:basedOn w:val="973"/>
    <w:link w:val="818"/>
    <w:uiPriority w:val="10"/>
    <w:pPr>
      <w:pBdr/>
      <w:spacing/>
      <w:ind/>
    </w:pPr>
    <w:rPr>
      <w:sz w:val="48"/>
      <w:szCs w:val="48"/>
    </w:rPr>
  </w:style>
  <w:style w:type="paragraph" w:styleId="820">
    <w:name w:val="Subtitle"/>
    <w:basedOn w:val="971"/>
    <w:next w:val="971"/>
    <w:link w:val="8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21">
    <w:name w:val="Subtitle Char"/>
    <w:basedOn w:val="973"/>
    <w:link w:val="820"/>
    <w:uiPriority w:val="11"/>
    <w:pPr>
      <w:pBdr/>
      <w:spacing/>
      <w:ind/>
    </w:pPr>
    <w:rPr>
      <w:sz w:val="24"/>
      <w:szCs w:val="24"/>
    </w:rPr>
  </w:style>
  <w:style w:type="paragraph" w:styleId="822">
    <w:name w:val="Quote"/>
    <w:basedOn w:val="971"/>
    <w:next w:val="971"/>
    <w:link w:val="823"/>
    <w:uiPriority w:val="29"/>
    <w:qFormat/>
    <w:pPr>
      <w:pBdr/>
      <w:spacing/>
      <w:ind w:right="720" w:left="720"/>
    </w:pPr>
    <w:rPr>
      <w:i/>
    </w:rPr>
  </w:style>
  <w:style w:type="character" w:styleId="823">
    <w:name w:val="Quote Char"/>
    <w:link w:val="822"/>
    <w:uiPriority w:val="29"/>
    <w:pPr>
      <w:pBdr/>
      <w:spacing/>
      <w:ind/>
    </w:pPr>
    <w:rPr>
      <w:i/>
    </w:rPr>
  </w:style>
  <w:style w:type="paragraph" w:styleId="824">
    <w:name w:val="Intense Quote"/>
    <w:basedOn w:val="971"/>
    <w:next w:val="971"/>
    <w:link w:val="8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25">
    <w:name w:val="Intense Quote Char"/>
    <w:link w:val="824"/>
    <w:uiPriority w:val="30"/>
    <w:pPr>
      <w:pBdr/>
      <w:spacing/>
      <w:ind/>
    </w:pPr>
    <w:rPr>
      <w:i/>
    </w:rPr>
  </w:style>
  <w:style w:type="character" w:styleId="826">
    <w:name w:val="Header Char"/>
    <w:basedOn w:val="973"/>
    <w:link w:val="983"/>
    <w:uiPriority w:val="99"/>
    <w:pPr>
      <w:pBdr/>
      <w:spacing/>
      <w:ind/>
    </w:pPr>
  </w:style>
  <w:style w:type="character" w:styleId="827">
    <w:name w:val="Footer Char"/>
    <w:basedOn w:val="973"/>
    <w:link w:val="985"/>
    <w:uiPriority w:val="99"/>
    <w:pPr>
      <w:pBdr/>
      <w:spacing/>
      <w:ind/>
    </w:pPr>
  </w:style>
  <w:style w:type="paragraph" w:styleId="828">
    <w:name w:val="Caption"/>
    <w:basedOn w:val="971"/>
    <w:next w:val="97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29">
    <w:name w:val="Caption Char"/>
    <w:basedOn w:val="828"/>
    <w:link w:val="985"/>
    <w:uiPriority w:val="99"/>
    <w:pPr>
      <w:pBdr/>
      <w:spacing/>
      <w:ind/>
    </w:pPr>
  </w:style>
  <w:style w:type="table" w:styleId="830">
    <w:name w:val="Table Grid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Table Grid Light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1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2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1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2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3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5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6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>
    <w:name w:val="footnote text"/>
    <w:basedOn w:val="971"/>
    <w:link w:val="9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7">
    <w:name w:val="Footnote Text Char"/>
    <w:link w:val="956"/>
    <w:uiPriority w:val="99"/>
    <w:pPr>
      <w:pBdr/>
      <w:spacing/>
      <w:ind/>
    </w:pPr>
    <w:rPr>
      <w:sz w:val="18"/>
    </w:rPr>
  </w:style>
  <w:style w:type="character" w:styleId="958">
    <w:name w:val="footnote reference"/>
    <w:basedOn w:val="973"/>
    <w:uiPriority w:val="99"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1"/>
    <w:link w:val="96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60">
    <w:name w:val="Endnote Text Char"/>
    <w:link w:val="959"/>
    <w:uiPriority w:val="99"/>
    <w:pPr>
      <w:pBdr/>
      <w:spacing/>
      <w:ind/>
    </w:pPr>
    <w:rPr>
      <w:sz w:val="20"/>
    </w:rPr>
  </w:style>
  <w:style w:type="character" w:styleId="961">
    <w:name w:val="endnote reference"/>
    <w:basedOn w:val="973"/>
    <w:uiPriority w:val="99"/>
    <w:semiHidden/>
    <w:unhideWhenUsed/>
    <w:pPr>
      <w:pBdr/>
      <w:spacing/>
      <w:ind/>
    </w:pPr>
    <w:rPr>
      <w:vertAlign w:val="superscript"/>
    </w:rPr>
  </w:style>
  <w:style w:type="paragraph" w:styleId="962">
    <w:name w:val="toc 2"/>
    <w:basedOn w:val="971"/>
    <w:next w:val="971"/>
    <w:uiPriority w:val="39"/>
    <w:unhideWhenUsed/>
    <w:pPr>
      <w:pBdr/>
      <w:spacing w:after="57"/>
      <w:ind w:right="0" w:firstLine="0" w:left="283"/>
    </w:pPr>
  </w:style>
  <w:style w:type="paragraph" w:styleId="963">
    <w:name w:val="toc 3"/>
    <w:basedOn w:val="971"/>
    <w:next w:val="971"/>
    <w:uiPriority w:val="39"/>
    <w:unhideWhenUsed/>
    <w:pPr>
      <w:pBdr/>
      <w:spacing w:after="57"/>
      <w:ind w:right="0" w:firstLine="0" w:left="567"/>
    </w:pPr>
  </w:style>
  <w:style w:type="paragraph" w:styleId="964">
    <w:name w:val="toc 4"/>
    <w:basedOn w:val="971"/>
    <w:next w:val="971"/>
    <w:uiPriority w:val="39"/>
    <w:unhideWhenUsed/>
    <w:pPr>
      <w:pBdr/>
      <w:spacing w:after="57"/>
      <w:ind w:right="0" w:firstLine="0" w:left="850"/>
    </w:pPr>
  </w:style>
  <w:style w:type="paragraph" w:styleId="965">
    <w:name w:val="toc 5"/>
    <w:basedOn w:val="971"/>
    <w:next w:val="971"/>
    <w:uiPriority w:val="39"/>
    <w:unhideWhenUsed/>
    <w:pPr>
      <w:pBdr/>
      <w:spacing w:after="57"/>
      <w:ind w:right="0" w:firstLine="0" w:left="1134"/>
    </w:pPr>
  </w:style>
  <w:style w:type="paragraph" w:styleId="966">
    <w:name w:val="toc 6"/>
    <w:basedOn w:val="971"/>
    <w:next w:val="971"/>
    <w:uiPriority w:val="39"/>
    <w:unhideWhenUsed/>
    <w:pPr>
      <w:pBdr/>
      <w:spacing w:after="57"/>
      <w:ind w:right="0" w:firstLine="0" w:left="1417"/>
    </w:pPr>
  </w:style>
  <w:style w:type="paragraph" w:styleId="967">
    <w:name w:val="toc 7"/>
    <w:basedOn w:val="971"/>
    <w:next w:val="971"/>
    <w:uiPriority w:val="39"/>
    <w:unhideWhenUsed/>
    <w:pPr>
      <w:pBdr/>
      <w:spacing w:after="57"/>
      <w:ind w:right="0" w:firstLine="0" w:left="1701"/>
    </w:pPr>
  </w:style>
  <w:style w:type="paragraph" w:styleId="968">
    <w:name w:val="toc 8"/>
    <w:basedOn w:val="971"/>
    <w:next w:val="971"/>
    <w:uiPriority w:val="39"/>
    <w:unhideWhenUsed/>
    <w:pPr>
      <w:pBdr/>
      <w:spacing w:after="57"/>
      <w:ind w:right="0" w:firstLine="0" w:left="1984"/>
    </w:pPr>
  </w:style>
  <w:style w:type="paragraph" w:styleId="969">
    <w:name w:val="toc 9"/>
    <w:basedOn w:val="971"/>
    <w:next w:val="971"/>
    <w:uiPriority w:val="39"/>
    <w:unhideWhenUsed/>
    <w:pPr>
      <w:pBdr/>
      <w:spacing w:after="57"/>
      <w:ind w:right="0" w:firstLine="0" w:left="2268"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72">
    <w:name w:val="Heading 1"/>
    <w:basedOn w:val="971"/>
    <w:next w:val="971"/>
    <w:link w:val="976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73" w:default="1">
    <w:name w:val="Default Paragraph Font"/>
    <w:uiPriority w:val="1"/>
    <w:semiHidden/>
    <w:unhideWhenUsed/>
    <w:pPr>
      <w:pBdr/>
      <w:spacing/>
      <w:ind/>
    </w:pPr>
  </w:style>
  <w:style w:type="table" w:styleId="9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5" w:default="1">
    <w:name w:val="No List"/>
    <w:uiPriority w:val="99"/>
    <w:semiHidden/>
    <w:unhideWhenUsed/>
    <w:pPr>
      <w:pBdr/>
      <w:spacing/>
      <w:ind/>
    </w:pPr>
  </w:style>
  <w:style w:type="character" w:styleId="976" w:customStyle="1">
    <w:name w:val="Заголовок 1 Знак"/>
    <w:link w:val="97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77">
    <w:name w:val="TOC Heading"/>
    <w:basedOn w:val="972"/>
    <w:next w:val="971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78">
    <w:name w:val="toc 1"/>
    <w:basedOn w:val="971"/>
    <w:next w:val="971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79">
    <w:name w:val="Hyperlink"/>
    <w:basedOn w:val="97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0">
    <w:name w:val="List Paragraph"/>
    <w:basedOn w:val="971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81">
    <w:name w:val="Strong"/>
    <w:basedOn w:val="973"/>
    <w:uiPriority w:val="22"/>
    <w:qFormat/>
    <w:pPr>
      <w:pBdr/>
      <w:spacing/>
      <w:ind/>
    </w:pPr>
    <w:rPr>
      <w:b/>
      <w:bCs/>
    </w:rPr>
  </w:style>
  <w:style w:type="paragraph" w:styleId="982">
    <w:name w:val="Normal (Web)"/>
    <w:basedOn w:val="971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83">
    <w:name w:val="Header"/>
    <w:basedOn w:val="971"/>
    <w:link w:val="984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84" w:customStyle="1">
    <w:name w:val="Верхний колонтитул Знак"/>
    <w:basedOn w:val="973"/>
    <w:link w:val="983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85">
    <w:name w:val="Footer"/>
    <w:basedOn w:val="971"/>
    <w:link w:val="98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86" w:customStyle="1">
    <w:name w:val="Нижний колонтитул Знак"/>
    <w:basedOn w:val="973"/>
    <w:link w:val="98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87" w:customStyle="1">
    <w:name w:val="lang"/>
    <w:basedOn w:val="973"/>
    <w:pPr>
      <w:pBdr/>
      <w:spacing/>
      <w:ind/>
    </w:pPr>
  </w:style>
  <w:style w:type="paragraph" w:styleId="988" w:customStyle="1">
    <w:name w:val="article-listitem"/>
    <w:basedOn w:val="971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89" w:customStyle="1">
    <w:name w:val="article-text"/>
    <w:basedOn w:val="973"/>
    <w:pPr>
      <w:pBdr/>
      <w:spacing/>
      <w:ind/>
    </w:pPr>
  </w:style>
  <w:style w:type="character" w:styleId="990">
    <w:name w:val="annotation reference"/>
    <w:basedOn w:val="97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91">
    <w:name w:val="annotation text"/>
    <w:basedOn w:val="971"/>
    <w:link w:val="99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92" w:customStyle="1">
    <w:name w:val="Текст примечания Знак"/>
    <w:basedOn w:val="973"/>
    <w:link w:val="991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93">
    <w:name w:val="annotation subject"/>
    <w:basedOn w:val="991"/>
    <w:next w:val="991"/>
    <w:link w:val="994"/>
    <w:uiPriority w:val="99"/>
    <w:semiHidden/>
    <w:unhideWhenUsed/>
    <w:pPr>
      <w:pBdr/>
      <w:spacing/>
      <w:ind/>
    </w:pPr>
    <w:rPr>
      <w:b/>
      <w:bCs/>
    </w:rPr>
  </w:style>
  <w:style w:type="character" w:styleId="994" w:customStyle="1">
    <w:name w:val="Тема примечания Знак"/>
    <w:basedOn w:val="992"/>
    <w:link w:val="993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95">
    <w:name w:val="Balloon Text"/>
    <w:basedOn w:val="971"/>
    <w:link w:val="996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96" w:customStyle="1">
    <w:name w:val="Текст выноски Знак"/>
    <w:basedOn w:val="973"/>
    <w:link w:val="995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97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98" w:customStyle="1">
    <w:name w:val="Типичный абзац_character"/>
    <w:link w:val="999"/>
    <w:pPr>
      <w:pBdr/>
      <w:spacing/>
      <w:ind/>
    </w:pPr>
    <w:rPr>
      <w:sz w:val="28"/>
      <w:szCs w:val="24"/>
    </w:rPr>
  </w:style>
  <w:style w:type="paragraph" w:styleId="999" w:customStyle="1">
    <w:name w:val="Типичный абзац"/>
    <w:basedOn w:val="971"/>
    <w:link w:val="998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  <w:style w:type="character" w:styleId="1000" w:customStyle="1">
    <w:name w:val="картинка заголовок_character"/>
    <w:link w:val="1001"/>
    <w:pPr>
      <w:pBdr/>
      <w:spacing/>
      <w:ind/>
    </w:pPr>
  </w:style>
  <w:style w:type="paragraph" w:styleId="1001" w:customStyle="1">
    <w:name w:val="картинка заголовок"/>
    <w:basedOn w:val="999"/>
    <w:link w:val="1000"/>
    <w:qFormat/>
    <w:pPr>
      <w:suppressLineNumbers w:val="false"/>
      <w:pBdr/>
      <w:spacing/>
      <w:ind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comments" Target="comments.xml" /><Relationship Id="rId29" Type="http://schemas.microsoft.com/office/2011/relationships/commentsExtended" Target="commentsExtended.xml" /><Relationship Id="rId30" Type="http://schemas.microsoft.com/office/2018/08/relationships/commentsExtensible" Target="commentsExtensible.xml" /><Relationship Id="rId31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75</cp:revision>
  <dcterms:created xsi:type="dcterms:W3CDTF">2021-12-15T10:16:00Z</dcterms:created>
  <dcterms:modified xsi:type="dcterms:W3CDTF">2023-12-19T15:44:13Z</dcterms:modified>
</cp:coreProperties>
</file>