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900"/>
        <w:jc w:val="center"/>
      </w:pPr>
      <w:r>
        <w:drawing>
          <wp:inline distT="0" distB="0" distL="0" distR="0">
            <wp:extent cx="2857500" cy="676275"/>
            <wp:effectExtent t="0" r="0" b="0" l="0"/>
            <wp:docPr id="1" name="INSIGHTENSE" descr="INSIGHTENSE logo" title="INSIGHTE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60"/>
        <w:jc w:val="center"/>
      </w:pPr>
      <w:r>
        <w:rPr>
          <w:b/>
          <w:bCs/>
          <w:color w:val="1F3864"/>
          <w:sz w:val="46"/>
          <w:szCs w:val="46"/>
        </w:rPr>
        <w:t xml:space="preserve">RTM View Shell</w:t>
      </w:r>
    </w:p>
    <w:p>
      <w:pPr>
        <w:spacing w:after="80"/>
        <w:jc w:val="center"/>
      </w:pPr>
      <w:r>
        <w:rPr>
          <w:b/>
          <w:bCs/>
          <w:color w:val="2E5496"/>
          <w:sz w:val="40"/>
          <w:szCs w:val="40"/>
        </w:rPr>
        <w:t xml:space="preserve">Release Notes — v1.0</w:t>
      </w:r>
    </w:p>
    <w:p>
      <w:pPr>
        <w:spacing w:after="80"/>
        <w:jc w:val="center"/>
      </w:pPr>
      <w:r>
        <w:rPr>
          <w:i/>
          <w:iCs/>
          <w:sz w:val="24"/>
          <w:szCs w:val="24"/>
        </w:rPr>
        <w:t xml:space="preserve">What's delivered, known limitations, and the road ahead</w:t>
      </w:r>
    </w:p>
    <w:p>
      <w:pPr>
        <w:spacing w:after="40" w:before="600"/>
        <w:jc w:val="center"/>
      </w:pPr>
      <w:r>
        <w:rPr>
          <w:sz w:val="24"/>
          <w:szCs w:val="24"/>
        </w:rPr>
        <w:t xml:space="preserve">Business / stakeholder summary D-03 — for all audiences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Edition EN · 2026-07-03 · RTM View Shell</w:t>
      </w:r>
    </w:p>
    <w:p>
      <w:r>
        <w:br w:type="page"/>
      </w:r>
    </w:p>
    <w:p>
      <w:pPr>
        <w:pStyle w:val="Heading1"/>
        <w:keepNext/>
      </w:pPr>
      <w:r>
        <w:t xml:space="preserve">Document revision history</w:t>
      </w:r>
    </w:p>
    <w:p>
      <w:pPr>
        <w:keepNext w:val="false"/>
        <w:spacing w:after="120"/>
      </w:pPr>
      <w:r>
        <w:t xml:space="preserve">This table lists the revision history of this document.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2260"/>
        <w:gridCol w:w="2150"/>
        <w:gridCol w:w="235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Summary of changes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Product release ID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Shipped-with (commit/barrier)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2026-07-03</w:t>
            </w:r>
          </w:p>
        </w:tc>
        <w:tc>
          <w:tcPr>
            <w:tcW w:type="dxa" w:w="2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Initial (regenerated)</w:t>
            </w:r>
          </w:p>
        </w:tc>
        <w:tc>
          <w:tcPr>
            <w:tcW w:type="dxa" w:w="21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RTM-REL-2026.06</w:t>
            </w:r>
          </w:p>
        </w:tc>
        <w:tc>
          <w:tcPr>
            <w:tcW w:type="dxa" w:w="235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(pending push)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</w:pPr>
      <w:r>
        <w:t xml:space="preserve">1. About this release</w:t>
      </w:r>
    </w:p>
    <w:p>
      <w:pPr>
        <w:keepNext w:val="false"/>
        <w:spacing w:after="120"/>
      </w:pPr>
      <w:r>
        <w:t xml:space="preserve">RTM View Shell v1.0 is the secure management shell for a contact-centre real-time monitoring system. It manages users, permissions and dashboards, and provides the secure foundation — authentication, multi-tenancy, and a full audit trail — on which live data widgets and historical reports are delivered. It is built on .NET 8 and Blazor Server with PostgreSQL and Redis, and deploys to Windows Server.</w:t>
      </w:r>
    </w:p>
    <w:p>
      <w:pPr>
        <w:pStyle w:val="Heading1"/>
        <w:keepNext/>
      </w:pPr>
      <w:r>
        <w:t xml:space="preserve">2. What’s delivered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Multi-tenant platform. </w:t>
      </w:r>
      <w:r>
        <w:t xml:space="preserve">Many isolated organisations on one installation; per-tenant settings; a Superadmin who governs the platform; audited tenant switching.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User management. </w:t>
      </w:r>
      <w:r>
        <w:t xml:space="preserve">Create, edit, block and reset users; roles (Superadmin, Administrator, Editor, Viewer); temporary-password onboarding; server-side paged, filterable lists.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Permission groups. </w:t>
      </w:r>
      <w:r>
        <w:t xml:space="preserve">Granular access to menus, screens, queues, skills, business units and agent supergroups; empty-list-denies safe defaults; backend-enforced at every request.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Dashboard management + editor. </w:t>
      </w:r>
      <w:r>
        <w:t xml:space="preserve">Create, rename, delete and search dashboards; per-group / public access; a screen editor with drag-and-drop layout, alignment guides, multi-select and grid.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Widgets + Info Slots. </w:t>
      </w:r>
      <w:r>
        <w:t xml:space="preserve">Widget catalogue and rendered widgets; Info Slots for live on-screen messages.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Historical Reports. </w:t>
      </w:r>
      <w:r>
        <w:t xml:space="preserve">Queue and agent reports (Queue Interval, Queue Wait Time, Agent Monthly, Agent Shift Detail) with date filters, permission-scoping, service-level threshold and export.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Secure authentication. </w:t>
      </w:r>
      <w:r>
        <w:t xml:space="preserve">Hardened cookie sessions, e-mail two-factor, RSA-signed JWT for the REST API with rotation and reuse-detection, and per-tenant SSO configuration.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Full audit trail. </w:t>
      </w:r>
      <w:r>
        <w:t xml:space="preserve">Append-only logging of every authentication, permission-change, and tenant action; viewable and exportable, with per-tenant retention.</w:t>
      </w:r>
    </w:p>
    <w:p>
      <w:pPr>
        <w:pStyle w:val="Heading1"/>
        <w:keepNext/>
      </w:pPr>
      <w:r>
        <w:t xml:space="preserve">3. Known limitations in v1.0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Single Sign-On is configurable but federation is a stub in v1.0; users sign in with local accounts plus e-mail two-factor until the provider integration ships.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t xml:space="preserve">Some report exports and the newest screen-editor refinements are being finalised; see the current known-issues list for details.</w:t>
      </w:r>
    </w:p>
    <w:p>
      <w:pPr>
        <w:pStyle w:val="Heading1"/>
        <w:keepNext/>
      </w:pPr>
      <w:r>
        <w:t xml:space="preserve">4. Compatibility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Supported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Browsers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Chrome, Firefox, Edge (latest two); Safari 16+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Minimum resolution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1280×768; Viewer read-only on mobile (basic)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Runtime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.NET 8 (LTS)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PostgreSQL 15+ (16/18 recommended)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Cache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Redis-compatible 7+ (Memurai / Garnet on Windows)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Hosting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Windows Server 2019 / 2022</w:t>
            </w:r>
          </w:p>
        </w:tc>
      </w:tr>
    </w:tbl>
    <w:p>
      <w:pPr>
        <w:pStyle w:val="Heading1"/>
        <w:keepNext/>
      </w:pPr>
      <w:r>
        <w:t xml:space="preserve">5. Installation &amp; upgrade</w:t>
      </w:r>
    </w:p>
    <w:p>
      <w:pPr>
        <w:keepNext w:val="false"/>
        <w:spacing w:after="120"/>
      </w:pPr>
      <w:r>
        <w:t xml:space="preserve">Installation and upgrade are scripted for Windows Server. The Installation &amp; Deployment Guide (A-01) and the Upgrade &amp; Patch Guide (A-09) cover first install and in-place updates; both are finalised against the confirmed production deployment.</w:t>
      </w:r>
    </w:p>
    <w:p>
      <w:pPr>
        <w:pStyle w:val="Heading1"/>
        <w:keepNext/>
      </w:pPr>
      <w:r>
        <w:t xml:space="preserve">6. The road ahead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Live SSO federation (OIDC / SAML 2.0 / AD-LDAP) replacing the v1.0 stub.</w:t>
      </w:r>
    </w:p>
    <w:p>
      <w:pPr>
        <w:pStyle w:val="ListParagraph"/>
        <w:keepNext/>
        <w:numPr>
          <w:ilvl w:val="0"/>
          <w:numId w:val="2"/>
        </w:numPr>
        <w:spacing w:after="60"/>
      </w:pPr>
      <w:r>
        <w:t xml:space="preserve">Continued reporting and widget enhancements.</w:t>
      </w:r>
    </w:p>
    <w:p>
      <w:pPr>
        <w:pStyle w:val="ListParagraph"/>
        <w:keepNext w:val="false"/>
        <w:numPr>
          <w:ilvl w:val="0"/>
          <w:numId w:val="2"/>
        </w:numPr>
        <w:spacing w:after="60"/>
      </w:pPr>
      <w:r>
        <w:t xml:space="preserve">Operational tooling: backup/restore runbook, health and monitoring, cache migration (Garnet).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Security posture</w:t>
            </w:r>
          </w:p>
          <w:p>
            <w:pPr>
              <w:spacing w:after="40"/>
            </w:pPr>
            <w:r>
              <w:t xml:space="preserve">The v1.0 security controls are summarised in the Security &amp; Compliance Summary (D-02) and detailed in the Security Configuration Guide (A-04).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 xml:space="preserve">Appendix A — Feature status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cantSplit/>
          <w:tblHeader/>
        </w:trP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</w:rPr>
              <w:t xml:space="preserve">Status in v1.0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Multi-tenant user &amp; permission management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Delivered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Dashboard management + screen editor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Delivered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Widget rendering + Info Slots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Delivered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Historical Reports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Delivered (exports being finalised)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Secure auth (cookie, 2FA, JWT)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Delivered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Audit trail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6F9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</w:rPr>
              <w:t xml:space="preserve">Delivered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SSO live federation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</w:pPr>
            <w:r>
              <w:rPr>
                <w:b w:val="false"/>
                <w:bCs w:val="false"/>
              </w:rPr>
              <w:t xml:space="preserve">Configurable; stub in v1.0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08080"/>
        <w:sz w:val="16"/>
        <w:szCs w:val="16"/>
      </w:rPr>
      <w:t xml:space="preserve">Release Notes D-03</w:t>
    </w:r>
    <w:r>
      <w:rPr>
        <w:color w:val="808080"/>
        <w:sz w:val="16"/>
        <w:szCs w:val="16"/>
      </w:rPr>
      <w:t xml:space="preserve">	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</w:pPr>
    <w:r>
      <w:drawing>
        <wp:inline distT="0" distB="0" distL="0" distR="0">
          <wp:extent cx="685800" cy="161925"/>
          <wp:effectExtent t="0" r="0" b="0" l="0"/>
          <wp:docPr id="1" name="INSIGHTENSE" descr="INSIGHTENSE logo" title="INSIGHTENS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" cy="161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808080"/>
        <w:sz w:val="16"/>
        <w:szCs w:val="16"/>
      </w:rPr>
      <w:t xml:space="preserve">   RTM View Shell — Release Notes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be1f977a3ba310b1a50a9ff799f6ba89e29b1c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be1f977a3ba310b1a50a9ff799f6ba89e29b1ce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2026-07-03T07:29:22.850Z</dcterms:created>
  <dcterms:modified xsi:type="dcterms:W3CDTF">2026-07-03T07:29:22.850Z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