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drawing>
          <wp:inline distT="0" distB="0" distL="0" distR="0">
            <wp:extent cx="2857500" cy="67627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76275"/>
                    </a:xfrm>
                    <a:prstGeom prst="rect">
                      <a:avLst/>
                    </a:prstGeom>
                  </pic:spPr>
                </pic:pic>
              </a:graphicData>
            </a:graphic>
          </wp:inline>
        </w:drawing>
      </w:r>
    </w:p>
    <w:p>
      <w:pPr>
        <w:spacing w:after="120" w:before="160"/>
        <w:jc w:val="center"/>
      </w:pPr>
      <w:r>
        <w:rPr>
          <w:b/>
          <w:bCs/>
          <w:color w:val="1F3864"/>
          <w:sz w:val="46"/>
          <w:szCs w:val="46"/>
        </w:rPr>
        <w:t xml:space="preserve">RTM View Shell</w:t>
      </w:r>
    </w:p>
    <w:p>
      <w:pPr>
        <w:spacing w:after="80"/>
        <w:jc w:val="center"/>
      </w:pPr>
      <w:r>
        <w:rPr>
          <w:b/>
          <w:bCs/>
          <w:color w:val="2E5496"/>
          <w:sz w:val="40"/>
          <w:szCs w:val="40"/>
        </w:rPr>
        <w:t xml:space="preserve">Security Configuration Guide</w:t>
      </w:r>
    </w:p>
    <w:p>
      <w:pPr>
        <w:spacing w:after="80"/>
        <w:jc w:val="center"/>
      </w:pPr>
      <w:r>
        <w:rPr>
          <w:i/>
          <w:iCs/>
          <w:sz w:val="24"/>
          <w:szCs w:val="24"/>
        </w:rPr>
        <w:t xml:space="preserve">Authentication, password policy, 2FA, tokens, headers, audit</w:t>
      </w:r>
    </w:p>
    <w:p>
      <w:pPr>
        <w:spacing w:after="40" w:before="600"/>
        <w:jc w:val="center"/>
      </w:pPr>
      <w:r>
        <w:rPr>
          <w:sz w:val="24"/>
          <w:szCs w:val="24"/>
        </w:rPr>
        <w:t xml:space="preserve">Administrator guide A-04 — for Administrator and Superadmin</w:t>
      </w:r>
    </w:p>
    <w:p>
      <w:pPr>
        <w:spacing w:after="40"/>
        <w:jc w:val="center"/>
      </w:pPr>
      <w:r>
        <w:rPr>
          <w:color w:val="595959"/>
          <w:sz w:val="22"/>
          <w:szCs w:val="22"/>
        </w:rPr>
        <w:t xml:space="preserve">Edition EN · 2026-07-03 · RTM View Shell</w:t>
      </w:r>
    </w:p>
    <w:p>
      <w:r>
        <w:br w:type="page"/>
      </w:r>
    </w:p>
    <w:p>
      <w:pPr>
        <w:pStyle w:val="Heading1"/>
        <w:keepNext/>
      </w:pPr>
      <w:r>
        <w:t xml:space="preserve">Document revision history</w:t>
      </w:r>
    </w:p>
    <w:p>
      <w:pPr>
        <w:keepNext w:val="false"/>
        <w:spacing w:after="120"/>
      </w:pPr>
      <w:r>
        <w:t xml:space="preserve">This table lists the revision history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60"/>
        <w:gridCol w:w="2150"/>
        <w:gridCol w:w="2350"/>
      </w:tblGrid>
      <w:tr>
        <w:trPr>
          <w:cantSplit/>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Date</w:t>
            </w:r>
          </w:p>
        </w:tc>
        <w:tc>
          <w:tcPr>
            <w:tcW w:type="dxa" w:w="2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Summary of changes</w:t>
            </w:r>
          </w:p>
        </w:tc>
        <w:tc>
          <w:tcPr>
            <w:tcW w:type="dxa" w:w="2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Product release ID</w:t>
            </w:r>
          </w:p>
        </w:tc>
        <w:tc>
          <w:tcPr>
            <w:tcW w:type="dxa" w:w="23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Shipped-with (commit/barrier)</w:t>
            </w:r>
          </w:p>
        </w:tc>
      </w:tr>
      <w:tr>
        <w:trPr>
          <w:cantSplit/>
        </w:trP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1.0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2026-07-03</w:t>
            </w:r>
          </w:p>
        </w:tc>
        <w:tc>
          <w:tcPr>
            <w:tcW w:type="dxa" w:w="2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Initial (regenerated)</w:t>
            </w:r>
          </w:p>
        </w:tc>
        <w:tc>
          <w:tcPr>
            <w:tcW w:type="dxa" w:w="2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RTM-REL-2026.06</w:t>
            </w:r>
          </w:p>
        </w:tc>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(pending push)</w:t>
            </w:r>
          </w:p>
        </w:tc>
      </w:tr>
    </w:tbl>
    <w:p>
      <w:r>
        <w:br w:type="page"/>
      </w:r>
    </w:p>
    <w:p>
      <w:pPr>
        <w:pStyle w:val="Heading1"/>
        <w:keepNext/>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Pr>
      <w:r>
        <w:t xml:space="preserve">1. Security model at a glance</w:t>
      </w:r>
    </w:p>
    <w:p>
      <w:pPr>
        <w:keepNext w:val="false"/>
        <w:spacing w:after="120"/>
      </w:pPr>
      <w:r>
        <w:t xml:space="preserve">RTM View Shell separates two authentication surfaces. The web application authenticates with a secure session cookie. The optional REST API authenticates with short-lived JSON Web Tokens (JWT). Both share the same accounts, password policy and audit trail. Most settings are per tenant (Tenant Settings, A-07); platform-wide controls (transport, headers, keys) are set at deployment (A-01).</w:t>
      </w:r>
    </w:p>
    <w:p>
      <w:pPr>
        <w:pStyle w:val="Heading1"/>
        <w:keepNext/>
      </w:pPr>
      <w:r>
        <w:t xml:space="preserve">2. Web sign-in (cookie session)</w:t>
      </w:r>
    </w:p>
    <w:p>
      <w:pPr>
        <w:keepNext w:val="false"/>
        <w:spacing w:after="120"/>
      </w:pPr>
      <w:r>
        <w:t xml:space="preserve">Browser sessions use a hardened cookie: HttpOnly, Secure, same-site, host-only prefix. It slides forward while you are active (30 minutes) with an absolute lifetime of 8 hours. A change to a user’s role or tenant forces re-authentication immediately; an administrator can also force sign-out of all of a user’s sessions.</w:t>
      </w:r>
    </w:p>
    <w:p>
      <w:pPr>
        <w:pStyle w:val="Heading1"/>
        <w:keepNext/>
      </w:pPr>
      <w:r>
        <w:t xml:space="preserve">3. Password policy</w:t>
      </w:r>
    </w:p>
    <w:p>
      <w:pPr>
        <w:pStyle w:val="ListParagraph"/>
        <w:keepNext/>
        <w:numPr>
          <w:ilvl w:val="0"/>
          <w:numId w:val="2"/>
        </w:numPr>
        <w:spacing w:after="60"/>
      </w:pPr>
      <w:r>
        <w:rPr>
          <w:b/>
          <w:bCs/>
          <w:i w:val="false"/>
          <w:iCs w:val="false"/>
        </w:rPr>
        <w:t xml:space="preserve">Minimum length 12</w:t>
      </w:r>
      <w:r>
        <w:t xml:space="preserve"> (configurable upward per tenant).</w:t>
      </w:r>
    </w:p>
    <w:p>
      <w:pPr>
        <w:pStyle w:val="ListParagraph"/>
        <w:keepNext/>
        <w:numPr>
          <w:ilvl w:val="0"/>
          <w:numId w:val="2"/>
        </w:numPr>
        <w:spacing w:after="60"/>
      </w:pPr>
      <w:r>
        <w:t xml:space="preserve">Must contain an upper-case letter, a lower-case letter, a digit, and a special character.</w:t>
      </w:r>
    </w:p>
    <w:p>
      <w:pPr>
        <w:pStyle w:val="ListParagraph"/>
        <w:keepNext/>
        <w:numPr>
          <w:ilvl w:val="0"/>
          <w:numId w:val="2"/>
        </w:numPr>
        <w:spacing w:after="60"/>
      </w:pPr>
      <w:r>
        <w:rPr>
          <w:b/>
          <w:bCs/>
          <w:i w:val="false"/>
          <w:iCs w:val="false"/>
        </w:rPr>
        <w:t xml:space="preserve">History of the last 10</w:t>
      </w:r>
      <w:r>
        <w:t xml:space="preserve"> passwords is kept; none may be reused.</w:t>
      </w:r>
    </w:p>
    <w:p>
      <w:pPr>
        <w:pStyle w:val="ListParagraph"/>
        <w:keepNext w:val="false"/>
        <w:numPr>
          <w:ilvl w:val="0"/>
          <w:numId w:val="2"/>
        </w:numPr>
        <w:spacing w:after="60"/>
      </w:pPr>
      <w:r>
        <w:rPr>
          <w:b/>
          <w:bCs/>
          <w:i w:val="false"/>
          <w:iCs w:val="false"/>
        </w:rPr>
        <w:t xml:space="preserve">Expiry after 90 days</w:t>
      </w:r>
      <w:r>
        <w:t xml:space="preserve"> (configurable); on expiry and on first login the user must set a new password before anything else.</w:t>
      </w:r>
    </w:p>
    <w:p>
      <w:pPr>
        <w:keepNext w:val="false"/>
        <w:spacing w:after="120"/>
      </w:pPr>
      <w:r>
        <w:t xml:space="preserve">Passwords are stored only as salted PBKDF2-HMAC-SHA512 hashes and are never written to logs.</w:t>
      </w:r>
    </w:p>
    <w:p>
      <w:pPr>
        <w:pStyle w:val="Heading1"/>
        <w:keepNext/>
      </w:pPr>
      <w:r>
        <w:t xml:space="preserve">4. Two-factor authentication (e-mail OTP)</w:t>
      </w:r>
    </w:p>
    <w:p>
      <w:pPr>
        <w:keepNext w:val="false"/>
        <w:spacing w:after="120"/>
      </w:pPr>
      <w:r>
        <w:t xml:space="preserve">A 6-digit one-time code is e-mailed after the password step. Require it per user, or make it mandatory for the whole tenant (Tenant Settings → “Require 2FA for all”). The code is generated with a cryptographic RNG, valid 10 minutes, 3 attempts, resend once per minute; stored only as a keyed hash; the e-mail body contains only the code (never the subject). If SSO asserts MFA (amr=mfa), the system code is skipped.</w:t>
      </w:r>
    </w:p>
    <w:p>
      <w:pPr>
        <w:pStyle w:val="Heading1"/>
        <w:keepNext/>
      </w:pPr>
      <w:r>
        <w:t xml:space="preserve">5. Brute-force protection</w:t>
      </w:r>
    </w:p>
    <w:p>
      <w:pPr>
        <w:pStyle w:val="ListParagraph"/>
        <w:keepNext/>
        <w:numPr>
          <w:ilvl w:val="0"/>
          <w:numId w:val="2"/>
        </w:numPr>
        <w:spacing w:after="60"/>
      </w:pPr>
      <w:r>
        <w:rPr>
          <w:b/>
          <w:bCs/>
          <w:i w:val="false"/>
          <w:iCs w:val="false"/>
        </w:rPr>
        <w:t xml:space="preserve">Account lockout</w:t>
      </w:r>
      <w:r>
        <w:t xml:space="preserve"> — 5 failed attempts lock the account for 15 minutes.</w:t>
      </w:r>
    </w:p>
    <w:p>
      <w:pPr>
        <w:pStyle w:val="ListParagraph"/>
        <w:keepNext/>
        <w:numPr>
          <w:ilvl w:val="0"/>
          <w:numId w:val="2"/>
        </w:numPr>
        <w:spacing w:after="60"/>
      </w:pPr>
      <w:r>
        <w:rPr>
          <w:b/>
          <w:bCs/>
          <w:i w:val="false"/>
          <w:iCs w:val="false"/>
        </w:rPr>
        <w:t xml:space="preserve">Rate limiting</w:t>
      </w:r>
      <w:r>
        <w:t xml:space="preserve"> — the sign-in endpoint accepts at most 10 requests per minute per IP.</w:t>
      </w:r>
    </w:p>
    <w:p>
      <w:pPr>
        <w:pStyle w:val="ListParagraph"/>
        <w:keepNext w:val="false"/>
        <w:numPr>
          <w:ilvl w:val="0"/>
          <w:numId w:val="2"/>
        </w:numPr>
        <w:spacing w:after="60"/>
      </w:pPr>
      <w:r>
        <w:rPr>
          <w:b/>
          <w:bCs/>
          <w:i w:val="false"/>
          <w:iCs w:val="false"/>
        </w:rPr>
        <w:t xml:space="preserve">Uniform errors</w:t>
      </w:r>
      <w:r>
        <w:t xml:space="preserve"> — every failure returns “Invalid username or password”, so an attacker cannot tell what was wrong.</w:t>
      </w:r>
    </w:p>
    <w:p>
      <w:pPr>
        <w:keepNext w:val="false"/>
        <w:spacing w:after="120"/>
      </w:pPr>
      <w:r>
        <w:t xml:space="preserve">Every failed attempt is audited with IP, user-agent, timestamp and a failure subtype (user not found, wrong password, tenant mismatch, tenant suspended, account locked).</w:t>
      </w:r>
    </w:p>
    <w:p>
      <w:pPr>
        <w:pStyle w:val="Heading1"/>
        <w:keepNext/>
      </w:pPr>
      <w:r>
        <w:t xml:space="preserve">6. REST API tokens (JWT)</w:t>
      </w:r>
    </w:p>
    <w:p>
      <w:pPr>
        <w:keepNext w:val="false"/>
        <w:spacing w:after="120"/>
      </w:pPr>
      <w:r>
        <w:t xml:space="preserve">The API issues a short-lived access token (15 minutes, RSA-signed) and a longer-lived refresh token (8 hours, configurable). The refresh token is stored hashed, delivered as a host-only cookie, and rotated on every use: each refresh revokes the old token. Reuse of a revoked token revokes ALL of that user’s tokens and is audited. Access tokens can also be revoked immediately on sign-out or deactivation.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1"/>
              <w:left w:val="single" w:color="BFBFBF" w:sz="1"/>
              <w:bottom w:val="single" w:color="BFBFBF" w:sz="1"/>
              <w:right w:val="single" w:color="BFBFBF" w:sz="1"/>
            </w:tcBorders>
            <w:shd w:fill="D9E2F3" w:val="clear"/>
            <w:tcMar>
              <w:top w:type="dxa" w:w="100"/>
              <w:left w:type="dxa" w:w="160"/>
              <w:bottom w:type="dxa" w:w="100"/>
              <w:right w:type="dxa" w:w="160"/>
            </w:tcMar>
          </w:tcPr>
          <w:p>
            <w:pPr>
              <w:spacing w:after="60"/>
            </w:pPr>
            <w:r>
              <w:rPr>
                <w:b/>
                <w:bCs/>
              </w:rPr>
              <w:t xml:space="preserve">Key management</w:t>
            </w:r>
          </w:p>
          <w:p>
            <w:pPr>
              <w:spacing w:after="40"/>
            </w:pPr>
            <w:r>
              <w:t xml:space="preserve">RSA signing keys are held outside source control (a vault or an encrypted file with restricted permissions) and rotated yearly, with overlapping key IDs so rotation does not interrupt service. Deployment-time task — see A-01.</w:t>
            </w:r>
          </w:p>
        </w:tc>
      </w:tr>
    </w:tbl>
    <w:p>
      <w:pPr>
        <w:pStyle w:val="Heading1"/>
        <w:keepNext/>
      </w:pPr>
      <w:r>
        <w:t xml:space="preserve">7. Transport security and headers</w:t>
      </w:r>
    </w:p>
    <w:p>
      <w:pPr>
        <w:keepNext w:val="false"/>
        <w:spacing w:after="120"/>
      </w:pPr>
      <w:r>
        <w:t xml:space="preserve">All traffic is HTTPS (TLS 1.2+); weak ciphers and old TLS are disabled and HTTP is redirected to HTTPS. Every response carries a strict set of security headers — CSP, X-Frame-Options DENY, X-Content-Type-Options nosniff, HSTS, referrer and permissions policies. Anti-forgery is applied to web forms; the API additionally checks the request origin. Configured at deployment (A-01); verify they are present here.</w:t>
      </w:r>
    </w:p>
    <w:p>
      <w:pPr>
        <w:pStyle w:val="Heading1"/>
        <w:keepNext/>
      </w:pPr>
      <w:r>
        <w:t xml:space="preserve">8. The audit trail</w:t>
      </w:r>
    </w:p>
    <w:p>
      <w:pPr>
        <w:keepNext w:val="false"/>
        <w:spacing w:after="120"/>
      </w:pPr>
      <w:r>
        <w:t xml:space="preserve">Every security-relevant action is recorded in an append-only audit log: sign-in success/failure (with subtype), lockouts, sign-out, token refresh/revocation, 2FA events, SSO sign-in, password reset/change, and every user, permission-group and tenant change. Each entry records who, when (UTC), client IP and user-agent. The log cannot be edited or deleted through the application; read and export only, retained per the tenant setting (365 days default).</w:t>
      </w:r>
    </w:p>
    <w:p>
      <w:pPr>
        <w:pStyle w:val="Heading1"/>
        <w:keepNext/>
      </w:pPr>
      <w:r>
        <w:t xml:space="preserve">9. Verification checklist</w:t>
      </w:r>
    </w:p>
    <w:p>
      <w:pPr>
        <w:pStyle w:val="ListParagraph"/>
        <w:keepNext/>
        <w:numPr>
          <w:ilvl w:val="0"/>
          <w:numId w:val="2"/>
        </w:numPr>
        <w:spacing w:after="60"/>
      </w:pPr>
      <w:r>
        <w:t xml:space="preserve">Sign-in cookie HttpOnly + Secure + same-site, sliding 30 min / absolute 8 h.</w:t>
      </w:r>
    </w:p>
    <w:p>
      <w:pPr>
        <w:pStyle w:val="ListParagraph"/>
        <w:keepNext/>
        <w:numPr>
          <w:ilvl w:val="0"/>
          <w:numId w:val="2"/>
        </w:numPr>
        <w:spacing w:after="60"/>
      </w:pPr>
      <w:r>
        <w:t xml:space="preserve">Password policy enforces length, complexity, history of 10, 90-day expiry.</w:t>
      </w:r>
    </w:p>
    <w:p>
      <w:pPr>
        <w:pStyle w:val="ListParagraph"/>
        <w:keepNext/>
        <w:numPr>
          <w:ilvl w:val="0"/>
          <w:numId w:val="2"/>
        </w:numPr>
        <w:spacing w:after="60"/>
      </w:pPr>
      <w:r>
        <w:t xml:space="preserve">2FA works end-to-end; “Require 2FA for all” forces it where set.</w:t>
      </w:r>
    </w:p>
    <w:p>
      <w:pPr>
        <w:pStyle w:val="ListParagraph"/>
        <w:keepNext/>
        <w:numPr>
          <w:ilvl w:val="0"/>
          <w:numId w:val="2"/>
        </w:numPr>
        <w:spacing w:after="60"/>
      </w:pPr>
      <w:r>
        <w:t xml:space="preserve">Lockout after 5 failures; rate limit on sign-in; uniform error message.</w:t>
      </w:r>
    </w:p>
    <w:p>
      <w:pPr>
        <w:pStyle w:val="ListParagraph"/>
        <w:keepNext/>
        <w:numPr>
          <w:ilvl w:val="0"/>
          <w:numId w:val="2"/>
        </w:numPr>
        <w:spacing w:after="60"/>
      </w:pPr>
      <w:r>
        <w:t xml:space="preserve">API access token ~15 min; refresh rotates; reuse of a revoked token revokes all.</w:t>
      </w:r>
    </w:p>
    <w:p>
      <w:pPr>
        <w:pStyle w:val="ListParagraph"/>
        <w:keepNext/>
        <w:numPr>
          <w:ilvl w:val="0"/>
          <w:numId w:val="2"/>
        </w:numPr>
        <w:spacing w:after="60"/>
      </w:pPr>
      <w:r>
        <w:t xml:space="preserve">HTTPS only with modern TLS; all security headers present.</w:t>
      </w:r>
    </w:p>
    <w:p>
      <w:pPr>
        <w:pStyle w:val="ListParagraph"/>
        <w:keepNext w:val="false"/>
        <w:numPr>
          <w:ilvl w:val="0"/>
          <w:numId w:val="2"/>
        </w:numPr>
        <w:spacing w:after="60"/>
      </w:pPr>
      <w:r>
        <w:t xml:space="preserve">Audit entries appear for sign-in, 2FA, password and permission changes; log is read-only.</w:t>
      </w:r>
    </w:p>
    <w:p>
      <w:r>
        <w:br w:type="page"/>
      </w:r>
    </w:p>
    <w:p>
      <w:pPr>
        <w:pStyle w:val="Heading1"/>
        <w:keepNext/>
      </w:pPr>
      <w:r>
        <w:t xml:space="preserve">Appendix A — Security settings &amp; where they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rPr>
          <w:cantSplit/>
          <w:tblHeader/>
        </w:trPr>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Control</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Scope</w:t>
            </w:r>
          </w:p>
        </w:tc>
        <w:tc>
          <w:tcPr>
            <w:tcW w:type="dxa" w:w="3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Where set</w:t>
            </w:r>
          </w:p>
        </w:tc>
      </w:tr>
      <w:tr>
        <w:trPr>
          <w:cantSplit/>
        </w:trPr>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Password length / expiry</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Per tenant</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Tenant Settings (A-07)</w:t>
            </w:r>
          </w:p>
        </w:tc>
      </w:tr>
      <w:tr>
        <w:trPr>
          <w:cantSplit/>
        </w:trPr>
        <w:tc>
          <w:tcPr>
            <w:tcW w:type="dxa" w:w="35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Require 2FA for all</w:t>
            </w:r>
          </w:p>
        </w:tc>
        <w:tc>
          <w:tcPr>
            <w:tcW w:type="dxa" w:w="22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Per tenant</w:t>
            </w:r>
          </w:p>
        </w:tc>
        <w:tc>
          <w:tcPr>
            <w:tcW w:type="dxa" w:w="36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Tenant Settings (A-07)</w:t>
            </w:r>
          </w:p>
        </w:tc>
      </w:tr>
      <w:tr>
        <w:trPr>
          <w:cantSplit/>
        </w:trPr>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Audit retention (days)</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Per tenant</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Tenant Settings (A-07)</w:t>
            </w:r>
          </w:p>
        </w:tc>
      </w:tr>
      <w:tr>
        <w:trPr>
          <w:cantSplit/>
        </w:trPr>
        <w:tc>
          <w:tcPr>
            <w:tcW w:type="dxa" w:w="35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Lockout / rate limit</w:t>
            </w:r>
          </w:p>
        </w:tc>
        <w:tc>
          <w:tcPr>
            <w:tcW w:type="dxa" w:w="22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Platform</w:t>
            </w:r>
          </w:p>
        </w:tc>
        <w:tc>
          <w:tcPr>
            <w:tcW w:type="dxa" w:w="36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Deployment config (A-01)</w:t>
            </w:r>
          </w:p>
        </w:tc>
      </w:tr>
      <w:tr>
        <w:trPr>
          <w:cantSplit/>
        </w:trPr>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TLS, ciphers, HTTP→HTTPS</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Platform</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Server / IIS config (A-01)</w:t>
            </w:r>
          </w:p>
        </w:tc>
      </w:tr>
      <w:tr>
        <w:trPr>
          <w:cantSplit/>
        </w:trPr>
        <w:tc>
          <w:tcPr>
            <w:tcW w:type="dxa" w:w="35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Security headers</w:t>
            </w:r>
          </w:p>
        </w:tc>
        <w:tc>
          <w:tcPr>
            <w:tcW w:type="dxa" w:w="22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Platform</w:t>
            </w:r>
          </w:p>
        </w:tc>
        <w:tc>
          <w:tcPr>
            <w:tcW w:type="dxa" w:w="36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Application middleware (A-01)</w:t>
            </w:r>
          </w:p>
        </w:tc>
      </w:tr>
      <w:tr>
        <w:trPr>
          <w:cantSplit/>
        </w:trPr>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JWT keys &amp; rotation</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Platform</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Secrets vault (A-01)</w:t>
            </w:r>
          </w:p>
        </w:tc>
      </w:tr>
      <w:tr>
        <w:trPr>
          <w:cantSplit/>
        </w:trPr>
        <w:tc>
          <w:tcPr>
            <w:tcW w:type="dxa" w:w="35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val="false"/>
            </w:pPr>
            <w:r>
              <w:rPr>
                <w:b w:val="false"/>
                <w:bCs w:val="false"/>
              </w:rPr>
              <w:t xml:space="preserve">SSO provider</w:t>
            </w:r>
          </w:p>
        </w:tc>
        <w:tc>
          <w:tcPr>
            <w:tcW w:type="dxa" w:w="22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val="false"/>
            </w:pPr>
            <w:r>
              <w:rPr>
                <w:b w:val="false"/>
                <w:bCs w:val="false"/>
              </w:rPr>
              <w:t xml:space="preserve">Per tenant</w:t>
            </w:r>
          </w:p>
        </w:tc>
        <w:tc>
          <w:tcPr>
            <w:tcW w:type="dxa" w:w="36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val="false"/>
            </w:pPr>
            <w:r>
              <w:rPr>
                <w:b w:val="false"/>
                <w:bCs w:val="false"/>
              </w:rPr>
              <w:t xml:space="preserve">SSO Integration Guide (A-05)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Administrator guide A-04</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drawing>
        <wp:inline distT="0" distB="0" distL="0" distR="0">
          <wp:extent cx="685800" cy="16192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161925"/>
                  </a:xfrm>
                  <a:prstGeom prst="rect">
                    <a:avLst/>
                  </a:prstGeom>
                </pic:spPr>
              </pic:pic>
            </a:graphicData>
          </a:graphic>
        </wp:inline>
      </w:drawing>
    </w:r>
    <w:r>
      <w:rPr>
        <w:color w:val="808080"/>
        <w:sz w:val="16"/>
        <w:szCs w:val="16"/>
      </w:rPr>
      <w:t xml:space="preserve">   RTM View Shell — Security Configuration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e1f977a3ba310b1a50a9ff799f6ba89e29b1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be1f977a3ba310b1a50a9ff799f6ba89e29b1c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2026-07-03T07:35:45.318Z</dcterms:created>
  <dcterms:modified xsi:type="dcterms:W3CDTF">2026-07-03T07:35:45.318Z</dcterms:modified>
</cp:coreProperties>
</file>

<file path=docProps/custom.xml><?xml version="1.0" encoding="utf-8"?>
<Properties xmlns="http://schemas.openxmlformats.org/officeDocument/2006/custom-properties" xmlns:vt="http://schemas.openxmlformats.org/officeDocument/2006/docPropsVTypes"/>
</file>