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RTM View Shell</w:t>
      </w:r>
    </w:p>
    <w:p>
      <w:pPr>
        <w:spacing w:after="80"/>
        <w:jc w:val="center"/>
      </w:pPr>
      <w:r>
        <w:rPr>
          <w:b/>
          <w:bCs/>
          <w:color w:val="2E5496"/>
          <w:sz w:val="40"/>
          <w:szCs w:val="40"/>
        </w:rPr>
        <w:t xml:space="preserve">SSO Integration Guide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OIDC, SAML 2.0 and AD/LDAP — per-tenant federation</w:t>
      </w:r>
    </w:p>
    <w:p>
      <w:pPr>
        <w:spacing w:after="40" w:before="600"/>
        <w:jc w:val="center"/>
      </w:pPr>
      <w:r>
        <w:rPr>
          <w:sz w:val="24"/>
          <w:szCs w:val="24"/>
        </w:rPr>
        <w:t xml:space="preserve">Administrator guide A-05 — for Administrator and Superadmin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Edition EN · 2026-07-03 · RTM View Shell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p>
      <w:pPr>
        <w:keepNext w:val="false"/>
        <w:spacing w:after="120"/>
      </w:pPr>
      <w:r>
        <w:t xml:space="preserve">This table lists the revision history of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60"/>
        <w:gridCol w:w="2150"/>
        <w:gridCol w:w="235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2026-07-03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Initial (regenerated)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What SSO gives you</w:t>
      </w:r>
    </w:p>
    <w:p>
      <w:pPr>
        <w:keepNext/>
        <w:spacing w:after="120"/>
      </w:pPr>
      <w:r>
        <w:t xml:space="preserve">Single Sign-On lets a tenant’s users authenticate with their existing corporate identity instead of a separate RTM View Shell password. It is configured per tenant and supports three protocols: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OpenID Connect (OIDC)</w:t>
      </w:r>
      <w:r>
        <w:t xml:space="preserve"> — modern token-based federation.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SAML 2.0</w:t>
      </w:r>
      <w:r>
        <w:t xml:space="preserve"> — the long-established enterprise standard.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Active Directory / LDAP</w:t>
      </w:r>
      <w:r>
        <w:t xml:space="preserve"> — direct directory authentication.</w:t>
      </w:r>
    </w:p>
    <w:p>
      <w:pPr>
        <w:keepNext w:val="false"/>
        <w:spacing w:after="120"/>
      </w:pPr>
      <w:r>
        <w:t xml:space="preserve">When SSO is active, the sign-in page offers a prominent Sign in with SSO option; local sign-in can remain as a fallback.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Release status</w:t>
            </w:r>
          </w:p>
          <w:p>
            <w:pPr>
              <w:spacing w:after="40"/>
            </w:pPr>
            <w:r>
              <w:t xml:space="preserve">In the current version SSO is a configurable stub: the screens accept and store a provider configuration, but live federation is delivered in a later sprint. Until then, users sign in with local accounts plus e-mail two-factor. Everything you configure now is preserved and activates when the provider integration ships.</w:t>
            </w:r>
          </w:p>
        </w:tc>
      </w:tr>
    </w:tbl>
    <w:p>
      <w:pPr>
        <w:pStyle w:val="Heading1"/>
        <w:keepNext/>
      </w:pPr>
      <w:r>
        <w:t xml:space="preserve">2. Where SSO is configured</w:t>
      </w:r>
    </w:p>
    <w:p>
      <w:pPr>
        <w:keepNext/>
        <w:spacing w:after="120"/>
      </w:pPr>
      <w:r>
        <w:t xml:space="preserve">A tenant’s SSO settings live with its Tenant Settings (A-07). For the chosen protocol you provide: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Used by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Provider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all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OIDC, SAML2, or AD_LDAP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Metadata / discovery URL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OIDC, SAML2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The provider’s discovery or metadata endpoint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Client 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OIDC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The application’s client identifier at the provider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Client secret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OIDC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Stored encrypted; never shown in plaintext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Claim mappings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all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How provider claims map to local user fields (§3)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Active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all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Turns this configuration on</w:t>
            </w:r>
          </w:p>
        </w:tc>
      </w:tr>
    </w:tbl>
    <w:p>
      <w:pPr>
        <w:keepNext w:val="false"/>
        <w:spacing w:after="120"/>
      </w:pPr>
      <w:r>
        <w:t xml:space="preserve">Credentials are encrypted at rest; only an administrator can replace them, and they are never displayed back.</w:t>
      </w:r>
    </w:p>
    <w:p>
      <w:pPr>
        <w:pStyle w:val="Heading1"/>
        <w:keepNext/>
      </w:pPr>
      <w:r>
        <w:t xml:space="preserve">3. Claim mapping</w:t>
      </w:r>
    </w:p>
    <w:p>
      <w:pPr>
        <w:keepNext w:val="false"/>
        <w:spacing w:after="120"/>
      </w:pPr>
      <w:r>
        <w:t xml:space="preserve">A claim mapping tells RTM View Shell how to read the provider’s assertion and fill in the local user. At minimum map the user identifier and e-mail; optionally first/last name and a tenant-selector claim. The tenant is normally determined by the subdomain; a claim-based mapping is available where one address serves several tenants.</w:t>
      </w:r>
    </w:p>
    <w:p>
      <w:pPr>
        <w:pStyle w:val="Heading1"/>
        <w:keepNext/>
      </w:pPr>
      <w:r>
        <w:t xml:space="preserve">4. Just-in-time provisioning</w:t>
      </w:r>
    </w:p>
    <w:p>
      <w:pPr>
        <w:keepNext w:val="false"/>
        <w:spacing w:after="120"/>
      </w:pPr>
      <w:r>
        <w:t xml:space="preserve">On a successful SSO sign-in, if no local account exists yet, RTM View Shell creates one from the mapped claims; if it exists, its mapped fields are updated. New SSO users still need a permission group to see anything — decide whether to assign a default group at rollout or provision + assign manually before first sign-in.</w:t>
      </w:r>
    </w:p>
    <w:p>
      <w:pPr>
        <w:pStyle w:val="Heading1"/>
        <w:keepNext/>
      </w:pPr>
      <w:r>
        <w:t xml:space="preserve">5. SSO and two-factor</w:t>
      </w:r>
    </w:p>
    <w:p>
      <w:pPr>
        <w:keepNext w:val="false"/>
        <w:spacing w:after="120"/>
      </w:pPr>
      <w:r>
        <w:t xml:space="preserve">If your provider performs its own multi-factor check and asserts it (amr contains mfa), RTM View Shell skips its system-level code — the user is not asked twice. If the provider does not assert MFA, the system applies its own two-factor. Either way you keep a second factor without double-prompting.</w:t>
      </w:r>
    </w:p>
    <w:p>
      <w:pPr>
        <w:pStyle w:val="Heading1"/>
        <w:keepNext/>
      </w:pPr>
      <w:r>
        <w:t xml:space="preserve">6. Choosing a protocol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Choose OIDC</w:t>
      </w:r>
      <w:r>
        <w:t xml:space="preserve"> for modern providers (Azure AD / Entra ID, Okta, Google Workspace, Keycloak) — simplest to operate, uses discovery.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Choose SAML 2.0</w:t>
      </w:r>
      <w:r>
        <w:t xml:space="preserve"> when your IdP or policy standardises on SAML.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Choose AD / LDAP</w:t>
      </w:r>
      <w:r>
        <w:t xml:space="preserve"> to authenticate against an on-premises directory without a federation layer.</w:t>
      </w:r>
    </w:p>
    <w:p>
      <w:pPr>
        <w:pStyle w:val="Heading1"/>
        <w:keepNext/>
      </w:pPr>
      <w:r>
        <w:t xml:space="preserve">7. Verification and troubleshooting</w:t>
      </w:r>
    </w:p>
    <w:p>
      <w:pPr>
        <w:keepNext w:val="false"/>
        <w:spacing w:after="120"/>
      </w:pPr>
      <w:r>
        <w:t xml:space="preserve">When SSO goes live, verify end-to-end: a test user reaches the provider from the SSO button, returns authenticated, lands in the correct tenant, and has the expected permission group. Common issues: a mismatched return URL/audience, a claim mapping that doesn’t match the provider’s actual claim names, or a user with no permission group. The audit log records each SSO.Login — the first place to look.</w:t>
      </w:r>
    </w:p>
    <w:p>
      <w:r>
        <w:br w:type="page"/>
      </w:r>
    </w:p>
    <w:p>
      <w:pPr>
        <w:pStyle w:val="Heading1"/>
        <w:keepNext/>
      </w:pPr>
      <w:r>
        <w:t xml:space="preserve">Appendix A — Provider field reference</w:t>
      </w:r>
    </w:p>
    <w:p>
      <w:pPr>
        <w:keepNext w:val="false"/>
        <w:spacing w:after="120"/>
      </w:pPr>
      <w:r>
        <w:t xml:space="preserve">See §2. The client secret and credentials are encrypted at rest and never displayed back; replace rather than view them.</w:t>
      </w:r>
    </w:p>
    <w:p>
      <w:pPr>
        <w:pStyle w:val="Heading1"/>
        <w:keepNext/>
      </w:pPr>
      <w:r>
        <w:t xml:space="preserve">Appendix B — Claim mapping (minimum)</w:t>
      </w:r>
    </w:p>
    <w:p>
      <w:pPr>
        <w:keepNext w:val="false"/>
        <w:spacing w:after="120"/>
      </w:pPr>
      <w:r>
        <w:t xml:space="preserve">Map at least the user identifier and e-mail; optionally first/last name and a tenant-selector claim. Tenant is normally taken from the subdomain. New users are provisioned just-in-time and need a permission group assigned to gain access.</w:t>
      </w:r>
    </w:p>
    <w:p>
      <w:pPr>
        <w:pStyle w:val="Heading1"/>
        <w:keepNext/>
      </w:pPr>
      <w:r>
        <w:t xml:space="preserve">Appendix C — MFA interplay</w:t>
      </w:r>
    </w:p>
    <w:p>
      <w:pPr>
        <w:keepNext w:val="false"/>
        <w:spacing w:after="120"/>
      </w:pPr>
      <w:r>
        <w:t xml:space="preserve">Provider asserts amr=mfa → system 2FA skipped. Provider does not assert MFA → system e-mail 2FA applies. Either path keeps a second factor without double-prompting.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Administrator guide A-05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RTM View Shell — SSO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e1f977a3ba310b1a50a9ff799f6ba89e29b1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2026-07-03T07:36:32.807Z</dcterms:created>
  <dcterms:modified xsi:type="dcterms:W3CDTF">2026-07-03T07:36:32.807Z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