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Multi-Tenant Management Guide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Tenant lifecycle, settings, agent-state model, SSO, RTM binding &amp; isolation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Administrator guide A-07 — for the Superadmin (platform operator)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2026-06-13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Initial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2026-06-22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Added SlThresholdSeconds tenant setting (Historical Reports SL)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Overview — what “multi-tenant” means here</w:t>
      </w:r>
    </w:p>
    <w:p>
      <w:pPr>
        <w:keepNext w:val="false"/>
        <w:spacing w:after="120"/>
      </w:pPr>
      <w:r>
        <w:t xml:space="preserve">RTM View Shell hosts many customer organisations (“tenants”) on one installation. The model is shared database, shared schema: every tenant-scoped row carries a TenantId discriminator, and the application automatically filters every query by the current tenant. A tenant is the unit of isolation — its users, permission groups, dashboards, queues, skills and agent-state model are private to it.</w:t>
      </w:r>
    </w:p>
    <w:p>
      <w:pPr>
        <w:keepNext/>
        <w:spacing w:after="120"/>
      </w:pPr>
      <w:r>
        <w:t xml:space="preserve">Three facts frame everything in this guide: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One Superadmin governs the whole platform.</w:t>
      </w:r>
      <w:r>
        <w:t xml:space="preserve"> The Superadmin is the only role that sees across tenants, creates them, and can switch into any one of them (impersonation, always audited). Every other role — Administrator, Editor, Viewer — is confined to a single tenant.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Isolation is enforced in code, not just the UI.</w:t>
      </w:r>
      <w:r>
        <w:t xml:space="preserve"> Global Query Filters scope every database read to the active tenant; hiding a menu is cosmetic only. §9 documents this in full.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One RTM Service instance serves exactly one tenant.</w:t>
      </w:r>
      <w:r>
        <w:t xml:space="preserve"> The data-collection Windows Service is bound to a tenant at deployment time through its configuration file. Binding is covered in §7.</w:t>
      </w:r>
    </w:p>
    <w:p>
      <w:pPr>
        <w:keepNext w:val="false"/>
        <w:spacing w:after="120"/>
      </w:pPr>
      <w:r>
        <w:t xml:space="preserve">Tenant management lives on Screen 06 — Tenant Management (/platform/tenants), visible to the Superadmin only. Its four tabs — General, Settings, Appearance, Agent States — map to §2–§5 below.</w:t>
      </w:r>
    </w:p>
    <w:p>
      <w:pPr>
        <w:pStyle w:val="Heading1"/>
        <w:keepNext/>
      </w:pPr>
      <w:r>
        <w:t xml:space="preserve">2. The tenant lifecycle</w:t>
      </w:r>
    </w:p>
    <w:p>
      <w:pPr>
        <w:keepNext/>
        <w:spacing w:after="120"/>
      </w:pPr>
      <w:r>
        <w:t xml:space="preserve">A tenant is always in exactly one of three states (Tenant.Status):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960"/>
        <w:gridCol w:w="22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Effect on login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Active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Normal operation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Logins permitted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Suspended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Temporarily disabled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All logins for the tenant rejected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Retained intact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Deleted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Decommissioned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Invisible to authentication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Purged ≥ 30 days after transition</w:t>
            </w:r>
          </w:p>
        </w:tc>
      </w:tr>
    </w:tbl>
    <w:p>
      <w:pPr>
        <w:keepNext w:val="false"/>
        <w:spacing w:after="120"/>
      </w:pPr>
      <w:r>
        <w:t xml:space="preserve">Each transition writes an audit event (Tenant.Created, Tenant.Suspended, Tenant.Resumed, Tenant.Deleted), so the lifecycle is fully traceable (§10).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Create a tenant</w:t>
      </w:r>
      <w:r>
        <w:t xml:space="preserve"> (General tab → “+ New Tenant”): supply a display Name and a unique Slug. The slug becomes the tenant’s subdomain — acme resolves acme.cc-dashboard.local to this tenant — so it must be lowercase, unique, and stable. On first save the platform seeds the tenant: its tenant_settings row with defaults (§3), the five standard agent-state definitions (§5), and an empty permission-group set.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Suspend / Resume</w:t>
      </w:r>
      <w:r>
        <w:t xml:space="preserve"> (General tab → Status dropdown): set Suspended to immediately block every login without touching data; set it back to Active to restore. Existing sessions are rejected on their next authenticated action.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Delete</w:t>
      </w:r>
      <w:r>
        <w:t xml:space="preserve"> (General tab → Status → Deleted): a soft transition. The tenant disappears from authentication immediately, but its data remains on disk for at least 30 days before the background purge job removes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Worked walkthrough — stand up tenant “acme”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1.</w:t>
            </w:r>
            <w:r>
              <w:t xml:space="preserve"> General tab → “+ New Tenant” → Name “Acme Corp”, Slug acme, Status Active → Save. The platform writes the tenants row, a default tenant_settings row, seeds five agent-state definitions; Tenant.Created lands in the audit log.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2.</w:t>
            </w:r>
            <w:r>
              <w:t xml:space="preserve"> Settings tab → set the password policy and 2FA requirement for Acme (§3).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3.</w:t>
            </w:r>
            <w:r>
              <w:t xml:space="preserve"> Create Acme’s first Administrator (User Management, A-02) — that Administrator then builds Acme’s permission groups, users and dashboards.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4.</w:t>
            </w:r>
            <w:r>
              <w:t xml:space="preserve"> When Acme’s RTM Service is deployed, copy Acme’s tenant UUID from this screen into the service config (§7). Acme is now live and fully isolated.</w:t>
            </w:r>
          </w:p>
        </w:tc>
      </w:tr>
    </w:tbl>
    <w:p>
      <w:pPr>
        <w:pStyle w:val="Heading1"/>
        <w:keepNext/>
      </w:pPr>
      <w:r>
        <w:t xml:space="preserve">3. Tenant Settings</w:t>
      </w:r>
    </w:p>
    <w:p>
      <w:pPr>
        <w:keepNext/>
        <w:spacing w:after="120"/>
      </w:pPr>
      <w:r>
        <w:t xml:space="preserve">The Settings tab edits the tenant’s tenant_settings row (one-to-one with the tenant). Every value here applies only to this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00"/>
        <w:gridCol w:w="1260"/>
        <w:gridCol w:w="3200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Default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Licensing — purchased licences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Informational seat cap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Licensing — user connections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Max concurrent connections; 0 = unlimited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Password — minimum length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PasswordMinLength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Enforced on every password set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Password — expiry (days)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PasswordExpireDays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Forces a change after N days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 — require 2FA for all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Require2faForAll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Forces e-mail 2FA on for every user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Security — default locale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DefaultLocale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en-US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BCP-47 culture for new users / login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SignalR Widgets — connection URL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SignalRConnectionUrl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RTM Service hub URL the relay connects to (§7)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Data — audit retention (days)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AuditRetentionDays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365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 beyond which audit partitions drop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Data — soft-delete screens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SoftDeleteDashboards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off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Deleting a dashboard hides vs removes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Data — soft-delete retention (days)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SoftDeleteRetentionDays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90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Age after which soft-deleted dashboards purge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Service level — SL threshold (seconds)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SlThresholdSeconds</w:t>
            </w:r>
          </w:p>
        </w:tc>
        <w:tc>
          <w:tcPr>
            <w:tcW w:type="dxa" w:w="1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— (unset)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Per-tenant service-level target in seconds; used by Historical Reports SL calculations</w:t>
            </w:r>
          </w:p>
        </w:tc>
      </w:tr>
    </w:tbl>
    <w:p>
      <w:pPr>
        <w:keepNext w:val="false"/>
        <w:spacing w:after="120"/>
      </w:pPr>
      <w:r>
        <w:t xml:space="preserve">The password and 2FA settings feed the security behaviour documented in the Installation &amp; Security guides; the SignalR connection URL is the single binding between this tenant and its RTM Service hub (§7). Sensitive provider fields (e-mail credentials, SSO client secret) are stored encrypted.</w:t>
      </w:r>
    </w:p>
    <w:p>
      <w:pPr>
        <w:pStyle w:val="Heading1"/>
        <w:keepNext/>
      </w:pPr>
      <w:r>
        <w:t xml:space="preserve">4. Appearance &amp; localisation</w:t>
      </w:r>
    </w:p>
    <w:p>
      <w:pPr>
        <w:keepNext w:val="false"/>
        <w:spacing w:after="120"/>
      </w:pPr>
      <w:r>
        <w:t xml:space="preserve">The Appearance tab sets per-tenant presentation defaults that the (future) widget editor inherits: available font sizes, a background colour palette, and a font colour palette. These do not affect isolation or security — they brand the tenant’s screens.</w:t>
      </w:r>
    </w:p>
    <w:p>
      <w:pPr>
        <w:keepNext w:val="false"/>
        <w:spacing w:after="120"/>
      </w:pPr>
      <w:r>
        <w:t xml:space="preserve">Localisation is driven by Default locale (Settings tab) plus each user’s own PreferredLocale. The platform supports any BCP-47 language by adding a resource file — no code change — and renders right-to-left layouts automatically for Arabic, Hebrew and Farsi. All timestamps are stored in UTC and converted to the user’s locale in the UI.</w:t>
      </w:r>
    </w:p>
    <w:p>
      <w:pPr>
        <w:pStyle w:val="Heading1"/>
        <w:keepNext/>
      </w:pPr>
      <w:r>
        <w:t xml:space="preserve">5. The agent-state model</w:t>
      </w:r>
    </w:p>
    <w:p>
      <w:pPr>
        <w:keepNext/>
        <w:spacing w:after="120"/>
      </w:pPr>
      <w:r>
        <w:t xml:space="preserve">The Agent States tab (Superadmin-only) defines how the raw agent-status names from the contact-centre platform are grouped for display and metric aggregation. Three concepts: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Agent State</w:t>
      </w:r>
      <w:r>
        <w:t xml:space="preserve"> — a raw state name as the CC platform emits it (e.g. AVAILABLE, LUNCH, ONPHONE).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State Group</w:t>
      </w:r>
      <w:r>
        <w:t xml:space="preserve"> — a display bucket (e.g. Available, Break) that one or more states roll up into.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Definition</w:t>
      </w:r>
      <w:r>
        <w:t xml:space="preserve"> — the mapping that assigns exactly one State to exactly one Group, per tenant.</w:t>
      </w:r>
    </w:p>
    <w:p>
      <w:pPr>
        <w:keepNext w:val="false"/>
        <w:spacing w:after="120"/>
      </w:pPr>
      <w:r>
        <w:t xml:space="preserve">The metric identifier is not stored on the definition; it is resolved at query time by joining the metric catalogue on the state name. Every tenant is seeded with five standard definitions: AVAILABLE → Available, ONPHONE → On Phone, BREAK → Break, PAPERWORK → Paperwork, TRAINING → Training.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Managing groups</w:t>
      </w:r>
      <w:r>
        <w:t xml:space="preserve"> (Section 1): add a group, rename it inline, or deactivate it (Danger-Zone: reassign the group’s states to another active group, or deactivate all its states — you must choose).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Managing states</w:t>
      </w:r>
      <w:r>
        <w:t xml:space="preserve"> (Section 2): add a state (name + a target active group), change a state’s mapped group, or deactivate a state (this also deactivates its definition). Nothing is ever physically deleted; deactivation is a soft state.</w:t>
      </w:r>
    </w:p>
    <w:p>
      <w:pPr>
        <w:keepNext w:val="false"/>
        <w:spacing w:after="120"/>
      </w:pPr>
      <w:r>
        <w:rPr>
          <w:b/>
          <w:bCs/>
          <w:i w:val="false"/>
          <w:iCs w:val="false"/>
        </w:rPr>
        <w:t xml:space="preserve">Validation:</w:t>
      </w:r>
      <w:r>
        <w:t xml:space="preserve"> state names and group names are each unique per tenant, case-insensitive; a state cannot exist without being assigned to a group.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Worked walkthrough — add a “LUNCH” state</w:t>
            </w:r>
          </w:p>
          <w:p>
            <w:pPr>
              <w:spacing w:after="40"/>
            </w:pPr>
            <w:r>
              <w:t xml:space="preserve">Acme’s platform emits a distinct LUNCH status that should report under breaks but separately from short breaks.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1.</w:t>
            </w:r>
            <w:r>
              <w:t xml:space="preserve"> Section 1 → “+ Add State Group” → Meal Break.</w:t>
            </w:r>
          </w:p>
          <w:p>
            <w:pPr>
              <w:spacing w:after="40"/>
            </w:pPr>
            <w:r>
              <w:rPr>
                <w:b/>
                <w:bCs/>
                <w:i w:val="false"/>
                <w:iCs w:val="false"/>
              </w:rPr>
              <w:t xml:space="preserve">2.</w:t>
            </w:r>
            <w:r>
              <w:t xml:space="preserve"> Section 2 → “+ Add State” → name LUNCH, group Meal Break → Save.</w:t>
            </w:r>
          </w:p>
          <w:p>
            <w:pPr>
              <w:spacing w:after="40"/>
            </w:pPr>
            <w:r>
              <w:t xml:space="preserve">From the next refresh, time in LUNCH aggregates under Meal Break in every agent-state metric for Acme — no code change, no effect on other tenants.</w:t>
            </w:r>
          </w:p>
        </w:tc>
      </w:tr>
    </w:tbl>
    <w:p>
      <w:pPr>
        <w:pStyle w:val="Heading1"/>
        <w:keepNext/>
      </w:pPr>
      <w:r>
        <w:t xml:space="preserve">6. SSO configuration (per tenant)</w:t>
      </w:r>
    </w:p>
    <w:p>
      <w:pPr>
        <w:keepNext w:val="false"/>
        <w:spacing w:after="120"/>
      </w:pPr>
      <w:r>
        <w:t xml:space="preserve">Each tenant may have its own single-sign-on provider, stored in sso_configurations and linked from the tenant’s settings. Supported protocols: SAML 2.0, OIDC, and AD / LDAP. You provide the provider metadata and a claim-mapping that translates the provider’s claims into local user fields; on SSO login a local user is provisioned just-in-time. If the provider asserts MFA (amr=mfa), system 2FA is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Version note</w:t>
            </w:r>
          </w:p>
          <w:p>
            <w:pPr>
              <w:spacing w:after="40"/>
            </w:pPr>
            <w:r>
              <w:t xml:space="preserve">In the current release SSO is a configurable stub: the screens accept and store a configuration, but live federation is delivered in a later sprint. Until then, users sign in with local accounts plus e-mail two-factor. The configuration you enter now is preserved and activates when the provider integration ships.</w:t>
            </w:r>
          </w:p>
        </w:tc>
      </w:tr>
    </w:tbl>
    <w:p>
      <w:pPr>
        <w:pStyle w:val="Heading1"/>
        <w:keepNext/>
      </w:pPr>
      <w:r>
        <w:t xml:space="preserve">7. Binding an RTM Service instance to a tenant</w:t>
      </w:r>
    </w:p>
    <w:p>
      <w:pPr>
        <w:keepNext/>
        <w:spacing w:after="120"/>
      </w:pPr>
      <w:r>
        <w:t xml:space="preserve">The RTM Service collects real-time data and pushes it to the Shell. It has no logged-in user, so it is bound to a tenant statically, at deployment. One instance = one tenant. Two halves:</w:t>
      </w:r>
    </w:p>
    <w:p>
      <w:pPr>
        <w:pStyle w:val="ListParagraph"/>
        <w:keepNext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In the service config</w:t>
      </w:r>
      <w:r>
        <w:t xml:space="preserve"> (appsettings.json, section RTM): set "TenantId" to the tenant’s UUID. Empty/missing = fatal start-up error.</w:t>
      </w:r>
    </w:p>
    <w:p>
      <w:pPr>
        <w:pStyle w:val="ListParagraph"/>
        <w:keepNext w:val="false"/>
        <w:numPr>
          <w:ilvl w:val="0"/>
          <w:numId w:val="3"/>
        </w:numPr>
        <w:spacing w:after="60"/>
      </w:pPr>
      <w:r>
        <w:rPr>
          <w:b/>
          <w:bCs/>
          <w:i w:val="false"/>
          <w:iCs w:val="false"/>
        </w:rPr>
        <w:t xml:space="preserve">In the Shell</w:t>
      </w:r>
      <w:r>
        <w:t xml:space="preserve"> (Settings tab → SignalR Connection URL): set the tenant’s hub URL; the Shell’s relay opens one server-to-server connection (browsers never connect to the service directly).</w:t>
      </w:r>
    </w:p>
    <w:p>
      <w:pPr>
        <w:keepNext w:val="false"/>
        <w:spacing w:after="120"/>
      </w:pPr>
      <w:r>
        <w:t xml:space="preserve">Deployment checklist: (1) copy the tenant UUID from Screen 06; (2) set RTM:TenantId before first start; (3) confirm the bound TenantId in the start-up log; (4) verify the tenant’s business units are visible and non-zero where data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BE4D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Safety note — never run an unscoped midnight clear</w:t>
            </w:r>
          </w:p>
          <w:p>
            <w:pPr>
              <w:spacing w:after="40"/>
            </w:pPr>
            <w:r>
              <w:t xml:space="preserve">The service’s daily housekeeping deletes interaction and user-status rows. It must be tenant-scoped (WHERE "TenantId" = …); an unscoped version would wipe all tenants. Confirm the deployed routine is the tenant-scoped build before enabling the schedule.</w:t>
            </w:r>
          </w:p>
        </w:tc>
      </w:tr>
    </w:tbl>
    <w:p>
      <w:pPr>
        <w:keepNext w:val="false"/>
        <w:spacing w:after="120"/>
      </w:pPr>
      <w:r>
        <w:rPr>
          <w:b w:val="false"/>
          <w:bCs w:val="false"/>
          <w:i/>
          <w:iCs/>
        </w:rPr>
        <w:t xml:space="preserve">For the full install / upgrade mechanics of the service, see A-01 — Installation &amp; Deployment Guide.</w:t>
      </w:r>
    </w:p>
    <w:p>
      <w:pPr>
        <w:pStyle w:val="Heading1"/>
        <w:keepNext/>
      </w:pPr>
      <w:r>
        <w:t xml:space="preserve">8. Tenant switching (impersonation)</w:t>
      </w:r>
    </w:p>
    <w:p>
      <w:pPr>
        <w:keepNext w:val="false"/>
        <w:spacing w:after="120"/>
      </w:pPr>
      <w:r>
        <w:t xml:space="preserve">The Superadmin can switch the active tenant from the admin UI to operate inside a tenant’s context — to reproduce a problem, verify a configuration, or assist support. Switching changes the TenantId on the active session and writes a Tenant.Switched audit event, so every impersonation is on the record. Switch back the same way when finished.</w:t>
      </w:r>
    </w:p>
    <w:p>
      <w:pPr>
        <w:pStyle w:val="Heading1"/>
        <w:keepNext/>
      </w:pPr>
      <w:r>
        <w:t xml:space="preserve">9. Isolation &amp; security guarantees (the compliance story)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Automatic query scoping.</w:t>
      </w:r>
      <w:r>
        <w:t xml:space="preserve"> Every read on a tenant-scoped table is filtered by the active TenantId through Global Query Filters. Application code cannot accidentally read another tenant’s rows.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Audited escape hatch only.</w:t>
      </w:r>
      <w:r>
        <w:t xml:space="preserve"> The filter is bypassed solely inside dedicated system repositories, and every such use writes a Tenant.CrossTenantAccess audit event.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Defence in depth.</w:t>
      </w:r>
      <w:r>
        <w:t xml:space="preserve"> Cache keys, real-time group names and blob containers are all tenant-prefixed — isolation holds in Redis, SignalR and storage, not only the database.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Intentionally shared platform data.</w:t>
      </w:r>
      <w:r>
        <w:t xml:space="preserve"> The widget catalogue, application roles and the tenant registry are cross-tenant and carry no customer data.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Login binds user to tenant.</w:t>
      </w:r>
      <w:r>
        <w:t xml:space="preserve"> Authentication verifies the user’s tenant matches the resolved subdomain; a mismatch is rejected with the generic failed-login message and recorded as Login.Failure / TenantMismatch.</w:t>
      </w:r>
    </w:p>
    <w:p>
      <w:pPr>
        <w:pStyle w:val="Heading1"/>
        <w:keepNext/>
      </w:pPr>
      <w:r>
        <w:t xml:space="preserve">10. Auditing tenant operations</w:t>
      </w:r>
    </w:p>
    <w:p>
      <w:pPr>
        <w:keepNext w:val="false"/>
        <w:spacing w:after="120"/>
      </w:pPr>
      <w:r>
        <w:t xml:space="preserve">Every platform-level action is recorded and viewable on the Audit screen. Tenant-relevant events: Tenant.Created/Suspended/Resumed/Deleted; Tenant.Switched; Tenant.CrossTenantAccess; WidgetCatalog.ItemAdded/ItemUpdated/ItemDeactivated; System.AuditPurged. Each entry carries actor, UTC timestamp, IP, user-agent, JSON details; retained per AuditRetentionDays (default 365). Exports over 50,000 rows run as a background job delivered by e-mail.</w:t>
      </w:r>
    </w:p>
    <w:p>
      <w:r>
        <w:br w:type="page"/>
      </w:r>
    </w:p>
    <w:p>
      <w:pPr>
        <w:pStyle w:val="Heading1"/>
        <w:keepNext/>
      </w:pPr>
      <w:r>
        <w:t xml:space="preserve">Appendix A — Tenant Settings reference</w:t>
      </w:r>
    </w:p>
    <w:p>
      <w:pPr>
        <w:keepNext w:val="false"/>
        <w:spacing w:after="120"/>
      </w:pPr>
      <w:r>
        <w:t xml:space="preserve">The full tenant_settings column set, types, defaults and effect — see the table in §3 (incl. SlThresholdSeconds). Encrypted fields (e-mail provider config, SSO client secret) are protected at rest and never shown in plaintext.</w:t>
      </w:r>
    </w:p>
    <w:p>
      <w:pPr>
        <w:pStyle w:val="Heading1"/>
        <w:keepNext/>
      </w:pPr>
      <w:r>
        <w:t xml:space="preserve">Appendix B — Agent-state seed &amp; validation</w:t>
      </w:r>
    </w:p>
    <w:p>
      <w:pPr>
        <w:keepNext w:val="false"/>
        <w:spacing w:after="120"/>
      </w:pPr>
      <w:r>
        <w:t xml:space="preserve">Seed (every tenant, first run): AVAILABLE → Available, ONPHONE → On Phone, BREAK → Break, PAPERWORK → Paperwork, TRAINING → Training. Validation: state/group names unique per tenant (case-insensitive); one state → one group; no state without a group; deactivation is soft.</w:t>
      </w:r>
    </w:p>
    <w:p>
      <w:pPr>
        <w:pStyle w:val="Heading1"/>
        <w:keepNext/>
      </w:pPr>
      <w:r>
        <w:t xml:space="preserve">Appendix C — RTM Service per-tenant deployment checklist</w:t>
      </w:r>
    </w:p>
    <w:p>
      <w:pPr>
        <w:keepNext w:val="false"/>
        <w:spacing w:after="120"/>
      </w:pPr>
      <w:r>
        <w:t xml:space="preserve">Copy the tenant UUID (Screen 06) → set RTM:TenantId (empty = fatal) → set the SignalR Connection URL in the Shell → start; confirm bound TenantId in the log → verify data is scoped (non-zero BU count) → confirm the midnight-clear routine is tenant-scoped before enabling the schedule.</w:t>
      </w:r>
    </w:p>
    <w:p>
      <w:pPr>
        <w:pStyle w:val="Heading1"/>
        <w:keepNext/>
      </w:pPr>
      <w:r>
        <w:t xml:space="preserve">Appendix D — Audit event catalogue (tenant operations)</w:t>
      </w:r>
    </w:p>
    <w:p>
      <w:pPr>
        <w:keepNext w:val="false"/>
        <w:spacing w:after="120"/>
      </w:pPr>
      <w:r>
        <w:t xml:space="preserve">Tenant.Created, Tenant.Suspended, Tenant.Resumed, Tenant.Deleted, Tenant.Switched, Tenant.CrossTenantAccess, WidgetCatalog.ItemAdded, WidgetCatalog.ItemUpdated, WidgetCatalog.ItemDeactivated, System.AuditPurged. Each: actor, UTC timestamp, IP, user-agent, JSON details; retained per AuditRetentionDays.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Administrator guide A-07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Multi-Tenant Management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2026-07-03T07:23:12.597Z</dcterms:created>
  <dcterms:modified xsi:type="dcterms:W3CDTF">2026-07-03T07:23:12.598Z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