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900"/>
        <w:jc w:val="center"/>
      </w:pPr>
      <w:r>
        <w:drawing>
          <wp:inline distT="0" distB="0" distL="0" distR="0">
            <wp:extent cx="2857500" cy="676275"/>
            <wp:effectExtent t="0" r="0" b="0" l="0"/>
            <wp:docPr id="1" name="INSIGHTENSE" descr="INSIGHTENSE logo" title="INSIGHTE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676275"/>
                    </a:xfrm>
                    <a:prstGeom prst="rect">
                      <a:avLst/>
                    </a:prstGeom>
                  </pic:spPr>
                </pic:pic>
              </a:graphicData>
            </a:graphic>
          </wp:inline>
        </w:drawing>
      </w:r>
    </w:p>
    <w:p>
      <w:pPr>
        <w:spacing w:after="120" w:before="160"/>
        <w:jc w:val="center"/>
      </w:pPr>
      <w:r>
        <w:rPr>
          <w:b/>
          <w:bCs/>
          <w:color w:val="1F3864"/>
          <w:sz w:val="46"/>
          <w:szCs w:val="46"/>
        </w:rPr>
        <w:t xml:space="preserve">RTM View Shell</w:t>
      </w:r>
    </w:p>
    <w:p>
      <w:pPr>
        <w:spacing w:after="80"/>
        <w:jc w:val="center"/>
      </w:pPr>
      <w:r>
        <w:rPr>
          <w:b/>
          <w:bCs/>
          <w:color w:val="2E5496"/>
          <w:sz w:val="40"/>
          <w:szCs w:val="40"/>
        </w:rPr>
        <w:t xml:space="preserve">Profile &amp; Settings Guide</w:t>
      </w:r>
    </w:p>
    <w:p>
      <w:pPr>
        <w:spacing w:after="80"/>
        <w:jc w:val="center"/>
      </w:pPr>
      <w:r>
        <w:rPr>
          <w:i/>
          <w:iCs/>
          <w:sz w:val="24"/>
          <w:szCs w:val="24"/>
        </w:rPr>
        <w:t xml:space="preserve">Manage your password, two-factor, and language</w:t>
      </w:r>
    </w:p>
    <w:p>
      <w:pPr>
        <w:spacing w:after="40" w:before="600"/>
        <w:jc w:val="center"/>
      </w:pPr>
      <w:r>
        <w:rPr>
          <w:sz w:val="24"/>
          <w:szCs w:val="24"/>
        </w:rPr>
        <w:t xml:space="preserve">End-user guide B-04 — for every RTM View Shell user</w:t>
      </w:r>
    </w:p>
    <w:p>
      <w:pPr>
        <w:spacing w:after="40"/>
        <w:jc w:val="center"/>
      </w:pPr>
      <w:r>
        <w:rPr>
          <w:color w:val="595959"/>
          <w:sz w:val="22"/>
          <w:szCs w:val="22"/>
        </w:rPr>
        <w:t xml:space="preserve">Edition EN · 2026-07-03 · RTM View Shell</w:t>
      </w:r>
    </w:p>
    <w:p>
      <w:r>
        <w:br w:type="page"/>
      </w:r>
    </w:p>
    <w:p>
      <w:pPr>
        <w:pStyle w:val="Heading1"/>
        <w:keepNext/>
      </w:pPr>
      <w:r>
        <w:t xml:space="preserve">Document revision history</w:t>
      </w:r>
    </w:p>
    <w:p>
      <w:pPr>
        <w:keepNext w:val="false"/>
        <w:spacing w:after="120"/>
      </w:pPr>
      <w:r>
        <w:t xml:space="preserve">This table lists the revision history of this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2260"/>
        <w:gridCol w:w="2150"/>
        <w:gridCol w:w="2350"/>
      </w:tblGrid>
      <w:tr>
        <w:trPr>
          <w:cantSplit/>
          <w:tblHeader/>
        </w:trPr>
        <w:tc>
          <w:tcPr>
            <w:tcW w:type="dxa" w:w="11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keepNext/>
            </w:pPr>
            <w:r>
              <w:rPr>
                <w:b/>
                <w:bCs/>
                <w:color w:val="FFFFFF"/>
              </w:rPr>
              <w:t xml:space="preserve">Version</w:t>
            </w:r>
          </w:p>
        </w:tc>
        <w:tc>
          <w:tcPr>
            <w:tcW w:type="dxa" w:w="15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keepNext/>
            </w:pPr>
            <w:r>
              <w:rPr>
                <w:b/>
                <w:bCs/>
                <w:color w:val="FFFFFF"/>
              </w:rPr>
              <w:t xml:space="preserve">Date</w:t>
            </w:r>
          </w:p>
        </w:tc>
        <w:tc>
          <w:tcPr>
            <w:tcW w:type="dxa" w:w="22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keepNext/>
            </w:pPr>
            <w:r>
              <w:rPr>
                <w:b/>
                <w:bCs/>
                <w:color w:val="FFFFFF"/>
              </w:rPr>
              <w:t xml:space="preserve">Summary of changes</w:t>
            </w:r>
          </w:p>
        </w:tc>
        <w:tc>
          <w:tcPr>
            <w:tcW w:type="dxa" w:w="215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keepNext/>
            </w:pPr>
            <w:r>
              <w:rPr>
                <w:b/>
                <w:bCs/>
                <w:color w:val="FFFFFF"/>
              </w:rPr>
              <w:t xml:space="preserve">Product release ID</w:t>
            </w:r>
          </w:p>
        </w:tc>
        <w:tc>
          <w:tcPr>
            <w:tcW w:type="dxa" w:w="235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keepNext/>
            </w:pPr>
            <w:r>
              <w:rPr>
                <w:b/>
                <w:bCs/>
                <w:color w:val="FFFFFF"/>
              </w:rPr>
              <w:t xml:space="preserve">Shipped-with (commit/barrier)</w:t>
            </w:r>
          </w:p>
        </w:tc>
      </w:tr>
      <w:tr>
        <w:trPr>
          <w:cantSplit/>
        </w:trPr>
        <w:tc>
          <w:tcPr>
            <w:tcW w:type="dxa" w:w="11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keepNext w:val="false"/>
            </w:pPr>
            <w:r>
              <w:rPr>
                <w:b w:val="false"/>
                <w:bCs w:val="false"/>
              </w:rPr>
              <w:t xml:space="preserve">1.0</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keepNext w:val="false"/>
            </w:pPr>
            <w:r>
              <w:rPr>
                <w:b w:val="false"/>
                <w:bCs w:val="false"/>
              </w:rPr>
              <w:t xml:space="preserve">2026-07-03</w:t>
            </w:r>
          </w:p>
        </w:tc>
        <w:tc>
          <w:tcPr>
            <w:tcW w:type="dxa" w:w="22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keepNext w:val="false"/>
            </w:pPr>
            <w:r>
              <w:rPr>
                <w:b w:val="false"/>
                <w:bCs w:val="false"/>
              </w:rPr>
              <w:t xml:space="preserve">Initial (regenerated)</w:t>
            </w:r>
          </w:p>
        </w:tc>
        <w:tc>
          <w:tcPr>
            <w:tcW w:type="dxa" w:w="21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keepNext w:val="false"/>
            </w:pPr>
            <w:r>
              <w:rPr>
                <w:b w:val="false"/>
                <w:bCs w:val="false"/>
              </w:rPr>
              <w:t xml:space="preserve">RTM-REL-2026.06</w:t>
            </w:r>
          </w:p>
        </w:tc>
        <w:tc>
          <w:tcPr>
            <w:tcW w:type="dxa" w:w="23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keepNext w:val="false"/>
            </w:pPr>
            <w:r>
              <w:rPr>
                <w:b w:val="false"/>
                <w:bCs w:val="false"/>
              </w:rPr>
              <w:t xml:space="preserve">(pending push)</w:t>
            </w:r>
          </w:p>
        </w:tc>
      </w:tr>
    </w:tbl>
    <w:p>
      <w:r>
        <w:br w:type="page"/>
      </w:r>
    </w:p>
    <w:p>
      <w:pPr>
        <w:pStyle w:val="Heading1"/>
        <w:keepNext/>
      </w:pPr>
      <w: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keepNext/>
      </w:pPr>
      <w:r>
        <w:t xml:space="preserve">1. Where your settings live</w:t>
      </w:r>
    </w:p>
    <w:p>
      <w:pPr>
        <w:keepNext w:val="false"/>
        <w:spacing w:after="120"/>
      </w:pPr>
      <w:r>
        <w:t xml:space="preserve">Your personal settings are reached from your profile, opened from your name in the top bar. From there you can change your password, control two-factor authentication, and set your preferred language. These choices affect only your own account. Your role, permission group and active status are controlled by an administrator — ask them if any of those need to change.</w:t>
      </w:r>
    </w:p>
    <w:p>
      <w:pPr>
        <w:pStyle w:val="Heading1"/>
        <w:keepNext/>
      </w:pPr>
      <w:r>
        <w:t xml:space="preserve">2. Changing your password</w:t>
      </w:r>
    </w:p>
    <w:p>
      <w:pPr>
        <w:keepNext/>
        <w:spacing w:after="120"/>
      </w:pPr>
      <w:r>
        <w:t xml:space="preserve">Select Change password, then enter your current password followed by your new password twice. A live checklist turns green as you meet each rule:</w:t>
      </w:r>
    </w:p>
    <w:p>
      <w:pPr>
        <w:pStyle w:val="ListParagraph"/>
        <w:keepNext/>
        <w:numPr>
          <w:ilvl w:val="0"/>
          <w:numId w:val="2"/>
        </w:numPr>
        <w:spacing w:after="60"/>
      </w:pPr>
      <w:r>
        <w:t xml:space="preserve">at least 12 characters (your organisation may require more);</w:t>
      </w:r>
    </w:p>
    <w:p>
      <w:pPr>
        <w:pStyle w:val="ListParagraph"/>
        <w:keepNext/>
        <w:numPr>
          <w:ilvl w:val="0"/>
          <w:numId w:val="2"/>
        </w:numPr>
        <w:spacing w:after="60"/>
      </w:pPr>
      <w:r>
        <w:t xml:space="preserve">an upper-case letter (A–Z);</w:t>
      </w:r>
    </w:p>
    <w:p>
      <w:pPr>
        <w:pStyle w:val="ListParagraph"/>
        <w:keepNext/>
        <w:numPr>
          <w:ilvl w:val="0"/>
          <w:numId w:val="2"/>
        </w:numPr>
        <w:spacing w:after="60"/>
      </w:pPr>
      <w:r>
        <w:t xml:space="preserve">a lower-case letter (a–z);</w:t>
      </w:r>
    </w:p>
    <w:p>
      <w:pPr>
        <w:pStyle w:val="ListParagraph"/>
        <w:keepNext/>
        <w:numPr>
          <w:ilvl w:val="0"/>
          <w:numId w:val="2"/>
        </w:numPr>
        <w:spacing w:after="60"/>
      </w:pPr>
      <w:r>
        <w:t xml:space="preserve">a digit (0–9);</w:t>
      </w:r>
    </w:p>
    <w:p>
      <w:pPr>
        <w:pStyle w:val="ListParagraph"/>
        <w:keepNext/>
        <w:numPr>
          <w:ilvl w:val="0"/>
          <w:numId w:val="2"/>
        </w:numPr>
        <w:spacing w:after="60"/>
      </w:pPr>
      <w:r>
        <w:t xml:space="preserve">a special character (! @ # $ …);</w:t>
      </w:r>
    </w:p>
    <w:p>
      <w:pPr>
        <w:pStyle w:val="ListParagraph"/>
        <w:keepNext w:val="false"/>
        <w:numPr>
          <w:ilvl w:val="0"/>
          <w:numId w:val="2"/>
        </w:numPr>
        <w:spacing w:after="60"/>
      </w:pPr>
      <w:r>
        <w:t xml:space="preserve">and it must be different from your last 10 passwords.</w:t>
      </w:r>
    </w:p>
    <w:p>
      <w:pPr>
        <w:keepNext w:val="false"/>
        <w:spacing w:after="120"/>
      </w:pPr>
      <w:r>
        <w:t xml:space="preserve">Passwords expire periodically (90 days by default); you are asked to set a new one at sign-in. A strong, unique password you do not use elsewhere is the single most important protection for the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1"/>
              <w:left w:val="single" w:color="BFBFBF" w:sz="1"/>
              <w:bottom w:val="single" w:color="BFBFBF" w:sz="1"/>
              <w:right w:val="single" w:color="BFBFBF" w:sz="1"/>
            </w:tcBorders>
            <w:shd w:fill="D9E2F3" w:val="clear"/>
            <w:tcMar>
              <w:top w:type="dxa" w:w="100"/>
              <w:left w:type="dxa" w:w="160"/>
              <w:bottom w:type="dxa" w:w="100"/>
              <w:right w:type="dxa" w:w="160"/>
            </w:tcMar>
          </w:tcPr>
          <w:p>
            <w:pPr>
              <w:spacing w:after="60"/>
            </w:pPr>
            <w:r>
              <w:rPr>
                <w:b/>
                <w:bCs/>
              </w:rPr>
              <w:t xml:space="preserve">If you have forgotten your current password</w:t>
            </w:r>
          </w:p>
          <w:p>
            <w:pPr>
              <w:spacing w:after="40"/>
            </w:pPr>
            <w:r>
              <w:t xml:space="preserve">You cannot change it here — sign out and use Forgot password? on the sign-in page for an e-mailed reset link.</w:t>
            </w:r>
          </w:p>
        </w:tc>
      </w:tr>
    </w:tbl>
    <w:p>
      <w:pPr>
        <w:pStyle w:val="Heading1"/>
        <w:keepNext/>
      </w:pPr>
      <w:r>
        <w:t xml:space="preserve">3. Two-factor authentication (2FA)</w:t>
      </w:r>
    </w:p>
    <w:p>
      <w:pPr>
        <w:keepNext w:val="false"/>
        <w:spacing w:after="120"/>
      </w:pPr>
      <w:r>
        <w:t xml:space="preserve">Two-factor adds a second check: after your password, a 6-digit code is e-mailed to you. From your profile you can turn 2FA on or off — unless your administrator has made it mandatory for everyone, in which case the toggle is fixed on. Leaving 2FA on is strongly recommended. The code is valid 10 minutes, allows 3 attempts, and can be resent once per minute; it is only ever in the e-mail body.</w:t>
      </w:r>
    </w:p>
    <w:p>
      <w:pPr>
        <w:pStyle w:val="Heading1"/>
        <w:keepNext/>
      </w:pPr>
      <w:r>
        <w:t xml:space="preserve">4. Choosing your language</w:t>
      </w:r>
    </w:p>
    <w:p>
      <w:pPr>
        <w:keepNext w:val="false"/>
        <w:spacing w:after="120"/>
      </w:pPr>
      <w:r>
        <w:t xml:space="preserve">Set your preferred language from the profile. The interface switches immediately, without a reload, and is remembered. Any language can be offered; Arabic, Hebrew and Farsi flip the whole layout right-to-left. Dates, times and numbers follow your language, and the 2FA / password-reset e-mails arrive in it.</w:t>
      </w:r>
    </w:p>
    <w:p>
      <w:pPr>
        <w:pStyle w:val="Heading1"/>
        <w:keepNext/>
      </w:pPr>
      <w:r>
        <w:t xml:space="preserve">5. Appearance</w:t>
      </w:r>
    </w:p>
    <w:p>
      <w:pPr>
        <w:keepNext w:val="false"/>
        <w:spacing w:after="120"/>
      </w:pPr>
      <w:r>
        <w:t xml:space="preserve">Where enabled, you may see presentation options such as font size and colour, drawn from the set your administrator made available. These change how dashboards look for you and have no effect on data or permissions.</w:t>
      </w:r>
    </w:p>
    <w:p>
      <w:pPr>
        <w:pStyle w:val="Heading1"/>
        <w:keepNext/>
      </w:pPr>
      <w:r>
        <w:t xml:space="preserve">6. A note on shared computers</w:t>
      </w:r>
    </w:p>
    <w:p>
      <w:pPr>
        <w:keepNext w:val="false"/>
        <w:spacing w:after="120"/>
      </w:pPr>
      <w:r>
        <w:t xml:space="preserve">On a shared or public computer, always use Sign out when you finish rather than closing the tab. Signing out ends your session and clears your saved preferences from that browser.</w:t>
      </w:r>
    </w:p>
    <w:p>
      <w:r>
        <w:br w:type="page"/>
      </w:r>
    </w:p>
    <w:p>
      <w:pPr>
        <w:pStyle w:val="Heading1"/>
        <w:keepNext/>
      </w:pPr>
      <w:r>
        <w:t xml:space="preserve">Appendix A — Settings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000"/>
        <w:gridCol w:w="3460"/>
      </w:tblGrid>
      <w:tr>
        <w:trPr>
          <w:cantSplit/>
          <w:tblHeader/>
        </w:trPr>
        <w:tc>
          <w:tcPr>
            <w:tcW w:type="dxa" w:w="29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keepNext/>
            </w:pPr>
            <w:r>
              <w:rPr>
                <w:b/>
                <w:bCs/>
                <w:color w:val="FFFFFF"/>
              </w:rPr>
              <w:t xml:space="preserve">Setting</w:t>
            </w:r>
          </w:p>
        </w:tc>
        <w:tc>
          <w:tcPr>
            <w:tcW w:type="dxa" w:w="30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keepNext/>
            </w:pPr>
            <w:r>
              <w:rPr>
                <w:b/>
                <w:bCs/>
                <w:color w:val="FFFFFF"/>
              </w:rPr>
              <w:t xml:space="preserve">Where</w:t>
            </w:r>
          </w:p>
        </w:tc>
        <w:tc>
          <w:tcPr>
            <w:tcW w:type="dxa" w:w="34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keepNext/>
            </w:pPr>
            <w:r>
              <w:rPr>
                <w:b/>
                <w:bCs/>
                <w:color w:val="FFFFFF"/>
              </w:rPr>
              <w:t xml:space="preserve">Notes</w:t>
            </w:r>
          </w:p>
        </w:tc>
      </w:tr>
      <w:tr>
        <w:trPr>
          <w:cantSplit/>
        </w:trPr>
        <w:tc>
          <w:tcPr>
            <w:tcW w:type="dxa" w:w="2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keepNext/>
            </w:pPr>
            <w:r>
              <w:rPr>
                <w:b w:val="false"/>
                <w:bCs w:val="false"/>
              </w:rPr>
              <w:t xml:space="preserve">Password</w:t>
            </w:r>
          </w:p>
        </w:tc>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keepNext/>
            </w:pPr>
            <w:r>
              <w:rPr>
                <w:b w:val="false"/>
                <w:bCs w:val="false"/>
              </w:rPr>
              <w:t xml:space="preserve">Profile → Change password</w:t>
            </w:r>
          </w:p>
        </w:tc>
        <w:tc>
          <w:tcPr>
            <w:tcW w:type="dxa" w:w="34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keepNext/>
            </w:pPr>
            <w:r>
              <w:rPr>
                <w:b w:val="false"/>
                <w:bCs w:val="false"/>
              </w:rPr>
              <w:t xml:space="preserve">12+ chars, mixed; not your last 10; expires ~90 days</w:t>
            </w:r>
          </w:p>
        </w:tc>
      </w:tr>
      <w:tr>
        <w:trPr>
          <w:cantSplit/>
        </w:trPr>
        <w:tc>
          <w:tcPr>
            <w:tcW w:type="dxa" w:w="2900"/>
            <w:tcBorders>
              <w:top w:val="single" w:color="BFBFBF" w:sz="1"/>
              <w:left w:val="single" w:color="BFBFBF" w:sz="1"/>
              <w:bottom w:val="single" w:color="BFBFBF" w:sz="1"/>
              <w:right w:val="single" w:color="BFBFBF" w:sz="1"/>
            </w:tcBorders>
            <w:shd w:fill="F6F9FC" w:val="clear"/>
            <w:tcMar>
              <w:top w:type="dxa" w:w="60"/>
              <w:left w:type="dxa" w:w="110"/>
              <w:bottom w:type="dxa" w:w="60"/>
              <w:right w:type="dxa" w:w="110"/>
            </w:tcMar>
            <w:vAlign w:val="center"/>
          </w:tcPr>
          <w:p>
            <w:pPr>
              <w:keepNext/>
            </w:pPr>
            <w:r>
              <w:rPr>
                <w:b w:val="false"/>
                <w:bCs w:val="false"/>
              </w:rPr>
              <w:t xml:space="preserve">Two-factor authentication</w:t>
            </w:r>
          </w:p>
        </w:tc>
        <w:tc>
          <w:tcPr>
            <w:tcW w:type="dxa" w:w="3000"/>
            <w:tcBorders>
              <w:top w:val="single" w:color="BFBFBF" w:sz="1"/>
              <w:left w:val="single" w:color="BFBFBF" w:sz="1"/>
              <w:bottom w:val="single" w:color="BFBFBF" w:sz="1"/>
              <w:right w:val="single" w:color="BFBFBF" w:sz="1"/>
            </w:tcBorders>
            <w:shd w:fill="F6F9FC" w:val="clear"/>
            <w:tcMar>
              <w:top w:type="dxa" w:w="60"/>
              <w:left w:type="dxa" w:w="110"/>
              <w:bottom w:type="dxa" w:w="60"/>
              <w:right w:type="dxa" w:w="110"/>
            </w:tcMar>
            <w:vAlign w:val="center"/>
          </w:tcPr>
          <w:p>
            <w:pPr>
              <w:keepNext/>
            </w:pPr>
            <w:r>
              <w:rPr>
                <w:b w:val="false"/>
                <w:bCs w:val="false"/>
              </w:rPr>
              <w:t xml:space="preserve">Profile → 2FA toggle</w:t>
            </w:r>
          </w:p>
        </w:tc>
        <w:tc>
          <w:tcPr>
            <w:tcW w:type="dxa" w:w="3460"/>
            <w:tcBorders>
              <w:top w:val="single" w:color="BFBFBF" w:sz="1"/>
              <w:left w:val="single" w:color="BFBFBF" w:sz="1"/>
              <w:bottom w:val="single" w:color="BFBFBF" w:sz="1"/>
              <w:right w:val="single" w:color="BFBFBF" w:sz="1"/>
            </w:tcBorders>
            <w:shd w:fill="F6F9FC" w:val="clear"/>
            <w:tcMar>
              <w:top w:type="dxa" w:w="60"/>
              <w:left w:type="dxa" w:w="110"/>
              <w:bottom w:type="dxa" w:w="60"/>
              <w:right w:type="dxa" w:w="110"/>
            </w:tcMar>
            <w:vAlign w:val="center"/>
          </w:tcPr>
          <w:p>
            <w:pPr>
              <w:keepNext/>
            </w:pPr>
            <w:r>
              <w:rPr>
                <w:b w:val="false"/>
                <w:bCs w:val="false"/>
              </w:rPr>
              <w:t xml:space="preserve">E-mailed 6-digit code; may be mandatory (toggle fixed on)</w:t>
            </w:r>
          </w:p>
        </w:tc>
      </w:tr>
      <w:tr>
        <w:trPr>
          <w:cantSplit/>
        </w:trPr>
        <w:tc>
          <w:tcPr>
            <w:tcW w:type="dxa" w:w="2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keepNext/>
            </w:pPr>
            <w:r>
              <w:rPr>
                <w:b w:val="false"/>
                <w:bCs w:val="false"/>
              </w:rPr>
              <w:t xml:space="preserve">Language</w:t>
            </w:r>
          </w:p>
        </w:tc>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keepNext/>
            </w:pPr>
            <w:r>
              <w:rPr>
                <w:b w:val="false"/>
                <w:bCs w:val="false"/>
              </w:rPr>
              <w:t xml:space="preserve">Profile → preferred language</w:t>
            </w:r>
          </w:p>
        </w:tc>
        <w:tc>
          <w:tcPr>
            <w:tcW w:type="dxa" w:w="34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keepNext/>
            </w:pPr>
            <w:r>
              <w:rPr>
                <w:b w:val="false"/>
                <w:bCs w:val="false"/>
              </w:rPr>
              <w:t xml:space="preserve">Switches immediately; RTL for Arabic/Hebrew/Farsi; sets e-mail language</w:t>
            </w:r>
          </w:p>
        </w:tc>
      </w:tr>
      <w:tr>
        <w:trPr>
          <w:cantSplit/>
        </w:trPr>
        <w:tc>
          <w:tcPr>
            <w:tcW w:type="dxa" w:w="2900"/>
            <w:tcBorders>
              <w:top w:val="single" w:color="BFBFBF" w:sz="1"/>
              <w:left w:val="single" w:color="BFBFBF" w:sz="1"/>
              <w:bottom w:val="single" w:color="BFBFBF" w:sz="1"/>
              <w:right w:val="single" w:color="BFBFBF" w:sz="1"/>
            </w:tcBorders>
            <w:shd w:fill="F6F9FC" w:val="clear"/>
            <w:tcMar>
              <w:top w:type="dxa" w:w="60"/>
              <w:left w:type="dxa" w:w="110"/>
              <w:bottom w:type="dxa" w:w="60"/>
              <w:right w:type="dxa" w:w="110"/>
            </w:tcMar>
            <w:vAlign w:val="center"/>
          </w:tcPr>
          <w:p>
            <w:pPr>
              <w:keepNext/>
            </w:pPr>
            <w:r>
              <w:rPr>
                <w:b w:val="false"/>
                <w:bCs w:val="false"/>
              </w:rPr>
              <w:t xml:space="preserve">Appearance</w:t>
            </w:r>
          </w:p>
        </w:tc>
        <w:tc>
          <w:tcPr>
            <w:tcW w:type="dxa" w:w="3000"/>
            <w:tcBorders>
              <w:top w:val="single" w:color="BFBFBF" w:sz="1"/>
              <w:left w:val="single" w:color="BFBFBF" w:sz="1"/>
              <w:bottom w:val="single" w:color="BFBFBF" w:sz="1"/>
              <w:right w:val="single" w:color="BFBFBF" w:sz="1"/>
            </w:tcBorders>
            <w:shd w:fill="F6F9FC" w:val="clear"/>
            <w:tcMar>
              <w:top w:type="dxa" w:w="60"/>
              <w:left w:type="dxa" w:w="110"/>
              <w:bottom w:type="dxa" w:w="60"/>
              <w:right w:type="dxa" w:w="110"/>
            </w:tcMar>
            <w:vAlign w:val="center"/>
          </w:tcPr>
          <w:p>
            <w:pPr>
              <w:keepNext/>
            </w:pPr>
            <w:r>
              <w:rPr>
                <w:b w:val="false"/>
                <w:bCs w:val="false"/>
              </w:rPr>
              <w:t xml:space="preserve">Profile (if enabled)</w:t>
            </w:r>
          </w:p>
        </w:tc>
        <w:tc>
          <w:tcPr>
            <w:tcW w:type="dxa" w:w="3460"/>
            <w:tcBorders>
              <w:top w:val="single" w:color="BFBFBF" w:sz="1"/>
              <w:left w:val="single" w:color="BFBFBF" w:sz="1"/>
              <w:bottom w:val="single" w:color="BFBFBF" w:sz="1"/>
              <w:right w:val="single" w:color="BFBFBF" w:sz="1"/>
            </w:tcBorders>
            <w:shd w:fill="F6F9FC" w:val="clear"/>
            <w:tcMar>
              <w:top w:type="dxa" w:w="60"/>
              <w:left w:type="dxa" w:w="110"/>
              <w:bottom w:type="dxa" w:w="60"/>
              <w:right w:type="dxa" w:w="110"/>
            </w:tcMar>
            <w:vAlign w:val="center"/>
          </w:tcPr>
          <w:p>
            <w:pPr>
              <w:keepNext/>
            </w:pPr>
            <w:r>
              <w:rPr>
                <w:b w:val="false"/>
                <w:bCs w:val="false"/>
              </w:rPr>
              <w:t xml:space="preserve">Font size / colour from the administrator’s set</w:t>
            </w:r>
          </w:p>
        </w:tc>
      </w:tr>
      <w:tr>
        <w:trPr>
          <w:cantSplit/>
        </w:trPr>
        <w:tc>
          <w:tcPr>
            <w:tcW w:type="dxa" w:w="2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keepNext w:val="false"/>
            </w:pPr>
            <w:r>
              <w:rPr>
                <w:b w:val="false"/>
                <w:bCs w:val="false"/>
              </w:rPr>
              <w:t xml:space="preserve">Forgotten password</w:t>
            </w:r>
          </w:p>
        </w:tc>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keepNext w:val="false"/>
            </w:pPr>
            <w:r>
              <w:rPr>
                <w:b w:val="false"/>
                <w:bCs w:val="false"/>
              </w:rPr>
              <w:t xml:space="preserve">Sign-in page → Forgot password?</w:t>
            </w:r>
          </w:p>
        </w:tc>
        <w:tc>
          <w:tcPr>
            <w:tcW w:type="dxa" w:w="34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keepNext w:val="false"/>
            </w:pPr>
            <w:r>
              <w:rPr>
                <w:b w:val="false"/>
                <w:bCs w:val="false"/>
              </w:rPr>
              <w:t xml:space="preserve">Reset link by e-mail (not changeable inside the app)</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808080"/>
        <w:sz w:val="16"/>
        <w:szCs w:val="16"/>
      </w:rPr>
      <w:t xml:space="preserve">End-user guide B-04</w:t>
    </w:r>
    <w:r>
      <w:rPr>
        <w:color w:val="808080"/>
        <w:sz w:val="16"/>
        <w:szCs w:val="16"/>
      </w:rPr>
      <w:t xml:space="preserve">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4"/>
      </w:pBdr>
    </w:pPr>
    <w:r>
      <w:drawing>
        <wp:inline distT="0" distB="0" distL="0" distR="0">
          <wp:extent cx="685800" cy="161925"/>
          <wp:effectExtent t="0" r="0" b="0" l="0"/>
          <wp:docPr id="1" name="INSIGHTENSE" descr="INSIGHTENSE logo" title="INSIGHTE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85800" cy="161925"/>
                  </a:xfrm>
                  <a:prstGeom prst="rect">
                    <a:avLst/>
                  </a:prstGeom>
                </pic:spPr>
              </pic:pic>
            </a:graphicData>
          </a:graphic>
        </wp:inline>
      </w:drawing>
    </w:r>
    <w:r>
      <w:rPr>
        <w:color w:val="808080"/>
        <w:sz w:val="16"/>
        <w:szCs w:val="16"/>
      </w:rPr>
      <w:t xml:space="preserve">   RTM View Shell — Profile &amp; Settings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2E5496"/>
      <w:sz w:val="25"/>
      <w:szCs w:val="25"/>
    </w:rPr>
  </w:style>
  <w:style w:type="paragraph" w:styleId="Heading3">
    <w:name w:val="Heading 3"/>
    <w:basedOn w:val="Normal"/>
    <w:next w:val="Normal"/>
    <w:qFormat/>
    <w:pPr>
      <w:spacing w:after="80" w:before="16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be1f977a3ba310b1a50a9ff799f6ba89e29b1ce.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8be1f977a3ba310b1a50a9ff799f6ba89e29b1ce.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2026-07-03T07:25:39.963Z</dcterms:created>
  <dcterms:modified xsi:type="dcterms:W3CDTF">2026-07-03T07:25:39.963Z</dcterms:modified>
</cp:coreProperties>
</file>

<file path=docProps/custom.xml><?xml version="1.0" encoding="utf-8"?>
<Properties xmlns="http://schemas.openxmlformats.org/officeDocument/2006/custom-properties" xmlns:vt="http://schemas.openxmlformats.org/officeDocument/2006/docPropsVTypes"/>
</file>