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Widget Catalogue Reference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Browsing the catalogue and the widget types available to a screen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Reference B-06 — for Editors, Administrators and Superadmins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(regenerated)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What the widget catalogue is</w:t>
      </w:r>
    </w:p>
    <w:p>
      <w:pPr>
        <w:keepNext w:val="false"/>
        <w:spacing w:after="120"/>
      </w:pPr>
      <w:r>
        <w:t xml:space="preserve">The widget catalogue is the shared, platform-wide list of widget types that can be placed on a dashboard. It groups widgets into categories so you can find the right one when building a screen. It is browsed from the Widget Catalogue item in the navigation sidebar, available to Editors, Administrators and the Superadmin.</w:t>
      </w:r>
    </w:p>
    <w:p>
      <w:pPr>
        <w:pStyle w:val="Heading1"/>
        <w:keepNext/>
      </w:pPr>
      <w:r>
        <w:t xml:space="preserve">2. Browsing the catalogue</w:t>
      </w:r>
    </w:p>
    <w:p>
      <w:pPr>
        <w:keepNext w:val="false"/>
        <w:spacing w:after="120"/>
      </w:pPr>
      <w:r>
        <w:t xml:space="preserve">Widgets are organised by category and name, each with a short description and an icon. From the screen builder you select one or more widgets to add to a dashboard; the layout and configuration are handled in the screen editor. Inactive widgets are hidden from everyone except the Superadmin, so you only ever see types that are available to use.</w:t>
      </w:r>
    </w:p>
    <w:p>
      <w:pPr>
        <w:pStyle w:val="Heading1"/>
        <w:keepNext/>
      </w:pPr>
      <w:r>
        <w:t xml:space="preserve">3. Categories and widget types</w:t>
      </w:r>
    </w:p>
    <w:p>
      <w:pPr>
        <w:keepNext/>
        <w:spacing w:after="120"/>
      </w:pPr>
      <w:r>
        <w:t xml:space="preserve">The catalogue ships with the following categories and representative widget types; your installation may add more:</w:t>
      </w:r>
    </w:p>
    <w:p>
      <w:pPr>
        <w:pStyle w:val="Heading2"/>
        <w:keepNext/>
      </w:pPr>
      <w:r>
        <w:t xml:space="preserve">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Summary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Headline queue figures — waiting, longest wait, handled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Trend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How a queue’s key measures move over time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Abandoned Calls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Count and rate of calls abandoned in queue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SLA Bar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Service level against target, as a bar</w:t>
            </w:r>
          </w:p>
        </w:tc>
      </w:tr>
    </w:tbl>
    <w:p>
      <w:pPr>
        <w:pStyle w:val="Heading2"/>
        <w:keepNext/>
      </w:pPr>
      <w:r>
        <w:t xml:space="preserve">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Live status of each agent (available, on call, break, …)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List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 roster-style list of agents and their current state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Occupancy Gauge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How busy agents are, as a gauge</w:t>
            </w:r>
          </w:p>
        </w:tc>
      </w:tr>
    </w:tbl>
    <w:p>
      <w:pPr>
        <w:pStyle w:val="Heading2"/>
        <w:keepNext/>
      </w:pPr>
      <w:r>
        <w:t xml:space="preserve">General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Shows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KPI Scorecard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 grid of headline key-performance numbers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Calls Per Hour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Call volume by hour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AHT Chart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Average handle time as a chart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Real-time Ticker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 running feed of notable events</w:t>
            </w:r>
          </w:p>
        </w:tc>
      </w:tr>
    </w:tbl>
    <w:p>
      <w:pPr>
        <w:pStyle w:val="Heading1"/>
        <w:keepNext/>
      </w:pPr>
      <w:r>
        <w:t xml:space="preserve">4. Managing the catalogue (Superadmin)</w:t>
      </w:r>
    </w:p>
    <w:p>
      <w:pPr>
        <w:keepNext w:val="false"/>
        <w:spacing w:after="120"/>
      </w:pPr>
      <w:r>
        <w:t xml:space="preserve">Only the Superadmin can add, edit or deactivate catalogue items, because the catalogue is shared across every tenant. Deactivating an item hides it from all non-Superadmin users without removing it. Editors and Administrators browse and use the catalogue but do not change it. Every catalogue change is recorded in the audit log.</w:t>
      </w:r>
    </w:p>
    <w:p>
      <w:pPr>
        <w:pStyle w:val="Heading1"/>
        <w:keepNext/>
      </w:pPr>
      <w:r>
        <w:t xml:space="preserve">5. Putting a widget on a screen</w:t>
      </w:r>
    </w:p>
    <w:p>
      <w:pPr>
        <w:keepNext w:val="false"/>
        <w:spacing w:after="120"/>
      </w:pPr>
      <w:r>
        <w:t xml:space="preserve">When you create or edit a dashboard, you pick widgets from the catalogue by category. Selecting a widget registers it on the dashboard; arranging and configuring it happens in the screen editor. The dashboard you build is what the Dashboard Viewer (B-05) presents to users.</w:t>
      </w:r>
    </w:p>
    <w:p>
      <w:r>
        <w:br w:type="page"/>
      </w:r>
    </w:p>
    <w:p>
      <w:pPr>
        <w:pStyle w:val="Heading1"/>
        <w:keepNext/>
      </w:pPr>
      <w:r>
        <w:t xml:space="preserve">Appendix A — Catalogue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Widget types (ships with)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Queue Summary · Queue Trend · Abandoned Calls · SLA Bar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Agent Status · Agent List · Occupancy Gauge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General metrics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KPI Scorecard · Calls Per Hour · AHT Chart · Real-time Ticker</w:t>
            </w:r>
          </w:p>
        </w:tc>
      </w:tr>
    </w:tbl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Access: </w:t>
      </w:r>
      <w:r>
        <w:t xml:space="preserve">browse — Editor, Administrator, Superadmin; manage (add/edit/deactivate) — Superadmin only; deactivated items are hidden from non-Superadmin.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Reference B-06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Widget Catalogue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2026-07-03T07:26:32.211Z</dcterms:created>
  <dcterms:modified xsi:type="dcterms:W3CDTF">2026-07-03T07:26:32.212Z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