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BFE" w:rsidRPr="00372BFE" w:rsidRDefault="00372BFE" w:rsidP="00372BFE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372BFE">
        <w:rPr>
          <w:rFonts w:ascii="Times New Roman" w:eastAsia="Times New Roman" w:hAnsi="Times New Roman" w:cs="Times New Roman"/>
          <w:lang w:val="ru-RU"/>
        </w:rPr>
        <w:t>МОСКОВСКИЙ ГОСУДАРСТВЕННЫЙ УНИВЕРСИТЕТ имени М.В.ЛОМОНОСОВА</w:t>
      </w:r>
    </w:p>
    <w:p w:rsidR="00372BFE" w:rsidRPr="00372BFE" w:rsidRDefault="00372BFE" w:rsidP="00372BFE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372BFE">
        <w:rPr>
          <w:rFonts w:ascii="Times New Roman" w:eastAsia="Times New Roman" w:hAnsi="Times New Roman" w:cs="Times New Roman"/>
          <w:lang w:val="ru-RU"/>
        </w:rPr>
        <w:t>ФАКУЛЬТЕТ ВЫЧИСЛИТЕЛЬНОЙ МАТЕМАТИКИ И КИБЕРНЕТИКИ</w:t>
      </w:r>
    </w:p>
    <w:p w:rsidR="00372BFE" w:rsidRPr="00372BFE" w:rsidRDefault="00372BFE" w:rsidP="00372BFE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Рецензия на магистерскую диссертацию</w:t>
      </w:r>
    </w:p>
    <w:p w:rsidR="00C272BA" w:rsidRPr="00372BFE" w:rsidRDefault="00AE72FF" w:rsidP="00372BFE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Кирякина Максима Валерьевича</w:t>
      </w:r>
      <w:r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="00372BFE"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«</w:t>
      </w:r>
      <w:r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Модель управления кредитным портфелем с учётом влияния </w:t>
      </w:r>
      <w:r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макроэкономических факторов</w:t>
      </w:r>
      <w:r w:rsidR="00372BFE"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»</w:t>
      </w:r>
    </w:p>
    <w:p w:rsidR="00C272BA" w:rsidRPr="00372BFE" w:rsidRDefault="00AE72FF" w:rsidP="00372BFE">
      <w:pPr>
        <w:pStyle w:val="a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сегодняшний день методы количественного управления кредитным риском (структурные модели Мертона, реализации Risk Parity, оптимизация на основе CVaR) активно применяются в практике крупных банков, однако их интеграция в един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ый алгоритмический комплекс, учитывающий влияние макроэкономических факторов на динамику дистанции до дефолта в условиях российского рынка, остаётся актуальной нерешённой задачей. Данная работа посвящена разработке такой интегрированной методики и её прогр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аммной реализации.</w:t>
      </w:r>
      <w:bookmarkStart w:id="0" w:name="_GoBack"/>
      <w:bookmarkEnd w:id="0"/>
    </w:p>
    <w:p w:rsidR="00C272BA" w:rsidRPr="00372BFE" w:rsidRDefault="00AE72FF" w:rsidP="00372BFE">
      <w:pPr>
        <w:pStyle w:val="a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 работе Кирякина М. В. адаптирована структурная модель Мертона к специфике российского рынка с явным обоснованием калибровки регуляторных параметров; построена панельная регрессия с фиксированными эффектами эмитентов, оценивающая чувств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ительность дистанции до дефолта к четырём макрофакторам; разработана многокритериальная оптимизационная модель ребалансировки с CVaR-ограничением и секторальными лимитами; предложено обобщение стратегии Risk Parity на случай учёта кредитного риска. Автор р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еализовал все методы в виде воспроизводимой Python-библиотеки и продемонстрировал работу алгоритма на портфеле из 14 публичных российских эмитентов за период 2018–2024 гг., включая стрессовые периоды 2020 и 2022 годов. Знаки коэффициентов панельной регресс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ии экономически осмыслены, выводы о сравнительной эффективности динамических стратегий относительно равновзвешенного портфеля подтверждаются на нескольких пересекающихся 12-месячных окнах.</w:t>
      </w:r>
    </w:p>
    <w:p w:rsidR="00C272BA" w:rsidRPr="00372BFE" w:rsidRDefault="00AE72FF" w:rsidP="00372BFE">
      <w:pPr>
        <w:pStyle w:val="a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 недостаткам данной работы можно отнести: отсутствие в модели явно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го учёта мер государственной поддержки крупных российских эмитентов (субсидии, налоговые льготы, программы льготного кредитования системообразующих организаций), что в условиях 2020 и 2022 годов могло существенно влиять на фактическую динамику кредитного к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ачества; допущение постоянного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LGD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4</m:t>
        </m:r>
      </m:oMath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оправданное регуляторно, но упрощающее реальную динамику восстановления при дефолте; отсутствие фактических дефолтов в выборке публичных эмитентов и, как следствие, косвенный характер валидации модели Мертона (чер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ез сопоставление с динамикой кредитных рейтингов); отсутствие самостоятельных публикаций автора по теме исследования на момент защиты.</w:t>
      </w:r>
    </w:p>
    <w:p w:rsidR="00C272BA" w:rsidRDefault="00AE72FF" w:rsidP="00372BFE">
      <w:pPr>
        <w:pStyle w:val="a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Однако цели работы достигнуты, получены ценные результаты, имеющие практическую значимость для риск-подразделений коммерч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еских банков, а указанные недостатки не являются критическими. Поэтому рекомендуется оценить магистерскую диссертацию Кирякина М. В. на хорошо (4).</w:t>
      </w:r>
    </w:p>
    <w:p w:rsidR="00372BFE" w:rsidRPr="00372BFE" w:rsidRDefault="00372BFE" w:rsidP="00372BFE">
      <w:pPr>
        <w:pStyle w:val="a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C272BA" w:rsidRPr="00372BFE" w:rsidRDefault="00AE72FF">
      <w:pPr>
        <w:pStyle w:val="a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Рецензент:</w:t>
      </w:r>
      <w:r w:rsidRPr="00372B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должность, место работы</w:t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72BFE" w:rsidRPr="00372BF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72BFE" w:rsidRPr="00372BF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И.О.Фамилия</w:t>
      </w:r>
    </w:p>
    <w:sectPr w:rsidR="00C272BA" w:rsidRPr="00372BF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2FF" w:rsidRDefault="00AE72FF">
      <w:pPr>
        <w:spacing w:after="0"/>
      </w:pPr>
      <w:r>
        <w:separator/>
      </w:r>
    </w:p>
  </w:endnote>
  <w:endnote w:type="continuationSeparator" w:id="0">
    <w:p w:rsidR="00AE72FF" w:rsidRDefault="00AE72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2FF" w:rsidRDefault="00AE72FF">
      <w:r>
        <w:separator/>
      </w:r>
    </w:p>
  </w:footnote>
  <w:footnote w:type="continuationSeparator" w:id="0">
    <w:p w:rsidR="00AE72FF" w:rsidRDefault="00AE7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DF23B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72BA"/>
    <w:rsid w:val="00372BFE"/>
    <w:rsid w:val="00AE72FF"/>
    <w:rsid w:val="00C2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29B0"/>
  <w15:docId w15:val="{E5EBB3B8-654E-4660-BB23-ADA93702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Maxim</cp:lastModifiedBy>
  <cp:revision>2</cp:revision>
  <dcterms:created xsi:type="dcterms:W3CDTF">2026-04-30T21:42:00Z</dcterms:created>
  <dcterms:modified xsi:type="dcterms:W3CDTF">2026-04-30T23:08:00Z</dcterms:modified>
</cp:coreProperties>
</file>