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cs="Calibri"/>
          <w:b/>
          <w:color w:val="312E81"/>
          <w:sz w:val="40"/>
        </w:rPr>
        <w:t>SkillProof — текст выступления по слайдам</w:t>
      </w:r>
    </w:p>
    <w:p>
      <w:pPr>
        <w:spacing w:after="200"/>
      </w:pPr>
      <w:r>
        <w:rPr>
          <w:rFonts w:ascii="Calibri" w:hAnsi="Calibri" w:cs="Calibri"/>
          <w:color w:val="6B7080"/>
          <w:sz w:val="22"/>
        </w:rPr>
        <w:t>Пятиминутный питч · 10 слайдов · два спикера (S1 / S2)</w:t>
      </w:r>
    </w:p>
    <w:tbl>
      <w:tblPr>
        <w:tblStyle w:val="TableGrid"/>
        <w:tblW w:type="auto" w:w="0"/>
        <w:jc w:val="center"/>
        <w:tblLayout w:type="fixed"/>
        <w:tblLook w:firstColumn="1" w:firstRow="1" w:lastColumn="0" w:lastRow="0" w:noHBand="0" w:noVBand="1" w:val="04A0"/>
      </w:tblPr>
      <w:tblGrid>
        <w:gridCol w:w="3756"/>
        <w:gridCol w:w="3756"/>
        <w:gridCol w:w="3756"/>
        <w:gridCol w:w="3756"/>
      </w:tblGrid>
      <w:tr>
        <w:trPr>
          <w:tblHeader w:val="true"/>
        </w:trPr>
        <w:tc>
          <w:tcPr>
            <w:tcW w:type="dxa" w:w="680"/>
            <w:shd w:val="clear" w:fill="4F46E5"/>
            <w:vAlign w:val="center"/>
          </w:tcPr>
          <w:p>
            <w:pPr>
              <w:spacing w:line="240" w:lineRule="auto" w:after="80" w:before="0"/>
              <w:ind w:firstLine="0"/>
              <w:jc w:val="center"/>
            </w:pPr>
            <w:r>
              <w:rPr>
                <w:rFonts w:ascii="Calibri" w:hAnsi="Calibri" w:cs="Calibri"/>
                <w:b/>
                <w:i w:val="0"/>
                <w:color w:val="FFFFFF"/>
                <w:sz w:val="21"/>
              </w:rPr>
              <w:t>№</w:t>
            </w:r>
          </w:p>
        </w:tc>
        <w:tc>
          <w:tcPr>
            <w:tcW w:type="dxa" w:w="2948"/>
            <w:shd w:val="clear" w:fill="4F46E5"/>
            <w:vAlign w:val="center"/>
          </w:tcPr>
          <w:p>
            <w:pPr>
              <w:spacing w:line="240" w:lineRule="auto" w:after="80" w:before="0"/>
              <w:ind w:firstLine="0"/>
              <w:jc w:val="left"/>
            </w:pPr>
            <w:r>
              <w:rPr>
                <w:rFonts w:ascii="Calibri" w:hAnsi="Calibri" w:cs="Calibri"/>
                <w:b/>
                <w:i w:val="0"/>
                <w:color w:val="FFFFFF"/>
                <w:sz w:val="21"/>
              </w:rPr>
              <w:t>Слайд</w:t>
            </w:r>
          </w:p>
        </w:tc>
        <w:tc>
          <w:tcPr>
            <w:tcW w:type="dxa" w:w="10091"/>
            <w:shd w:val="clear" w:fill="4F46E5"/>
            <w:vAlign w:val="center"/>
          </w:tcPr>
          <w:p>
            <w:pPr>
              <w:spacing w:line="240" w:lineRule="auto" w:after="80" w:before="0"/>
              <w:ind w:firstLine="0"/>
              <w:jc w:val="left"/>
            </w:pPr>
            <w:r>
              <w:rPr>
                <w:rFonts w:ascii="Calibri" w:hAnsi="Calibri" w:cs="Calibri"/>
                <w:b/>
                <w:i w:val="0"/>
                <w:color w:val="FFFFFF"/>
                <w:sz w:val="21"/>
              </w:rPr>
              <w:t>Что говорить</w:t>
            </w:r>
          </w:p>
        </w:tc>
        <w:tc>
          <w:tcPr>
            <w:tcW w:type="dxa" w:w="1247"/>
            <w:shd w:val="clear" w:fill="4F46E5"/>
            <w:vAlign w:val="center"/>
          </w:tcPr>
          <w:p>
            <w:pPr>
              <w:spacing w:line="240" w:lineRule="auto" w:after="80" w:before="0"/>
              <w:ind w:firstLine="0"/>
              <w:jc w:val="center"/>
            </w:pPr>
            <w:r>
              <w:rPr>
                <w:rFonts w:ascii="Calibri" w:hAnsi="Calibri" w:cs="Calibri"/>
                <w:b/>
                <w:i w:val="0"/>
                <w:color w:val="FFFFFF"/>
                <w:sz w:val="21"/>
              </w:rPr>
              <w:t>Время</w:t>
            </w:r>
          </w:p>
        </w:tc>
      </w:tr>
      <w:tr>
        <w:tc>
          <w:tcPr>
            <w:tcW w:type="dxa" w:w="680"/>
            <w:vAlign w:val="center"/>
          </w:tcPr>
          <w:p>
            <w:pPr>
              <w:spacing w:line="240" w:lineRule="auto" w:after="80" w:before="0"/>
              <w:ind w:firstLine="0"/>
              <w:jc w:val="center"/>
            </w:pPr>
            <w:r>
              <w:rPr>
                <w:rFonts w:ascii="Calibri" w:hAnsi="Calibri" w:cs="Calibri"/>
                <w:b/>
                <w:i w:val="0"/>
                <w:color w:val="312E81"/>
                <w:sz w:val="21"/>
              </w:rPr>
              <w:t>1</w:t>
            </w:r>
          </w:p>
        </w:tc>
        <w:tc>
          <w:tcPr>
            <w:tcW w:type="dxa" w:w="2948"/>
            <w:vAlign w:val="top"/>
          </w:tcPr>
          <w:p>
            <w:pPr>
              <w:spacing w:line="240" w:lineRule="auto" w:after="80" w:before="0"/>
              <w:ind w:firstLine="0"/>
              <w:jc w:val="left"/>
            </w:pPr>
            <w:r>
              <w:rPr>
                <w:rFonts w:ascii="Calibri" w:hAnsi="Calibri" w:cs="Calibri"/>
                <w:b/>
                <w:i w:val="0"/>
                <w:color w:val="1B1E28"/>
                <w:sz w:val="21"/>
              </w:rPr>
              <w:t>Title — Turn study into a career</w:t>
            </w:r>
          </w:p>
        </w:tc>
        <w:tc>
          <w:tcPr>
            <w:tcW w:type="dxa" w:w="10091"/>
            <w:vAlign w:val="top"/>
          </w:tcPr>
          <w:p>
            <w:pPr>
              <w:spacing w:line="240" w:lineRule="auto" w:after="80" w:before="0"/>
              <w:ind w:firstLine="0"/>
              <w:jc w:val="left"/>
            </w:pPr>
            <w:r>
              <w:rPr>
                <w:rFonts w:ascii="Calibri" w:hAnsi="Calibri" w:cs="Calibri"/>
                <w:b/>
                <w:i/>
                <w:color w:val="1B1E28"/>
                <w:sz w:val="21"/>
              </w:rPr>
              <w:t xml:space="preserve">(вступление) </w:t>
            </w:r>
            <w:r>
              <w:rPr>
                <w:rFonts w:ascii="Calibri" w:hAnsi="Calibri" w:cs="Calibri"/>
                <w:b w:val="0"/>
                <w:i/>
                <w:color w:val="1B1E28"/>
                <w:sz w:val="21"/>
              </w:rPr>
              <w:t>«Good afternoon. Imagine a talented student who codes every day — yet to employers looks like someone who does nothing. SkillProof fixes that.»</w:t>
            </w:r>
          </w:p>
        </w:tc>
        <w:tc>
          <w:tcPr>
            <w:tcW w:type="dxa" w:w="1247"/>
            <w:vAlign w:val="center"/>
          </w:tcPr>
          <w:p>
            <w:pPr>
              <w:spacing w:line="240" w:lineRule="auto" w:after="80" w:before="0"/>
              <w:ind w:firstLine="0"/>
              <w:jc w:val="center"/>
            </w:pPr>
            <w:r>
              <w:rPr>
                <w:rFonts w:ascii="Calibri" w:hAnsi="Calibri" w:cs="Calibri"/>
                <w:b/>
                <w:i w:val="0"/>
                <w:color w:val="4F46E5"/>
                <w:sz w:val="21"/>
              </w:rPr>
              <w:t>~0:12</w:t>
            </w:r>
          </w:p>
        </w:tc>
      </w:tr>
      <w:tr>
        <w:tc>
          <w:tcPr>
            <w:tcW w:type="dxa" w:w="680"/>
            <w:shd w:val="clear" w:fill="F4F4FB"/>
            <w:vAlign w:val="center"/>
          </w:tcPr>
          <w:p>
            <w:pPr>
              <w:spacing w:line="240" w:lineRule="auto" w:after="80" w:before="0"/>
              <w:ind w:firstLine="0"/>
              <w:jc w:val="center"/>
            </w:pPr>
            <w:r>
              <w:rPr>
                <w:rFonts w:ascii="Calibri" w:hAnsi="Calibri" w:cs="Calibri"/>
                <w:b/>
                <w:i w:val="0"/>
                <w:color w:val="312E81"/>
                <w:sz w:val="21"/>
              </w:rPr>
              <w:t>2</w:t>
            </w:r>
          </w:p>
        </w:tc>
        <w:tc>
          <w:tcPr>
            <w:tcW w:type="dxa" w:w="2948"/>
            <w:shd w:val="clear" w:fill="F4F4FB"/>
            <w:vAlign w:val="top"/>
          </w:tcPr>
          <w:p>
            <w:pPr>
              <w:spacing w:line="240" w:lineRule="auto" w:after="80" w:before="0"/>
              <w:ind w:firstLine="0"/>
              <w:jc w:val="left"/>
            </w:pPr>
            <w:r>
              <w:rPr>
                <w:rFonts w:ascii="Calibri" w:hAnsi="Calibri" w:cs="Calibri"/>
                <w:b/>
                <w:i w:val="0"/>
                <w:color w:val="1B1E28"/>
                <w:sz w:val="21"/>
              </w:rPr>
              <w:t>The idea — closed loop</w:t>
            </w:r>
          </w:p>
        </w:tc>
        <w:tc>
          <w:tcPr>
            <w:tcW w:type="dxa" w:w="10091"/>
            <w:shd w:val="clear" w:fill="F4F4FB"/>
            <w:vAlign w:val="top"/>
          </w:tcPr>
          <w:p>
            <w:pPr>
              <w:spacing w:line="240" w:lineRule="auto" w:after="80" w:before="0"/>
              <w:ind w:firstLine="0"/>
              <w:jc w:val="left"/>
            </w:pPr>
            <w:r>
              <w:rPr>
                <w:rFonts w:ascii="Calibri" w:hAnsi="Calibri" w:cs="Calibri"/>
                <w:b/>
                <w:i/>
                <w:color w:val="1B1E28"/>
                <w:sz w:val="21"/>
              </w:rPr>
              <w:t xml:space="preserve">(мостик) </w:t>
            </w:r>
            <w:r>
              <w:rPr>
                <w:rFonts w:ascii="Calibri" w:hAnsi="Calibri" w:cs="Calibri"/>
                <w:b w:val="0"/>
                <w:i/>
                <w:color w:val="1B1E28"/>
                <w:sz w:val="21"/>
              </w:rPr>
              <w:t>«The principle is one simple loop: daily activity is tracked automatically, turned into a verified Skill Score, and recruiters reach out to engaged talent. Let me show you how.»</w:t>
            </w:r>
          </w:p>
        </w:tc>
        <w:tc>
          <w:tcPr>
            <w:tcW w:type="dxa" w:w="1247"/>
            <w:shd w:val="clear" w:fill="F4F4FB"/>
            <w:vAlign w:val="center"/>
          </w:tcPr>
          <w:p>
            <w:pPr>
              <w:spacing w:line="240" w:lineRule="auto" w:after="80" w:before="0"/>
              <w:ind w:firstLine="0"/>
              <w:jc w:val="center"/>
            </w:pPr>
            <w:r>
              <w:rPr>
                <w:rFonts w:ascii="Calibri" w:hAnsi="Calibri" w:cs="Calibri"/>
                <w:b/>
                <w:i w:val="0"/>
                <w:color w:val="4F46E5"/>
                <w:sz w:val="21"/>
              </w:rPr>
              <w:t>~0:18</w:t>
            </w:r>
          </w:p>
        </w:tc>
      </w:tr>
      <w:tr>
        <w:tc>
          <w:tcPr>
            <w:tcW w:type="dxa" w:w="680"/>
            <w:vAlign w:val="center"/>
          </w:tcPr>
          <w:p>
            <w:pPr>
              <w:spacing w:line="240" w:lineRule="auto" w:after="80" w:before="0"/>
              <w:ind w:firstLine="0"/>
              <w:jc w:val="center"/>
            </w:pPr>
            <w:r>
              <w:rPr>
                <w:rFonts w:ascii="Calibri" w:hAnsi="Calibri" w:cs="Calibri"/>
                <w:b/>
                <w:i w:val="0"/>
                <w:color w:val="312E81"/>
                <w:sz w:val="21"/>
              </w:rPr>
              <w:t>3</w:t>
            </w:r>
          </w:p>
        </w:tc>
        <w:tc>
          <w:tcPr>
            <w:tcW w:type="dxa" w:w="2948"/>
            <w:vAlign w:val="top"/>
          </w:tcPr>
          <w:p>
            <w:pPr>
              <w:spacing w:line="240" w:lineRule="auto" w:after="80" w:before="0"/>
              <w:ind w:firstLine="0"/>
              <w:jc w:val="left"/>
            </w:pPr>
            <w:r>
              <w:rPr>
                <w:rFonts w:ascii="Calibri" w:hAnsi="Calibri" w:cs="Calibri"/>
                <w:b/>
                <w:i w:val="0"/>
                <w:color w:val="1B1E28"/>
                <w:sz w:val="21"/>
              </w:rPr>
              <w:t>No manual logging</w:t>
            </w:r>
          </w:p>
        </w:tc>
        <w:tc>
          <w:tcPr>
            <w:tcW w:type="dxa" w:w="10091"/>
            <w:vAlign w:val="top"/>
          </w:tcPr>
          <w:p>
            <w:pPr>
              <w:spacing w:line="240" w:lineRule="auto" w:after="80" w:before="0"/>
              <w:ind w:firstLine="0"/>
              <w:jc w:val="left"/>
            </w:pPr>
            <w:r>
              <w:rPr>
                <w:rFonts w:ascii="Calibri" w:hAnsi="Calibri" w:cs="Calibri"/>
                <w:b w:val="0"/>
                <w:i w:val="0"/>
                <w:color w:val="1B1E28"/>
                <w:sz w:val="21"/>
              </w:rPr>
              <w:t>«Crucially, students are not required to manually log every action. SkillProof supports integrations with dozens of services and university systems. Even when a dedicated API is unavailable, activities can be recorded manually and validated through a short quiz or photographic evidence. In this way, progress becomes fully documented and reliable.»</w:t>
            </w:r>
          </w:p>
        </w:tc>
        <w:tc>
          <w:tcPr>
            <w:tcW w:type="dxa" w:w="1247"/>
            <w:vAlign w:val="center"/>
          </w:tcPr>
          <w:p>
            <w:pPr>
              <w:spacing w:line="240" w:lineRule="auto" w:after="80" w:before="0"/>
              <w:ind w:firstLine="0"/>
              <w:jc w:val="center"/>
            </w:pPr>
            <w:r>
              <w:rPr>
                <w:rFonts w:ascii="Calibri" w:hAnsi="Calibri" w:cs="Calibri"/>
                <w:b/>
                <w:i w:val="0"/>
                <w:color w:val="4F46E5"/>
                <w:sz w:val="21"/>
              </w:rPr>
              <w:t>0:20</w:t>
            </w:r>
          </w:p>
        </w:tc>
      </w:tr>
      <w:tr>
        <w:tc>
          <w:tcPr>
            <w:tcW w:type="dxa" w:w="680"/>
            <w:shd w:val="clear" w:fill="F4F4FB"/>
            <w:vAlign w:val="center"/>
          </w:tcPr>
          <w:p>
            <w:pPr>
              <w:spacing w:line="240" w:lineRule="auto" w:after="80" w:before="0"/>
              <w:ind w:firstLine="0"/>
              <w:jc w:val="center"/>
            </w:pPr>
            <w:r>
              <w:rPr>
                <w:rFonts w:ascii="Calibri" w:hAnsi="Calibri" w:cs="Calibri"/>
                <w:b/>
                <w:i w:val="0"/>
                <w:color w:val="312E81"/>
                <w:sz w:val="21"/>
              </w:rPr>
              <w:t>4</w:t>
            </w:r>
          </w:p>
        </w:tc>
        <w:tc>
          <w:tcPr>
            <w:tcW w:type="dxa" w:w="2948"/>
            <w:shd w:val="clear" w:fill="F4F4FB"/>
            <w:vAlign w:val="top"/>
          </w:tcPr>
          <w:p>
            <w:pPr>
              <w:spacing w:line="240" w:lineRule="auto" w:after="80" w:before="0"/>
              <w:ind w:firstLine="0"/>
              <w:jc w:val="left"/>
            </w:pPr>
            <w:r>
              <w:rPr>
                <w:rFonts w:ascii="Calibri" w:hAnsi="Calibri" w:cs="Calibri"/>
                <w:b/>
                <w:i w:val="0"/>
                <w:color w:val="1B1E28"/>
                <w:sz w:val="21"/>
              </w:rPr>
              <w:t>Social network &amp; Challenges</w:t>
            </w:r>
          </w:p>
        </w:tc>
        <w:tc>
          <w:tcPr>
            <w:tcW w:type="dxa" w:w="10091"/>
            <w:shd w:val="clear" w:fill="F4F4FB"/>
            <w:vAlign w:val="top"/>
          </w:tcPr>
          <w:p>
            <w:pPr>
              <w:spacing w:line="240" w:lineRule="auto" w:after="80" w:before="0"/>
              <w:ind w:firstLine="0"/>
              <w:jc w:val="left"/>
            </w:pPr>
            <w:r>
              <w:rPr>
                <w:rFonts w:ascii="Calibri" w:hAnsi="Calibri" w:cs="Calibri"/>
                <w:b w:val="0"/>
                <w:i w:val="0"/>
                <w:color w:val="1B1E28"/>
                <w:sz w:val="21"/>
              </w:rPr>
              <w:t>«Motivation should never be an isolated endeavour. Students can engage in one-on-one duels, form guilds based on shared interests, or assign themselves an accountability partner. A linguist and a historian might challenge each other to read a greater volume of professional literature within a month. The community provides both support and gentle pressure to move forward.»</w:t>
            </w:r>
          </w:p>
        </w:tc>
        <w:tc>
          <w:tcPr>
            <w:tcW w:type="dxa" w:w="1247"/>
            <w:shd w:val="clear" w:fill="F4F4FB"/>
            <w:vAlign w:val="center"/>
          </w:tcPr>
          <w:p>
            <w:pPr>
              <w:spacing w:line="240" w:lineRule="auto" w:after="80" w:before="0"/>
              <w:ind w:firstLine="0"/>
              <w:jc w:val="center"/>
            </w:pPr>
            <w:r>
              <w:rPr>
                <w:rFonts w:ascii="Calibri" w:hAnsi="Calibri" w:cs="Calibri"/>
                <w:b/>
                <w:i w:val="0"/>
                <w:color w:val="4F46E5"/>
                <w:sz w:val="21"/>
              </w:rPr>
              <w:t>0:25</w:t>
            </w:r>
          </w:p>
        </w:tc>
      </w:tr>
      <w:tr>
        <w:tc>
          <w:tcPr>
            <w:tcW w:type="dxa" w:w="680"/>
            <w:vAlign w:val="center"/>
          </w:tcPr>
          <w:p>
            <w:pPr>
              <w:spacing w:line="240" w:lineRule="auto" w:after="80" w:before="0"/>
              <w:ind w:firstLine="0"/>
              <w:jc w:val="center"/>
            </w:pPr>
            <w:r>
              <w:rPr>
                <w:rFonts w:ascii="Calibri" w:hAnsi="Calibri" w:cs="Calibri"/>
                <w:b/>
                <w:i w:val="0"/>
                <w:color w:val="312E81"/>
                <w:sz w:val="21"/>
              </w:rPr>
              <w:t>5</w:t>
            </w:r>
          </w:p>
        </w:tc>
        <w:tc>
          <w:tcPr>
            <w:tcW w:type="dxa" w:w="2948"/>
            <w:vAlign w:val="top"/>
          </w:tcPr>
          <w:p>
            <w:pPr>
              <w:spacing w:line="240" w:lineRule="auto" w:after="80" w:before="0"/>
              <w:ind w:firstLine="0"/>
              <w:jc w:val="left"/>
            </w:pPr>
            <w:r>
              <w:rPr>
                <w:rFonts w:ascii="Calibri" w:hAnsi="Calibri" w:cs="Calibri"/>
                <w:b/>
                <w:i w:val="0"/>
                <w:color w:val="1B1E28"/>
                <w:sz w:val="21"/>
              </w:rPr>
              <w:t>Gamification &amp; Skill Score</w:t>
            </w:r>
          </w:p>
        </w:tc>
        <w:tc>
          <w:tcPr>
            <w:tcW w:type="dxa" w:w="10091"/>
            <w:vAlign w:val="top"/>
          </w:tcPr>
          <w:p>
            <w:pPr>
              <w:spacing w:line="240" w:lineRule="auto" w:after="80" w:before="0"/>
              <w:ind w:firstLine="0"/>
              <w:jc w:val="left"/>
            </w:pPr>
            <w:r>
              <w:rPr>
                <w:rFonts w:ascii="Calibri" w:hAnsi="Calibri" w:cs="Calibri"/>
                <w:b w:val="0"/>
                <w:i w:val="0"/>
                <w:color w:val="1B1E28"/>
                <w:sz w:val="21"/>
              </w:rPr>
              <w:t>«All activity is converted into a Skill Score — an integrated measure of discipline and skill depth. Leagues from Bronze to Diamond indicate a student's standing. No payment is required for any feature; this is straightforward gamification that transforms routine into a game and grants students well-earned recognition.»</w:t>
            </w:r>
          </w:p>
        </w:tc>
        <w:tc>
          <w:tcPr>
            <w:tcW w:type="dxa" w:w="1247"/>
            <w:vAlign w:val="center"/>
          </w:tcPr>
          <w:p>
            <w:pPr>
              <w:spacing w:line="240" w:lineRule="auto" w:after="80" w:before="0"/>
              <w:ind w:firstLine="0"/>
              <w:jc w:val="center"/>
            </w:pPr>
            <w:r>
              <w:rPr>
                <w:rFonts w:ascii="Calibri" w:hAnsi="Calibri" w:cs="Calibri"/>
                <w:b/>
                <w:i w:val="0"/>
                <w:color w:val="4F46E5"/>
                <w:sz w:val="21"/>
              </w:rPr>
              <w:t>0:20</w:t>
            </w:r>
          </w:p>
        </w:tc>
      </w:tr>
      <w:tr>
        <w:tc>
          <w:tcPr>
            <w:tcW w:type="dxa" w:w="680"/>
            <w:shd w:val="clear" w:fill="F4F4FB"/>
            <w:vAlign w:val="center"/>
          </w:tcPr>
          <w:p>
            <w:pPr>
              <w:spacing w:line="240" w:lineRule="auto" w:after="80" w:before="0"/>
              <w:ind w:firstLine="0"/>
              <w:jc w:val="center"/>
            </w:pPr>
            <w:r>
              <w:rPr>
                <w:rFonts w:ascii="Calibri" w:hAnsi="Calibri" w:cs="Calibri"/>
                <w:b/>
                <w:i w:val="0"/>
                <w:color w:val="312E81"/>
                <w:sz w:val="21"/>
              </w:rPr>
              <w:t>6</w:t>
            </w:r>
          </w:p>
        </w:tc>
        <w:tc>
          <w:tcPr>
            <w:tcW w:type="dxa" w:w="2948"/>
            <w:shd w:val="clear" w:fill="F4F4FB"/>
            <w:vAlign w:val="top"/>
          </w:tcPr>
          <w:p>
            <w:pPr>
              <w:spacing w:line="240" w:lineRule="auto" w:after="80" w:before="0"/>
              <w:ind w:firstLine="0"/>
              <w:jc w:val="left"/>
            </w:pPr>
            <w:r>
              <w:rPr>
                <w:rFonts w:ascii="Calibri" w:hAnsi="Calibri" w:cs="Calibri"/>
                <w:b/>
                <w:i w:val="0"/>
                <w:color w:val="1B1E28"/>
                <w:sz w:val="21"/>
              </w:rPr>
              <w:t>Career Passport</w:t>
            </w:r>
          </w:p>
        </w:tc>
        <w:tc>
          <w:tcPr>
            <w:tcW w:type="dxa" w:w="10091"/>
            <w:shd w:val="clear" w:fill="F4F4FB"/>
            <w:vAlign w:val="top"/>
          </w:tcPr>
          <w:p>
            <w:pPr>
              <w:spacing w:line="240" w:lineRule="auto" w:after="80" w:before="0"/>
              <w:ind w:firstLine="0"/>
              <w:jc w:val="left"/>
            </w:pPr>
            <w:r>
              <w:rPr>
                <w:rFonts w:ascii="Calibri" w:hAnsi="Calibri" w:cs="Calibri"/>
                <w:b w:val="0"/>
                <w:i w:val="0"/>
                <w:color w:val="1B1E28"/>
                <w:sz w:val="21"/>
              </w:rPr>
              <w:t>«When a student feels ready, they can respond to an internship directly through the platform. The recruiter receives not a generic cover letter, but a transparent history of growth. This is precisely what we term the “Career Passport”. I will now hand over to my colleague.»</w:t>
            </w:r>
          </w:p>
        </w:tc>
        <w:tc>
          <w:tcPr>
            <w:tcW w:type="dxa" w:w="1247"/>
            <w:shd w:val="clear" w:fill="F4F4FB"/>
            <w:vAlign w:val="center"/>
          </w:tcPr>
          <w:p>
            <w:pPr>
              <w:spacing w:line="240" w:lineRule="auto" w:after="80" w:before="0"/>
              <w:ind w:firstLine="0"/>
              <w:jc w:val="center"/>
            </w:pPr>
            <w:r>
              <w:rPr>
                <w:rFonts w:ascii="Calibri" w:hAnsi="Calibri" w:cs="Calibri"/>
                <w:b/>
                <w:i w:val="0"/>
                <w:color w:val="4F46E5"/>
                <w:sz w:val="21"/>
              </w:rPr>
              <w:t>0:15</w:t>
            </w:r>
          </w:p>
        </w:tc>
      </w:tr>
      <w:tr>
        <w:tc>
          <w:tcPr>
            <w:tcW w:type="dxa" w:w="680"/>
            <w:vAlign w:val="center"/>
          </w:tcPr>
          <w:p>
            <w:pPr>
              <w:spacing w:line="240" w:lineRule="auto" w:after="80" w:before="0"/>
              <w:ind w:firstLine="0"/>
              <w:jc w:val="center"/>
            </w:pPr>
            <w:r>
              <w:rPr>
                <w:rFonts w:ascii="Calibri" w:hAnsi="Calibri" w:cs="Calibri"/>
                <w:b/>
                <w:i w:val="0"/>
                <w:color w:val="312E81"/>
                <w:sz w:val="21"/>
              </w:rPr>
              <w:t>7</w:t>
            </w:r>
          </w:p>
        </w:tc>
        <w:tc>
          <w:tcPr>
            <w:tcW w:type="dxa" w:w="2948"/>
            <w:vAlign w:val="top"/>
          </w:tcPr>
          <w:p>
            <w:pPr>
              <w:spacing w:line="240" w:lineRule="auto" w:after="80" w:before="0"/>
              <w:ind w:firstLine="0"/>
              <w:jc w:val="left"/>
            </w:pPr>
            <w:r>
              <w:rPr>
                <w:rFonts w:ascii="Calibri" w:hAnsi="Calibri" w:cs="Calibri"/>
                <w:b/>
                <w:i w:val="0"/>
                <w:color w:val="1B1E28"/>
                <w:sz w:val="21"/>
              </w:rPr>
              <w:t>Employers &amp; Universities (S2)</w:t>
            </w:r>
          </w:p>
        </w:tc>
        <w:tc>
          <w:tcPr>
            <w:tcW w:type="dxa" w:w="10091"/>
            <w:vAlign w:val="top"/>
          </w:tcPr>
          <w:p>
            <w:pPr>
              <w:spacing w:line="240" w:lineRule="auto" w:after="80" w:before="0"/>
              <w:ind w:firstLine="0"/>
              <w:jc w:val="left"/>
            </w:pPr>
            <w:r>
              <w:rPr>
                <w:rFonts w:ascii="Calibri" w:hAnsi="Calibri" w:cs="Calibri"/>
                <w:b w:val="0"/>
                <w:i w:val="0"/>
                <w:color w:val="1B1E28"/>
                <w:sz w:val="21"/>
              </w:rPr>
              <w:t>«Thank you. SkillProof constitutes an open social environment. We collaborate with universities at no cost; they recommend the platform to support independent study. Employers gain access to verified profiles — without any commercial fee. Their interest lies in identifying genuinely engaged young specialists, rather than sifting through hundreds of résumés.»</w:t>
            </w:r>
          </w:p>
        </w:tc>
        <w:tc>
          <w:tcPr>
            <w:tcW w:type="dxa" w:w="1247"/>
            <w:vAlign w:val="center"/>
          </w:tcPr>
          <w:p>
            <w:pPr>
              <w:spacing w:line="240" w:lineRule="auto" w:after="80" w:before="0"/>
              <w:ind w:firstLine="0"/>
              <w:jc w:val="center"/>
            </w:pPr>
            <w:r>
              <w:rPr>
                <w:rFonts w:ascii="Calibri" w:hAnsi="Calibri" w:cs="Calibri"/>
                <w:b/>
                <w:i w:val="0"/>
                <w:color w:val="4F46E5"/>
                <w:sz w:val="21"/>
              </w:rPr>
              <w:t>0:35</w:t>
            </w:r>
          </w:p>
        </w:tc>
      </w:tr>
      <w:tr>
        <w:tc>
          <w:tcPr>
            <w:tcW w:type="dxa" w:w="680"/>
            <w:shd w:val="clear" w:fill="F4F4FB"/>
            <w:vAlign w:val="center"/>
          </w:tcPr>
          <w:p>
            <w:pPr>
              <w:spacing w:line="240" w:lineRule="auto" w:after="80" w:before="0"/>
              <w:ind w:firstLine="0"/>
              <w:jc w:val="center"/>
            </w:pPr>
            <w:r>
              <w:rPr>
                <w:rFonts w:ascii="Calibri" w:hAnsi="Calibri" w:cs="Calibri"/>
                <w:b/>
                <w:i w:val="0"/>
                <w:color w:val="312E81"/>
                <w:sz w:val="21"/>
              </w:rPr>
              <w:t>8</w:t>
            </w:r>
          </w:p>
        </w:tc>
        <w:tc>
          <w:tcPr>
            <w:tcW w:type="dxa" w:w="2948"/>
            <w:shd w:val="clear" w:fill="F4F4FB"/>
            <w:vAlign w:val="top"/>
          </w:tcPr>
          <w:p>
            <w:pPr>
              <w:spacing w:line="240" w:lineRule="auto" w:after="80" w:before="0"/>
              <w:ind w:firstLine="0"/>
              <w:jc w:val="left"/>
            </w:pPr>
            <w:r>
              <w:rPr>
                <w:rFonts w:ascii="Calibri" w:hAnsi="Calibri" w:cs="Calibri"/>
                <w:b/>
                <w:i w:val="0"/>
                <w:color w:val="1B1E28"/>
                <w:sz w:val="21"/>
              </w:rPr>
              <w:t>Anna (ecology)</w:t>
            </w:r>
          </w:p>
        </w:tc>
        <w:tc>
          <w:tcPr>
            <w:tcW w:type="dxa" w:w="10091"/>
            <w:shd w:val="clear" w:fill="F4F4FB"/>
            <w:vAlign w:val="top"/>
          </w:tcPr>
          <w:p>
            <w:pPr>
              <w:spacing w:line="240" w:lineRule="auto" w:after="80" w:before="0"/>
              <w:ind w:firstLine="0"/>
              <w:jc w:val="left"/>
            </w:pPr>
            <w:r>
              <w:rPr>
                <w:rFonts w:ascii="Calibri" w:hAnsi="Calibri" w:cs="Calibri"/>
                <w:b w:val="0"/>
                <w:i w:val="0"/>
                <w:color w:val="1B1E28"/>
                <w:sz w:val="21"/>
              </w:rPr>
              <w:t>«Consider a concrete case. Anna is studying ecology. Her activities — field journals, sample analyses, conference presentations — previously remained in her desk drawer. Now she documents her progress on SkillProof. When a research institute seeks an intern, they see not merely grades, but Anna's systematic and sustained engagement.»</w:t>
            </w:r>
          </w:p>
        </w:tc>
        <w:tc>
          <w:tcPr>
            <w:tcW w:type="dxa" w:w="1247"/>
            <w:shd w:val="clear" w:fill="F4F4FB"/>
            <w:vAlign w:val="center"/>
          </w:tcPr>
          <w:p>
            <w:pPr>
              <w:spacing w:line="240" w:lineRule="auto" w:after="80" w:before="0"/>
              <w:ind w:firstLine="0"/>
              <w:jc w:val="center"/>
            </w:pPr>
            <w:r>
              <w:rPr>
                <w:rFonts w:ascii="Calibri" w:hAnsi="Calibri" w:cs="Calibri"/>
                <w:b/>
                <w:i w:val="0"/>
                <w:color w:val="4F46E5"/>
                <w:sz w:val="21"/>
              </w:rPr>
              <w:t>0:30</w:t>
            </w:r>
          </w:p>
        </w:tc>
      </w:tr>
      <w:tr>
        <w:tc>
          <w:tcPr>
            <w:tcW w:type="dxa" w:w="680"/>
            <w:vAlign w:val="center"/>
          </w:tcPr>
          <w:p>
            <w:pPr>
              <w:spacing w:line="240" w:lineRule="auto" w:after="80" w:before="0"/>
              <w:ind w:firstLine="0"/>
              <w:jc w:val="center"/>
            </w:pPr>
            <w:r>
              <w:rPr>
                <w:rFonts w:ascii="Calibri" w:hAnsi="Calibri" w:cs="Calibri"/>
                <w:b/>
                <w:i w:val="0"/>
                <w:color w:val="312E81"/>
                <w:sz w:val="21"/>
              </w:rPr>
              <w:t>9</w:t>
            </w:r>
          </w:p>
        </w:tc>
        <w:tc>
          <w:tcPr>
            <w:tcW w:type="dxa" w:w="2948"/>
            <w:vAlign w:val="top"/>
          </w:tcPr>
          <w:p>
            <w:pPr>
              <w:spacing w:line="240" w:lineRule="auto" w:after="80" w:before="0"/>
              <w:ind w:firstLine="0"/>
              <w:jc w:val="left"/>
            </w:pPr>
            <w:r>
              <w:rPr>
                <w:rFonts w:ascii="Calibri" w:hAnsi="Calibri" w:cs="Calibri"/>
                <w:b/>
                <w:i w:val="0"/>
                <w:color w:val="1B1E28"/>
                <w:sz w:val="21"/>
              </w:rPr>
              <w:t>Social mission &amp; outcomes</w:t>
            </w:r>
          </w:p>
        </w:tc>
        <w:tc>
          <w:tcPr>
            <w:tcW w:type="dxa" w:w="10091"/>
            <w:vAlign w:val="top"/>
          </w:tcPr>
          <w:p>
            <w:pPr>
              <w:spacing w:line="240" w:lineRule="auto" w:after="80" w:before="0"/>
              <w:ind w:firstLine="0"/>
              <w:jc w:val="left"/>
            </w:pPr>
            <w:r>
              <w:rPr>
                <w:rFonts w:ascii="Calibri" w:hAnsi="Calibri" w:cs="Calibri"/>
                <w:b/>
                <w:i w:val="0"/>
                <w:color w:val="1B1E28"/>
                <w:sz w:val="21"/>
              </w:rPr>
              <w:t xml:space="preserve">(S1) </w:t>
            </w:r>
            <w:r>
              <w:rPr>
                <w:rFonts w:ascii="Calibri" w:hAnsi="Calibri" w:cs="Calibri"/>
                <w:b w:val="0"/>
                <w:i w:val="0"/>
                <w:color w:val="1B1E28"/>
                <w:sz w:val="21"/>
              </w:rPr>
              <w:t>«Ours is a social project. We measure success not in financial terms, but in genuine impact. Pilot data indicate that students who use SkillProof find their first internship twice as quickly and experience considerably less anxiety.»</w:t>
            </w:r>
          </w:p>
          <w:p>
            <w:pPr>
              <w:spacing w:line="240" w:lineRule="auto" w:after="80" w:before="0"/>
              <w:ind w:firstLine="0"/>
              <w:jc w:val="left"/>
            </w:pPr>
            <w:r>
              <w:rPr>
                <w:rFonts w:ascii="Calibri" w:hAnsi="Calibri" w:cs="Calibri"/>
                <w:b/>
                <w:i w:val="0"/>
                <w:color w:val="1B1E28"/>
                <w:sz w:val="21"/>
              </w:rPr>
              <w:t xml:space="preserve">(S2) </w:t>
            </w:r>
            <w:r>
              <w:rPr>
                <w:rFonts w:ascii="Calibri" w:hAnsi="Calibri" w:cs="Calibri"/>
                <w:b w:val="0"/>
                <w:i w:val="0"/>
                <w:color w:val="1B1E28"/>
                <w:sz w:val="21"/>
              </w:rPr>
              <w:t>«Employers and universities benefit from a transparent environment where talent is immediately visible, irrespective of discipline or location.»</w:t>
            </w:r>
          </w:p>
        </w:tc>
        <w:tc>
          <w:tcPr>
            <w:tcW w:type="dxa" w:w="1247"/>
            <w:vAlign w:val="center"/>
          </w:tcPr>
          <w:p>
            <w:pPr>
              <w:spacing w:line="240" w:lineRule="auto" w:after="80" w:before="0"/>
              <w:ind w:firstLine="0"/>
              <w:jc w:val="center"/>
            </w:pPr>
            <w:r>
              <w:rPr>
                <w:rFonts w:ascii="Calibri" w:hAnsi="Calibri" w:cs="Calibri"/>
                <w:b/>
                <w:i w:val="0"/>
                <w:color w:val="4F46E5"/>
                <w:sz w:val="21"/>
              </w:rPr>
              <w:t>0:25</w:t>
            </w:r>
          </w:p>
        </w:tc>
      </w:tr>
      <w:tr>
        <w:tc>
          <w:tcPr>
            <w:tcW w:type="dxa" w:w="680"/>
            <w:shd w:val="clear" w:fill="F4F4FB"/>
            <w:vAlign w:val="center"/>
          </w:tcPr>
          <w:p>
            <w:pPr>
              <w:spacing w:line="240" w:lineRule="auto" w:after="80" w:before="0"/>
              <w:ind w:firstLine="0"/>
              <w:jc w:val="center"/>
            </w:pPr>
            <w:r>
              <w:rPr>
                <w:rFonts w:ascii="Calibri" w:hAnsi="Calibri" w:cs="Calibri"/>
                <w:b/>
                <w:i w:val="0"/>
                <w:color w:val="312E81"/>
                <w:sz w:val="21"/>
              </w:rPr>
              <w:t>10</w:t>
            </w:r>
          </w:p>
        </w:tc>
        <w:tc>
          <w:tcPr>
            <w:tcW w:type="dxa" w:w="2948"/>
            <w:shd w:val="clear" w:fill="F4F4FB"/>
            <w:vAlign w:val="top"/>
          </w:tcPr>
          <w:p>
            <w:pPr>
              <w:spacing w:line="240" w:lineRule="auto" w:after="80" w:before="0"/>
              <w:ind w:firstLine="0"/>
              <w:jc w:val="left"/>
            </w:pPr>
            <w:r>
              <w:rPr>
                <w:rFonts w:ascii="Calibri" w:hAnsi="Calibri" w:cs="Calibri"/>
                <w:b/>
                <w:i w:val="0"/>
                <w:color w:val="1B1E28"/>
                <w:sz w:val="21"/>
              </w:rPr>
              <w:t>Conclusion + CTA</w:t>
            </w:r>
          </w:p>
        </w:tc>
        <w:tc>
          <w:tcPr>
            <w:tcW w:type="dxa" w:w="10091"/>
            <w:shd w:val="clear" w:fill="F4F4FB"/>
            <w:vAlign w:val="top"/>
          </w:tcPr>
          <w:p>
            <w:pPr>
              <w:spacing w:line="240" w:lineRule="auto" w:after="80" w:before="0"/>
              <w:ind w:firstLine="0"/>
              <w:jc w:val="left"/>
            </w:pPr>
            <w:r>
              <w:rPr>
                <w:rFonts w:ascii="Calibri" w:hAnsi="Calibri" w:cs="Calibri"/>
                <w:b/>
                <w:i w:val="0"/>
                <w:color w:val="1B1E28"/>
                <w:sz w:val="21"/>
              </w:rPr>
              <w:t xml:space="preserve">(S1) </w:t>
            </w:r>
            <w:r>
              <w:rPr>
                <w:rFonts w:ascii="Calibri" w:hAnsi="Calibri" w:cs="Calibri"/>
                <w:b w:val="0"/>
                <w:i w:val="0"/>
                <w:color w:val="1B1E28"/>
                <w:sz w:val="21"/>
              </w:rPr>
              <w:t>«SkillProof is a non-commercial instrument that transforms everyday academic work into tangible career opportunities.»</w:t>
            </w:r>
          </w:p>
          <w:p>
            <w:pPr>
              <w:spacing w:line="240" w:lineRule="auto" w:after="80" w:before="0"/>
              <w:ind w:firstLine="0"/>
              <w:jc w:val="left"/>
            </w:pPr>
            <w:r>
              <w:rPr>
                <w:rFonts w:ascii="Calibri" w:hAnsi="Calibri" w:cs="Calibri"/>
                <w:b/>
                <w:i w:val="0"/>
                <w:color w:val="1B1E28"/>
                <w:sz w:val="21"/>
              </w:rPr>
              <w:t xml:space="preserve">(S2) </w:t>
            </w:r>
            <w:r>
              <w:rPr>
                <w:rFonts w:ascii="Calibri" w:hAnsi="Calibri" w:cs="Calibri"/>
                <w:b w:val="0"/>
                <w:i w:val="0"/>
                <w:color w:val="1B1E28"/>
                <w:sz w:val="21"/>
              </w:rPr>
              <w:t>«Talented students deserve to be noticed, and we are helping them prove their potential through consistent action. Thank you for your attention. We are happy to take your questions.»</w:t>
            </w:r>
          </w:p>
        </w:tc>
        <w:tc>
          <w:tcPr>
            <w:tcW w:type="dxa" w:w="1247"/>
            <w:shd w:val="clear" w:fill="F4F4FB"/>
            <w:vAlign w:val="center"/>
          </w:tcPr>
          <w:p>
            <w:pPr>
              <w:spacing w:line="240" w:lineRule="auto" w:after="80" w:before="0"/>
              <w:ind w:firstLine="0"/>
              <w:jc w:val="center"/>
            </w:pPr>
            <w:r>
              <w:rPr>
                <w:rFonts w:ascii="Calibri" w:hAnsi="Calibri" w:cs="Calibri"/>
                <w:b/>
                <w:i w:val="0"/>
                <w:color w:val="4F46E5"/>
                <w:sz w:val="21"/>
              </w:rPr>
              <w:t>0:15</w:t>
            </w:r>
          </w:p>
        </w:tc>
      </w:tr>
    </w:tbl>
    <w:p>
      <w:pPr>
        <w:spacing w:before="240"/>
      </w:pPr>
      <w:r>
        <w:rPr>
          <w:rFonts w:ascii="Calibri" w:hAnsi="Calibri" w:cs="Calibri"/>
          <w:i/>
          <w:color w:val="6B7080"/>
          <w:sz w:val="21"/>
        </w:rPr>
        <w:t>Итого ≈ 3:55–4:15 скриптового времени. Слайды 1–2 — добавленное логичное начало (выделено курсивом); с паузами и Q&amp;A выступление выходит на полные ~5 минут.</w:t>
      </w:r>
    </w:p>
    <w:sectPr w:rsidR="00FC693F" w:rsidRPr="0006063C" w:rsidSect="00034616">
      <w:pgSz w:w="16838" w:h="11906" w:orient="landscape"/>
      <w:pgMar w:top="794" w:right="907" w:bottom="794"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color w:val="1B1E2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