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7760D5" w14:textId="77777777" w:rsidR="00F10EAF" w:rsidRDefault="00F10EAF" w:rsidP="00F10E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Природный газ</w:t>
      </w:r>
    </w:p>
    <w:p w14:paraId="6ECA952E" w14:textId="77777777" w:rsidR="00F10EAF" w:rsidRPr="006A0DC7" w:rsidRDefault="00F10EAF" w:rsidP="00F10E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=+107.8 млрд.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6CCA02B0" w14:textId="77777777" w:rsidR="00F10EAF" w:rsidRPr="006A0DC7" w:rsidRDefault="00F10EAF" w:rsidP="00F10E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=+83 млрд.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1CD6193E" w14:textId="77777777" w:rsidR="00F10EAF" w:rsidRPr="006A0DC7" w:rsidRDefault="00F10EAF" w:rsidP="00F10E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Каменный уголь</w:t>
      </w:r>
    </w:p>
    <w:p w14:paraId="5C932A60" w14:textId="77777777" w:rsidR="00F10EAF" w:rsidRPr="006A0DC7" w:rsidRDefault="00F10EAF" w:rsidP="00F10E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=+83.2 млн. т</m:t>
          </m:r>
        </m:oMath>
      </m:oMathPara>
    </w:p>
    <w:p w14:paraId="14CD9053" w14:textId="77777777" w:rsidR="00F10EAF" w:rsidRPr="006A0DC7" w:rsidRDefault="00F10EAF" w:rsidP="00F10E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=+4.5 млн. т</m:t>
          </m:r>
        </m:oMath>
      </m:oMathPara>
    </w:p>
    <w:p w14:paraId="2D2685C3" w14:textId="77777777" w:rsidR="00F10EAF" w:rsidRPr="006A0DC7" w:rsidRDefault="00F10EAF" w:rsidP="00F10E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Нефть</w:t>
      </w:r>
    </w:p>
    <w:p w14:paraId="39E659DD" w14:textId="77777777" w:rsidR="00F10EAF" w:rsidRPr="006A0DC7" w:rsidRDefault="00F10EAF" w:rsidP="00F10E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доб.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=+6 млн. т</m:t>
          </m:r>
        </m:oMath>
      </m:oMathPara>
    </w:p>
    <w:p w14:paraId="55124CD3" w14:textId="77777777" w:rsidR="00F10EAF" w:rsidRDefault="00F10EAF" w:rsidP="00F10EAF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вн.  потр.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=+16.1 млн. т</m:t>
          </m:r>
        </m:oMath>
      </m:oMathPara>
    </w:p>
    <w:p w14:paraId="3A1A16D1" w14:textId="77777777" w:rsidR="00F10EAF" w:rsidRDefault="00F10EAF" w:rsidP="00F10EAF">
      <w:pPr>
        <w:rPr>
          <w:rFonts w:ascii="Times New Roman" w:hAnsi="Times New Roman" w:cs="Times New Roman"/>
          <w:sz w:val="28"/>
          <w:szCs w:val="28"/>
        </w:rPr>
      </w:pPr>
    </w:p>
    <w:p w14:paraId="15EA1370" w14:textId="77777777" w:rsidR="00F10EAF" w:rsidRDefault="00F10EAF" w:rsidP="00F10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Выводы:</w:t>
      </w:r>
    </w:p>
    <w:p w14:paraId="4FF87C6A" w14:textId="77777777" w:rsidR="00F10EAF" w:rsidRDefault="00F10EAF" w:rsidP="00F10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Установили, что за исследуемый период имеет место увеличение как объёмов добычи, так и объёмов внутреннего потребления природного газа и каменного угля. При этом имеет место существенный прирост внутреннего потребления природного газа при незначительном увеличении внутреннего потребления каменного угля. Это свидетельствует о том, что имеет место замещение экологически неблагоприятного топливного ресурса – каменного угля на природный газ, кроме того, выявилась тенденция значительного снижения объёмов внутреннего потребления каменного угля с 2019 года.</w:t>
      </w:r>
    </w:p>
    <w:p w14:paraId="0AC9C85A" w14:textId="77777777" w:rsidR="00F10EAF" w:rsidRPr="001D7346" w:rsidRDefault="00F10EAF" w:rsidP="00F10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объём добычи нефти при росте внутреннего потребления положительным или позитивным аспектом как с точки зрения экономики, так и с точки зрении экологии.</w:t>
      </w:r>
    </w:p>
    <w:p w14:paraId="59896127" w14:textId="77777777" w:rsidR="006A5B99" w:rsidRDefault="006A5B99"/>
    <w:sectPr w:rsidR="006A5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AB"/>
    <w:rsid w:val="006051AB"/>
    <w:rsid w:val="006A5B99"/>
    <w:rsid w:val="00F10EAF"/>
    <w:rsid w:val="00F8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6A512"/>
  <w15:chartTrackingRefBased/>
  <w15:docId w15:val="{53E56038-CB86-4033-B1E9-21115C4C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KUBICHA VOSHOD</dc:creator>
  <cp:keywords/>
  <dc:description/>
  <cp:lastModifiedBy>KUBICHA VOSHOD</cp:lastModifiedBy>
  <cp:revision>2</cp:revision>
  <dcterms:created xsi:type="dcterms:W3CDTF">2023-02-20T17:40:00Z</dcterms:created>
  <dcterms:modified xsi:type="dcterms:W3CDTF">2023-02-20T17:40:00Z</dcterms:modified>
</cp:coreProperties>
</file>