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463" w:rsidRPr="00E70463" w:rsidRDefault="00E70463" w:rsidP="00E70463">
      <w:pPr>
        <w:pStyle w:val="a6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ru-RU"/>
        </w:rPr>
      </w:pPr>
      <w:r w:rsidRPr="00E70463">
        <w:rPr>
          <w:rFonts w:ascii="Times New Roman" w:hAnsi="Times New Roman"/>
          <w:b/>
          <w:color w:val="000000" w:themeColor="text1"/>
          <w:sz w:val="24"/>
          <w:szCs w:val="24"/>
          <w:lang w:eastAsia="ru-RU"/>
        </w:rPr>
        <w:t xml:space="preserve">ОБЩИЕ ПРАВИЛА ОФОРМЛЕНИЯ </w:t>
      </w:r>
      <w:proofErr w:type="gramStart"/>
      <w:r w:rsidRPr="00E70463">
        <w:rPr>
          <w:rFonts w:ascii="Times New Roman" w:hAnsi="Times New Roman"/>
          <w:b/>
          <w:color w:val="000000" w:themeColor="text1"/>
          <w:sz w:val="24"/>
          <w:szCs w:val="24"/>
          <w:lang w:eastAsia="ru-RU"/>
        </w:rPr>
        <w:t>ИНДИВИДУАЛЬНОГО  ПРОЕКТА</w:t>
      </w:r>
      <w:proofErr w:type="gramEnd"/>
      <w:r w:rsidRPr="00E70463">
        <w:rPr>
          <w:rFonts w:ascii="Times New Roman" w:hAnsi="Times New Roman"/>
          <w:b/>
          <w:color w:val="000000" w:themeColor="text1"/>
          <w:sz w:val="24"/>
          <w:szCs w:val="24"/>
          <w:lang w:eastAsia="ru-RU"/>
        </w:rPr>
        <w:t>, КУРСОВОЙ РАБОТЫ (ПРОЕКТА), ВКР</w:t>
      </w:r>
    </w:p>
    <w:p w:rsidR="00E70463" w:rsidRPr="00E70463" w:rsidRDefault="00E70463" w:rsidP="00E70463">
      <w:pPr>
        <w:pStyle w:val="a6"/>
        <w:spacing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CF2F4F" w:rsidRDefault="00E70463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u w:val="single"/>
          <w:lang w:eastAsia="ru-RU"/>
        </w:rPr>
      </w:pPr>
      <w:r w:rsidRPr="00A03F4F">
        <w:rPr>
          <w:rFonts w:ascii="Times New Roman" w:hAnsi="Times New Roman"/>
          <w:i/>
          <w:color w:val="000000" w:themeColor="text1"/>
          <w:sz w:val="24"/>
          <w:szCs w:val="24"/>
          <w:lang w:eastAsia="ru-RU"/>
        </w:rPr>
        <w:t>Требования к оформлени</w:t>
      </w:r>
      <w:r w:rsidRPr="003856F5">
        <w:rPr>
          <w:rFonts w:ascii="Times New Roman" w:hAnsi="Times New Roman"/>
          <w:i/>
          <w:color w:val="000000" w:themeColor="text1"/>
          <w:sz w:val="24"/>
          <w:szCs w:val="24"/>
          <w:lang w:eastAsia="ru-RU"/>
        </w:rPr>
        <w:t>ю</w:t>
      </w:r>
      <w:r w:rsidR="00CF2F4F" w:rsidRPr="003856F5">
        <w:rPr>
          <w:rFonts w:ascii="Times New Roman" w:hAnsi="Times New Roman"/>
          <w:color w:val="000000" w:themeColor="text1"/>
          <w:sz w:val="24"/>
          <w:szCs w:val="24"/>
          <w:lang w:eastAsia="ru-RU"/>
        </w:rPr>
        <w:t>:</w:t>
      </w:r>
    </w:p>
    <w:p w:rsidR="00CF2F4F" w:rsidRDefault="00CF2F4F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-р</w:t>
      </w:r>
      <w:r w:rsidR="00E70463" w:rsidRPr="00E70463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абота выполняется 12 кеглем </w:t>
      </w:r>
      <w:proofErr w:type="spellStart"/>
      <w:r w:rsidR="00E70463" w:rsidRPr="00E70463">
        <w:rPr>
          <w:rFonts w:ascii="Times New Roman" w:hAnsi="Times New Roman"/>
          <w:color w:val="000000" w:themeColor="text1"/>
          <w:sz w:val="24"/>
          <w:szCs w:val="24"/>
          <w:lang w:eastAsia="ru-RU"/>
        </w:rPr>
        <w:t>Times</w:t>
      </w:r>
      <w:proofErr w:type="spellEnd"/>
      <w:r w:rsidR="00E70463" w:rsidRPr="00E70463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E70463" w:rsidRPr="00E70463">
        <w:rPr>
          <w:rFonts w:ascii="Times New Roman" w:hAnsi="Times New Roman"/>
          <w:color w:val="000000" w:themeColor="text1"/>
          <w:sz w:val="24"/>
          <w:szCs w:val="24"/>
          <w:lang w:eastAsia="ru-RU"/>
        </w:rPr>
        <w:t>New</w:t>
      </w:r>
      <w:proofErr w:type="spellEnd"/>
      <w:r w:rsidR="00E70463" w:rsidRPr="00E70463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E70463" w:rsidRPr="00E70463">
        <w:rPr>
          <w:rFonts w:ascii="Times New Roman" w:hAnsi="Times New Roman"/>
          <w:color w:val="000000" w:themeColor="text1"/>
          <w:sz w:val="24"/>
          <w:szCs w:val="24"/>
          <w:lang w:eastAsia="ru-RU"/>
        </w:rPr>
        <w:t>Roman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;</w:t>
      </w:r>
    </w:p>
    <w:p w:rsidR="00CF2F4F" w:rsidRDefault="00CF2F4F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-</w:t>
      </w:r>
      <w:r w:rsidR="00E70463" w:rsidRPr="00E70463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междустрочный интервал – 1,5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;</w:t>
      </w:r>
      <w:r w:rsidR="00E70463" w:rsidRPr="00E70463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CF2F4F" w:rsidRDefault="00CF2F4F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-</w:t>
      </w:r>
      <w:r w:rsidR="00E70463" w:rsidRPr="00E70463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отступ – 1,25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;</w:t>
      </w:r>
    </w:p>
    <w:p w:rsidR="00CF2F4F" w:rsidRDefault="00CF2F4F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-</w:t>
      </w:r>
      <w:r w:rsidR="00E70463" w:rsidRPr="00E70463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выравнивание текста по ширине на одной стороне листа белой бумаги формата А</w:t>
      </w:r>
      <w:proofErr w:type="gramStart"/>
      <w:r w:rsidR="00E70463" w:rsidRPr="00E70463">
        <w:rPr>
          <w:rFonts w:ascii="Times New Roman" w:hAnsi="Times New Roman"/>
          <w:color w:val="000000" w:themeColor="text1"/>
          <w:sz w:val="24"/>
          <w:szCs w:val="24"/>
          <w:lang w:eastAsia="ru-RU"/>
        </w:rPr>
        <w:t>4</w:t>
      </w:r>
      <w:proofErr w:type="gramEnd"/>
      <w:r w:rsidR="00E70463" w:rsidRPr="00E70463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чёрным цветом чернил с соблюдением полей: левое –30 мм, правое –15 мм, верхнее и нижнее  – 20 мм.</w:t>
      </w:r>
      <w:r w:rsidR="00E70463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3856F5" w:rsidRDefault="003856F5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E70463" w:rsidRDefault="00B51CA1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Запрещается выделение курсивом и жирным шрифтом смысловых частей текста.</w:t>
      </w:r>
    </w:p>
    <w:p w:rsidR="00A03F4F" w:rsidRDefault="00A03F4F" w:rsidP="00A03F4F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В тексте не допускаются необоснованные пропуски, произвольные сокращения слов. Применяются только общепринятые сокращения  и   </w:t>
      </w:r>
      <w:proofErr w:type="spellStart"/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общеупотребляемые</w:t>
      </w:r>
      <w:proofErr w:type="spellEnd"/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    термины   в сокращенном виде. В тексте термин один раз полностью расшифровывается, и в дальнейшем термин пишется сокращенно.</w:t>
      </w:r>
      <w:r w:rsidR="00CF2F4F" w:rsidRPr="00CF2F4F">
        <w:t xml:space="preserve"> </w:t>
      </w:r>
      <w:r w:rsidR="00CF2F4F" w:rsidRPr="00CF2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В тексте термин один раз полностью расшифровывается, например: Кодекс Российской Федерации о</w:t>
      </w:r>
      <w:r w:rsidR="00CF2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б административных правонаруше</w:t>
      </w:r>
      <w:r w:rsidR="00CF2F4F" w:rsidRPr="00CF2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ниях (</w:t>
      </w:r>
      <w:proofErr w:type="spellStart"/>
      <w:r w:rsidR="00CF2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далее-</w:t>
      </w:r>
      <w:r w:rsidR="00CF2F4F" w:rsidRPr="00CF2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КоАП</w:t>
      </w:r>
      <w:proofErr w:type="spellEnd"/>
      <w:r w:rsidR="00CF2F4F" w:rsidRPr="00CF2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), и в дальнейшем термин пишется сокращенно – </w:t>
      </w:r>
      <w:proofErr w:type="spellStart"/>
      <w:r w:rsidR="00CF2F4F" w:rsidRPr="00CF2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КоАП</w:t>
      </w:r>
      <w:proofErr w:type="spellEnd"/>
      <w:r w:rsidR="00CF2F4F" w:rsidRPr="00CF2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.</w:t>
      </w:r>
      <w:r w:rsidR="00CF2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Либо после титульного листа делается отдельный лист -  используемые сокращения. </w:t>
      </w:r>
    </w:p>
    <w:p w:rsidR="003856F5" w:rsidRPr="00A03F4F" w:rsidRDefault="003856F5" w:rsidP="00A03F4F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A03F4F" w:rsidRPr="00A03F4F" w:rsidRDefault="00A03F4F" w:rsidP="00A03F4F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Введение, кажд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ый раздел</w:t>
      </w:r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, заключение, список использованных информационных источников, приложения следует начинать с новой страницы.</w:t>
      </w:r>
    </w:p>
    <w:p w:rsidR="00A03F4F" w:rsidRDefault="00A03F4F" w:rsidP="00A03F4F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Р</w:t>
      </w:r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абота должна быть прикреплена к 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папке-скоросшивателю дыроколом</w:t>
      </w:r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. Запрещается скреплять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работу пружинами, пласти</w:t>
      </w:r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ковой лентой, </w:t>
      </w:r>
      <w:proofErr w:type="spellStart"/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степлером</w:t>
      </w:r>
      <w:proofErr w:type="spellEnd"/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, канцелярскими скрепками.</w:t>
      </w:r>
    </w:p>
    <w:p w:rsidR="003856F5" w:rsidRPr="00A03F4F" w:rsidRDefault="003856F5" w:rsidP="00A03F4F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A03F4F" w:rsidRPr="00E70463" w:rsidRDefault="00A03F4F" w:rsidP="00A03F4F">
      <w:pPr>
        <w:keepNext/>
        <w:spacing w:after="0" w:line="360" w:lineRule="auto"/>
        <w:ind w:firstLine="709"/>
        <w:jc w:val="both"/>
        <w:outlineLvl w:val="1"/>
        <w:rPr>
          <w:rFonts w:ascii="Times New Roman" w:hAnsi="Times New Roman"/>
          <w:sz w:val="24"/>
          <w:szCs w:val="24"/>
          <w:lang w:eastAsia="ru-RU"/>
        </w:rPr>
      </w:pPr>
      <w:r w:rsidRPr="00E70463">
        <w:rPr>
          <w:rFonts w:ascii="Times New Roman" w:eastAsia="Times New Roman" w:hAnsi="Times New Roman"/>
          <w:b/>
          <w:bCs/>
          <w:iCs/>
          <w:sz w:val="24"/>
          <w:szCs w:val="24"/>
        </w:rPr>
        <w:t>Оформление содержания</w:t>
      </w:r>
      <w:r>
        <w:rPr>
          <w:rFonts w:ascii="Times New Roman" w:eastAsia="Times New Roman" w:hAnsi="Times New Roman"/>
          <w:b/>
          <w:bCs/>
          <w:iCs/>
          <w:sz w:val="24"/>
          <w:szCs w:val="24"/>
        </w:rPr>
        <w:t xml:space="preserve">. </w:t>
      </w:r>
      <w:r w:rsidRPr="00E70463">
        <w:rPr>
          <w:rFonts w:ascii="Times New Roman" w:hAnsi="Times New Roman"/>
          <w:sz w:val="24"/>
          <w:szCs w:val="24"/>
          <w:lang w:eastAsia="ru-RU"/>
        </w:rPr>
        <w:t>Содержание работы размещается на отдельной пронумерованной странице, снабжается заголовком «СОДЕРЖАНИЕ», записанным по центру, не нумеруется как раздел и включается в общее количество страниц текста работы.</w:t>
      </w:r>
    </w:p>
    <w:p w:rsidR="00A03F4F" w:rsidRPr="00E70463" w:rsidRDefault="00A03F4F" w:rsidP="00A03F4F">
      <w:pPr>
        <w:tabs>
          <w:tab w:val="left" w:pos="1954"/>
        </w:tabs>
        <w:autoSpaceDE w:val="0"/>
        <w:autoSpaceDN w:val="0"/>
        <w:adjustRightInd w:val="0"/>
        <w:spacing w:after="0" w:line="360" w:lineRule="auto"/>
        <w:ind w:firstLine="737"/>
        <w:jc w:val="both"/>
        <w:rPr>
          <w:rFonts w:ascii="Times New Roman" w:hAnsi="Times New Roman"/>
          <w:sz w:val="24"/>
          <w:szCs w:val="24"/>
          <w:lang w:eastAsia="ru-RU"/>
        </w:rPr>
      </w:pPr>
      <w:r w:rsidRPr="00E70463">
        <w:rPr>
          <w:rFonts w:ascii="Times New Roman" w:hAnsi="Times New Roman"/>
          <w:sz w:val="24"/>
          <w:szCs w:val="24"/>
          <w:lang w:eastAsia="ru-RU"/>
        </w:rPr>
        <w:t>В содержание включаются номера структурных элементов текста: разделов, подразделов, пунктов и подпунктов, имеющих заголовок, номера и наименования приложений и номера страниц, с которых они начинаются.</w:t>
      </w:r>
    </w:p>
    <w:p w:rsidR="003856F5" w:rsidRDefault="003856F5" w:rsidP="00A03F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03F4F" w:rsidRDefault="00A03F4F" w:rsidP="00A03F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 xml:space="preserve">Разделы подразделы (параграфы) должны иметь заголовки. Наименование разделов (разделов) должно быть кратким и записываться в виде заголовков (в красную строку) жирным </w:t>
      </w:r>
      <w:r w:rsidRPr="00E70463">
        <w:rPr>
          <w:rFonts w:ascii="Times New Roman" w:hAnsi="Times New Roman"/>
          <w:sz w:val="24"/>
          <w:szCs w:val="24"/>
        </w:rPr>
        <w:lastRenderedPageBreak/>
        <w:t xml:space="preserve">шрифтом, без подчеркивания и без точки в конце. Заголовки должны четко и кратко отражать содержание разделов (разделов), подразделов (параграфов), пунктов. </w:t>
      </w:r>
    </w:p>
    <w:p w:rsidR="00D75AEB" w:rsidRDefault="00D75AEB" w:rsidP="00A03F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75AEB">
        <w:rPr>
          <w:rFonts w:ascii="Times New Roman" w:hAnsi="Times New Roman"/>
          <w:sz w:val="24"/>
          <w:szCs w:val="24"/>
        </w:rPr>
        <w:t xml:space="preserve">Заголовки </w:t>
      </w:r>
      <w:r>
        <w:rPr>
          <w:rFonts w:ascii="Times New Roman" w:hAnsi="Times New Roman"/>
          <w:sz w:val="24"/>
          <w:szCs w:val="24"/>
        </w:rPr>
        <w:t>разделов</w:t>
      </w:r>
      <w:r w:rsidRPr="00D75AEB">
        <w:rPr>
          <w:rFonts w:ascii="Times New Roman" w:hAnsi="Times New Roman"/>
          <w:sz w:val="24"/>
          <w:szCs w:val="24"/>
        </w:rPr>
        <w:t>, параграфов отделяются</w:t>
      </w:r>
      <w:r>
        <w:rPr>
          <w:rFonts w:ascii="Times New Roman" w:hAnsi="Times New Roman"/>
          <w:sz w:val="24"/>
          <w:szCs w:val="24"/>
        </w:rPr>
        <w:t xml:space="preserve"> от текста дополнительным полу</w:t>
      </w:r>
      <w:r w:rsidRPr="00D75AEB">
        <w:rPr>
          <w:rFonts w:ascii="Times New Roman" w:hAnsi="Times New Roman"/>
          <w:sz w:val="24"/>
          <w:szCs w:val="24"/>
        </w:rPr>
        <w:t>торным интервалом (пустой строкой до и после заголовка).</w:t>
      </w:r>
    </w:p>
    <w:p w:rsidR="00A03F4F" w:rsidRDefault="00A03F4F" w:rsidP="00A03F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E70463">
        <w:rPr>
          <w:rFonts w:ascii="Times New Roman" w:hAnsi="Times New Roman"/>
          <w:sz w:val="24"/>
          <w:szCs w:val="24"/>
        </w:rPr>
        <w:t>Заголовки структурных элементов работы печатаются заглавными буквами (</w:t>
      </w:r>
      <w:r w:rsidRPr="00E70463">
        <w:rPr>
          <w:rFonts w:ascii="Times New Roman" w:hAnsi="Times New Roman"/>
          <w:b/>
          <w:bCs/>
          <w:sz w:val="24"/>
          <w:szCs w:val="24"/>
        </w:rPr>
        <w:t xml:space="preserve">СОДЕРЖАНИЕ, ВВЕДЕНИЕ, ЗАКЛЮЧЕНИЕ, СПИСОК </w:t>
      </w:r>
      <w:r w:rsidR="00C240F1">
        <w:rPr>
          <w:rFonts w:ascii="Times New Roman" w:hAnsi="Times New Roman"/>
          <w:b/>
          <w:bCs/>
          <w:sz w:val="24"/>
          <w:szCs w:val="24"/>
        </w:rPr>
        <w:t>ИСПОЛЬЗОВАННЫХ ИСТОЧНИКОВ</w:t>
      </w:r>
      <w:r w:rsidR="00C240F1" w:rsidRPr="00E70463">
        <w:rPr>
          <w:rFonts w:ascii="Times New Roman" w:hAnsi="Times New Roman"/>
          <w:b/>
          <w:bCs/>
          <w:sz w:val="24"/>
          <w:szCs w:val="24"/>
        </w:rPr>
        <w:t>, ПРИЛОЖЕНИЕ</w:t>
      </w:r>
      <w:r w:rsidRPr="00E70463">
        <w:rPr>
          <w:rFonts w:ascii="Times New Roman" w:hAnsi="Times New Roman"/>
          <w:sz w:val="24"/>
          <w:szCs w:val="24"/>
        </w:rPr>
        <w:t xml:space="preserve">), без точки в конце, без подчеркивания, форматирование – по центру. </w:t>
      </w:r>
      <w:proofErr w:type="gramEnd"/>
    </w:p>
    <w:p w:rsidR="003856F5" w:rsidRDefault="003856F5" w:rsidP="00A03F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3856F5" w:rsidRDefault="003856F5" w:rsidP="00A03F4F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Например: </w:t>
      </w:r>
    </w:p>
    <w:p w:rsidR="003856F5" w:rsidRPr="007B3846" w:rsidRDefault="003856F5" w:rsidP="003856F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caps/>
          <w:sz w:val="24"/>
          <w:szCs w:val="28"/>
          <w:lang w:eastAsia="ru-RU"/>
        </w:rPr>
      </w:pPr>
      <w:r w:rsidRPr="007B3846">
        <w:rPr>
          <w:rFonts w:ascii="Times New Roman" w:eastAsia="Times New Roman" w:hAnsi="Times New Roman"/>
          <w:b/>
          <w:caps/>
          <w:sz w:val="24"/>
          <w:szCs w:val="28"/>
          <w:lang w:eastAsia="ru-RU"/>
        </w:rPr>
        <w:t>РАЗДЕЛ 1. Название РАЗДЕЛА</w:t>
      </w:r>
    </w:p>
    <w:p w:rsidR="003856F5" w:rsidRPr="007B3846" w:rsidRDefault="003856F5" w:rsidP="003856F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caps/>
          <w:sz w:val="24"/>
          <w:szCs w:val="28"/>
          <w:lang w:eastAsia="ru-RU"/>
        </w:rPr>
      </w:pPr>
    </w:p>
    <w:p w:rsidR="003856F5" w:rsidRPr="007B3846" w:rsidRDefault="003856F5" w:rsidP="003856F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4"/>
          <w:szCs w:val="28"/>
          <w:lang w:eastAsia="ru-RU"/>
        </w:rPr>
      </w:pPr>
      <w:r w:rsidRPr="007B3846">
        <w:rPr>
          <w:rFonts w:ascii="Times New Roman" w:eastAsia="Times New Roman" w:hAnsi="Times New Roman"/>
          <w:b/>
          <w:sz w:val="24"/>
          <w:szCs w:val="28"/>
          <w:lang w:eastAsia="ru-RU"/>
        </w:rPr>
        <w:t>1.1. Название параграфа</w:t>
      </w:r>
    </w:p>
    <w:p w:rsidR="003856F5" w:rsidRPr="003856F5" w:rsidRDefault="003856F5" w:rsidP="003856F5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:rsidR="00A03F4F" w:rsidRPr="00E70463" w:rsidRDefault="00A03F4F" w:rsidP="003856F5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Нумерация страниц является сквозной,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осуществляется арабскими цифра</w:t>
      </w:r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ми,  начиная  с  титульного  листа.   На   титульном   листе   номер   страницы не ставится, но в общую нумерацию страниц 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включается. Номер страницы про</w:t>
      </w:r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ставляется внизу в середине листа без точки в конце (</w:t>
      </w:r>
      <w:proofErr w:type="spellStart"/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Times</w:t>
      </w:r>
      <w:proofErr w:type="spellEnd"/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New</w:t>
      </w:r>
      <w:proofErr w:type="spellEnd"/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Roman</w:t>
      </w:r>
      <w:proofErr w:type="spellEnd"/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; кегль – 1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2</w:t>
      </w:r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пт</w:t>
      </w:r>
      <w:proofErr w:type="spellEnd"/>
      <w:proofErr w:type="gramEnd"/>
      <w:r w:rsidRPr="00A03F4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). </w:t>
      </w:r>
    </w:p>
    <w:p w:rsidR="003856F5" w:rsidRDefault="003856F5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Название таблицы должно отражать её содержание, быть точным и кратким. Лишь в порядке исключения таблица может не иметь названия.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 xml:space="preserve">Таблицы в пределах всей работы нумеруют арабскими цифрами сквозной нумерацией, перед которыми записывают слово «Таблица», выравнивая по правому краю. Название таблицы записывается на следующей строке, выравнивая по центру. Шрифт в таблице – </w:t>
      </w:r>
      <w:proofErr w:type="spellStart"/>
      <w:r w:rsidRPr="00E70463">
        <w:rPr>
          <w:rFonts w:ascii="Times New Roman" w:hAnsi="Times New Roman"/>
          <w:sz w:val="24"/>
          <w:szCs w:val="24"/>
        </w:rPr>
        <w:t>TimesNewRoman</w:t>
      </w:r>
      <w:proofErr w:type="spellEnd"/>
      <w:r w:rsidRPr="00E70463">
        <w:rPr>
          <w:rFonts w:ascii="Times New Roman" w:hAnsi="Times New Roman"/>
          <w:sz w:val="24"/>
          <w:szCs w:val="24"/>
        </w:rPr>
        <w:t xml:space="preserve">, размер шрифта – 12, межстрочный интервал – одинарный, </w:t>
      </w:r>
      <w:r>
        <w:rPr>
          <w:rFonts w:ascii="Times New Roman" w:hAnsi="Times New Roman"/>
          <w:sz w:val="24"/>
          <w:szCs w:val="24"/>
        </w:rPr>
        <w:t>отступ 1,25 не выполняется. Те</w:t>
      </w:r>
      <w:r w:rsidRPr="00E70463">
        <w:rPr>
          <w:rFonts w:ascii="Times New Roman" w:hAnsi="Times New Roman"/>
          <w:sz w:val="24"/>
          <w:szCs w:val="24"/>
        </w:rPr>
        <w:t xml:space="preserve">кст в шапке таблицы выравнивается по центру. </w:t>
      </w:r>
    </w:p>
    <w:p w:rsidR="00E70463" w:rsidRPr="00E70463" w:rsidRDefault="00E70463" w:rsidP="00AA5C29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i/>
          <w:iCs/>
          <w:sz w:val="24"/>
          <w:szCs w:val="24"/>
        </w:rPr>
        <w:t>Пример:</w:t>
      </w:r>
    </w:p>
    <w:p w:rsidR="00E70463" w:rsidRPr="00E70463" w:rsidRDefault="00E70463" w:rsidP="00AA5C29">
      <w:pPr>
        <w:spacing w:after="0" w:line="360" w:lineRule="auto"/>
        <w:ind w:firstLine="709"/>
        <w:jc w:val="right"/>
        <w:rPr>
          <w:rFonts w:ascii="Times New Roman" w:hAnsi="Times New Roman"/>
          <w:iCs/>
          <w:sz w:val="24"/>
          <w:szCs w:val="24"/>
        </w:rPr>
      </w:pPr>
      <w:r w:rsidRPr="00E70463">
        <w:rPr>
          <w:rFonts w:ascii="Times New Roman" w:hAnsi="Times New Roman"/>
          <w:iCs/>
          <w:sz w:val="24"/>
          <w:szCs w:val="24"/>
        </w:rPr>
        <w:t>Таблица 1</w:t>
      </w:r>
    </w:p>
    <w:p w:rsidR="00E70463" w:rsidRPr="00E70463" w:rsidRDefault="00E70463" w:rsidP="00AA5C2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Предельные величины разброса угловой скорости автомобилей, %</w:t>
      </w:r>
    </w:p>
    <w:tbl>
      <w:tblPr>
        <w:tblW w:w="5000" w:type="pct"/>
        <w:tblLook w:val="0000"/>
      </w:tblPr>
      <w:tblGrid>
        <w:gridCol w:w="3994"/>
        <w:gridCol w:w="1997"/>
        <w:gridCol w:w="1997"/>
        <w:gridCol w:w="2149"/>
      </w:tblGrid>
      <w:tr w:rsidR="00E70463" w:rsidRPr="00E70463" w:rsidTr="003856F5">
        <w:trPr>
          <w:cantSplit/>
        </w:trPr>
        <w:tc>
          <w:tcPr>
            <w:tcW w:w="197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70463" w:rsidRPr="00E70463" w:rsidRDefault="00E70463" w:rsidP="00E704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Категория автомобиля</w:t>
            </w:r>
          </w:p>
        </w:tc>
        <w:tc>
          <w:tcPr>
            <w:tcW w:w="303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463" w:rsidRPr="00E70463" w:rsidRDefault="00E70463" w:rsidP="00E704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 xml:space="preserve">Боковое ускорение автомобиля </w:t>
            </w:r>
            <w:proofErr w:type="spellStart"/>
            <w:r w:rsidRPr="00E70463">
              <w:rPr>
                <w:rFonts w:ascii="Times New Roman" w:hAnsi="Times New Roman"/>
                <w:sz w:val="24"/>
                <w:szCs w:val="24"/>
              </w:rPr>
              <w:t>w</w:t>
            </w:r>
            <w:r w:rsidRPr="00E70463">
              <w:rPr>
                <w:rFonts w:ascii="Times New Roman" w:hAnsi="Times New Roman"/>
                <w:sz w:val="24"/>
                <w:szCs w:val="24"/>
                <w:vertAlign w:val="subscript"/>
              </w:rPr>
              <w:t>y</w:t>
            </w:r>
            <w:proofErr w:type="spellEnd"/>
            <w:r w:rsidRPr="00E70463">
              <w:rPr>
                <w:rFonts w:ascii="Times New Roman" w:hAnsi="Times New Roman"/>
                <w:sz w:val="24"/>
                <w:szCs w:val="24"/>
              </w:rPr>
              <w:t xml:space="preserve"> м/с</w:t>
            </w:r>
            <w:proofErr w:type="gramStart"/>
            <w:r w:rsidRPr="00E70463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</w:tr>
      <w:tr w:rsidR="00E70463" w:rsidRPr="00E70463" w:rsidTr="003856F5">
        <w:trPr>
          <w:cantSplit/>
        </w:trPr>
        <w:tc>
          <w:tcPr>
            <w:tcW w:w="197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0463" w:rsidRPr="00E70463" w:rsidRDefault="00E70463" w:rsidP="00E70463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0463" w:rsidRPr="00E70463" w:rsidRDefault="00E70463" w:rsidP="00E704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0463" w:rsidRPr="00E70463" w:rsidRDefault="00E70463" w:rsidP="00E704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463" w:rsidRPr="00E70463" w:rsidRDefault="00E70463" w:rsidP="00E704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70463" w:rsidRPr="00E70463" w:rsidTr="003856F5">
        <w:tc>
          <w:tcPr>
            <w:tcW w:w="1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0463" w:rsidRPr="00E70463" w:rsidRDefault="00E70463" w:rsidP="00E704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М</w:t>
            </w:r>
            <w:proofErr w:type="gramStart"/>
            <w:r w:rsidRPr="00E7046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proofErr w:type="gramEnd"/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0463" w:rsidRPr="00E70463" w:rsidRDefault="00E70463" w:rsidP="00E704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0463" w:rsidRPr="00E70463" w:rsidRDefault="00E70463" w:rsidP="00E704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463" w:rsidRPr="00E70463" w:rsidRDefault="00E70463" w:rsidP="00E704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E70463" w:rsidRPr="00E70463" w:rsidTr="003856F5">
        <w:tc>
          <w:tcPr>
            <w:tcW w:w="1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0463" w:rsidRPr="00E70463" w:rsidRDefault="00E70463" w:rsidP="00E704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М</w:t>
            </w:r>
            <w:proofErr w:type="gramStart"/>
            <w:r w:rsidRPr="00E70463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proofErr w:type="gramEnd"/>
            <w:r w:rsidRPr="00E70463">
              <w:rPr>
                <w:rFonts w:ascii="Times New Roman" w:hAnsi="Times New Roman"/>
                <w:sz w:val="24"/>
                <w:szCs w:val="24"/>
              </w:rPr>
              <w:t>, N</w:t>
            </w:r>
            <w:r w:rsidRPr="00E7046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0463" w:rsidRPr="00E70463" w:rsidRDefault="00E70463" w:rsidP="00E704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0463" w:rsidRPr="00E70463" w:rsidRDefault="00E70463" w:rsidP="00E704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463" w:rsidRPr="00E70463" w:rsidRDefault="00E70463" w:rsidP="00E704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E70463" w:rsidRPr="00E70463" w:rsidTr="003856F5">
        <w:tc>
          <w:tcPr>
            <w:tcW w:w="1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0463" w:rsidRPr="00E70463" w:rsidRDefault="00E70463" w:rsidP="00E704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М</w:t>
            </w:r>
            <w:r w:rsidRPr="00E70463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E70463">
              <w:rPr>
                <w:rFonts w:ascii="Times New Roman" w:hAnsi="Times New Roman"/>
                <w:sz w:val="24"/>
                <w:szCs w:val="24"/>
              </w:rPr>
              <w:t xml:space="preserve"> ,  N</w:t>
            </w:r>
            <w:r w:rsidRPr="00E70463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 </w:t>
            </w:r>
            <w:r w:rsidRPr="00E70463">
              <w:rPr>
                <w:rFonts w:ascii="Times New Roman" w:hAnsi="Times New Roman"/>
                <w:sz w:val="24"/>
                <w:szCs w:val="24"/>
              </w:rPr>
              <w:t>, N</w:t>
            </w:r>
            <w:r w:rsidRPr="00E70463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0463" w:rsidRPr="00E70463" w:rsidRDefault="00E70463" w:rsidP="00E704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0463" w:rsidRPr="00E70463" w:rsidRDefault="00E70463" w:rsidP="00E704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463" w:rsidRPr="00E70463" w:rsidRDefault="00E70463" w:rsidP="00E704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</w:tbl>
    <w:p w:rsidR="00E70463" w:rsidRPr="00E70463" w:rsidRDefault="00E70463" w:rsidP="00E70463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lastRenderedPageBreak/>
        <w:t>На все таблицы должны быть ссылки в тексте, при этом слово «таблица» в тексте пишут полностью, например: в таблице 4…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Таблицу, в зависимости от ее размера, помещают под текстом, в котором впервые дана ссылка на нее, или на следующей странице, а при необходимости, в приложении. Допускается помещать таблицу вдоль длинной стороны листа.</w:t>
      </w:r>
    </w:p>
    <w:p w:rsidR="003856F5" w:rsidRDefault="003856F5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Для того</w:t>
      </w:r>
      <w:proofErr w:type="gramStart"/>
      <w:r w:rsidRPr="00E70463">
        <w:rPr>
          <w:rFonts w:ascii="Times New Roman" w:hAnsi="Times New Roman"/>
          <w:sz w:val="24"/>
          <w:szCs w:val="24"/>
        </w:rPr>
        <w:t>,</w:t>
      </w:r>
      <w:proofErr w:type="gramEnd"/>
      <w:r w:rsidRPr="00E70463">
        <w:rPr>
          <w:rFonts w:ascii="Times New Roman" w:hAnsi="Times New Roman"/>
          <w:sz w:val="24"/>
          <w:szCs w:val="24"/>
        </w:rPr>
        <w:t xml:space="preserve"> чтобы сделать текст понятным и выразительным, в тексте документа используют автоматические нумерованные и маркированные списки.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Пример 1 нумерованного списка: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1.</w:t>
      </w:r>
      <w:r w:rsidRPr="00E70463">
        <w:rPr>
          <w:rFonts w:ascii="Times New Roman" w:hAnsi="Times New Roman"/>
          <w:sz w:val="24"/>
          <w:szCs w:val="24"/>
        </w:rPr>
        <w:tab/>
        <w:t>Невозможно испытывать твердые материалы свыше НВ=450, т.е. закаленные мет</w:t>
      </w:r>
      <w:r w:rsidR="003856F5">
        <w:rPr>
          <w:rFonts w:ascii="Times New Roman" w:hAnsi="Times New Roman"/>
          <w:sz w:val="24"/>
          <w:szCs w:val="24"/>
        </w:rPr>
        <w:t>аллы.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2.</w:t>
      </w:r>
      <w:r w:rsidRPr="00E70463">
        <w:rPr>
          <w:rFonts w:ascii="Times New Roman" w:hAnsi="Times New Roman"/>
          <w:sz w:val="24"/>
          <w:szCs w:val="24"/>
        </w:rPr>
        <w:tab/>
        <w:t>Метод дает грубый (большой) отпе</w:t>
      </w:r>
      <w:r w:rsidR="003856F5">
        <w:rPr>
          <w:rFonts w:ascii="Times New Roman" w:hAnsi="Times New Roman"/>
          <w:sz w:val="24"/>
          <w:szCs w:val="24"/>
        </w:rPr>
        <w:t>чаток, что не всегда допустимо.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3.</w:t>
      </w:r>
      <w:r w:rsidRPr="00E70463">
        <w:rPr>
          <w:rFonts w:ascii="Times New Roman" w:hAnsi="Times New Roman"/>
          <w:sz w:val="24"/>
          <w:szCs w:val="24"/>
        </w:rPr>
        <w:tab/>
        <w:t>Нельзя испытывать материал тоньше 2-х мм, т.к. шарик будет продавливать тонкий слой металла.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Пример 2 нумерованного списка: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1)</w:t>
      </w:r>
      <w:r w:rsidRPr="00E70463">
        <w:rPr>
          <w:rFonts w:ascii="Times New Roman" w:hAnsi="Times New Roman"/>
          <w:sz w:val="24"/>
          <w:szCs w:val="24"/>
        </w:rPr>
        <w:tab/>
        <w:t>Нагрузка пресса на образец - 3000; 1000; 750; 250; 187; 5; 62,5; 15,6 кг.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2)</w:t>
      </w:r>
      <w:r w:rsidRPr="00E70463">
        <w:rPr>
          <w:rFonts w:ascii="Times New Roman" w:hAnsi="Times New Roman"/>
          <w:sz w:val="24"/>
          <w:szCs w:val="24"/>
        </w:rPr>
        <w:tab/>
        <w:t>Диаметры шариков - 10; 5 и 2,5 мм.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3)</w:t>
      </w:r>
      <w:r w:rsidRPr="00E70463">
        <w:rPr>
          <w:rFonts w:ascii="Times New Roman" w:hAnsi="Times New Roman"/>
          <w:sz w:val="24"/>
          <w:szCs w:val="24"/>
        </w:rPr>
        <w:tab/>
        <w:t>Выдержки под нагрузкой  - 10; 30 и 60 сек.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4)</w:t>
      </w:r>
      <w:r w:rsidRPr="00E70463">
        <w:rPr>
          <w:rFonts w:ascii="Times New Roman" w:hAnsi="Times New Roman"/>
          <w:sz w:val="24"/>
          <w:szCs w:val="24"/>
        </w:rPr>
        <w:tab/>
        <w:t>Наибольшая высота испытуемого изделиям  - 250 мм.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5)</w:t>
      </w:r>
      <w:r w:rsidRPr="00E70463">
        <w:rPr>
          <w:rFonts w:ascii="Times New Roman" w:hAnsi="Times New Roman"/>
          <w:sz w:val="24"/>
          <w:szCs w:val="24"/>
        </w:rPr>
        <w:tab/>
        <w:t>Габаритные размеры пресса: 840х700х250 мм.</w:t>
      </w:r>
    </w:p>
    <w:p w:rsidR="003856F5" w:rsidRDefault="003856F5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При необходимости применения условных обозначений, изображений или знаков, не установленных действующими стандартами, их следует пояснять в тексте или в перечне обозначений.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Формулы и уравнения располагают на середине строки, а связывающие их слова (</w:t>
      </w:r>
      <w:r w:rsidRPr="00E70463">
        <w:rPr>
          <w:rFonts w:ascii="Times New Roman" w:hAnsi="Times New Roman"/>
          <w:i/>
          <w:iCs/>
          <w:sz w:val="24"/>
          <w:szCs w:val="24"/>
        </w:rPr>
        <w:t xml:space="preserve">следовательно, откуда </w:t>
      </w:r>
      <w:r w:rsidRPr="00E70463">
        <w:rPr>
          <w:rFonts w:ascii="Times New Roman" w:hAnsi="Times New Roman"/>
          <w:sz w:val="24"/>
          <w:szCs w:val="24"/>
        </w:rPr>
        <w:t>и т.п.) – в начале строки. Например: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iCs/>
          <w:sz w:val="24"/>
          <w:szCs w:val="24"/>
        </w:rPr>
      </w:pPr>
      <w:r w:rsidRPr="00E70463">
        <w:rPr>
          <w:rFonts w:ascii="Times New Roman" w:hAnsi="Times New Roman"/>
          <w:iCs/>
          <w:sz w:val="24"/>
          <w:szCs w:val="24"/>
        </w:rPr>
        <w:t>Из условий неразрывности находим</w:t>
      </w:r>
    </w:p>
    <w:p w:rsidR="00E70463" w:rsidRPr="00E70463" w:rsidRDefault="00E70463" w:rsidP="00E70463">
      <w:pPr>
        <w:spacing w:after="0" w:line="360" w:lineRule="auto"/>
        <w:ind w:firstLine="709"/>
        <w:jc w:val="center"/>
        <w:rPr>
          <w:rFonts w:ascii="Times New Roman" w:hAnsi="Times New Roman"/>
          <w:iCs/>
          <w:sz w:val="24"/>
          <w:szCs w:val="24"/>
        </w:rPr>
      </w:pPr>
      <w:r w:rsidRPr="00E70463">
        <w:rPr>
          <w:rFonts w:ascii="Times New Roman" w:hAnsi="Times New Roman"/>
          <w:iCs/>
          <w:sz w:val="24"/>
          <w:szCs w:val="24"/>
        </w:rPr>
        <w:t>Q = 2</w:t>
      </w:r>
      <w:r w:rsidRPr="00E70463">
        <w:rPr>
          <w:rFonts w:ascii="Times New Roman" w:hAnsi="Times New Roman"/>
          <w:iCs/>
          <w:sz w:val="24"/>
          <w:szCs w:val="24"/>
        </w:rPr>
        <w:t>rv</w:t>
      </w:r>
      <w:r w:rsidRPr="00E70463">
        <w:rPr>
          <w:rFonts w:ascii="Times New Roman" w:hAnsi="Times New Roman"/>
          <w:iCs/>
          <w:sz w:val="24"/>
          <w:szCs w:val="24"/>
          <w:vertAlign w:val="subscript"/>
        </w:rPr>
        <w:t xml:space="preserve">r </w:t>
      </w:r>
      <w:r w:rsidRPr="00E70463">
        <w:rPr>
          <w:rFonts w:ascii="Times New Roman" w:hAnsi="Times New Roman"/>
          <w:iCs/>
          <w:sz w:val="24"/>
          <w:szCs w:val="24"/>
        </w:rPr>
        <w:t>.</w:t>
      </w:r>
    </w:p>
    <w:p w:rsidR="00E70463" w:rsidRPr="00E70463" w:rsidRDefault="00E70463" w:rsidP="00E70463">
      <w:pPr>
        <w:spacing w:after="0" w:line="360" w:lineRule="auto"/>
        <w:ind w:firstLine="709"/>
        <w:jc w:val="right"/>
        <w:rPr>
          <w:rFonts w:ascii="Times New Roman" w:hAnsi="Times New Roman"/>
          <w:iCs/>
          <w:sz w:val="24"/>
          <w:szCs w:val="24"/>
        </w:rPr>
      </w:pPr>
      <w:r w:rsidRPr="00E70463">
        <w:rPr>
          <w:rFonts w:ascii="Times New Roman" w:hAnsi="Times New Roman"/>
          <w:iCs/>
          <w:sz w:val="24"/>
          <w:szCs w:val="24"/>
        </w:rPr>
        <w:t xml:space="preserve">            </w:t>
      </w:r>
      <w:r w:rsidRPr="00E70463">
        <w:rPr>
          <w:rFonts w:ascii="Times New Roman" w:hAnsi="Times New Roman"/>
          <w:iCs/>
          <w:sz w:val="24"/>
          <w:szCs w:val="24"/>
        </w:rPr>
        <w:tab/>
      </w:r>
      <w:r w:rsidRPr="00E70463">
        <w:rPr>
          <w:rFonts w:ascii="Times New Roman" w:hAnsi="Times New Roman"/>
          <w:sz w:val="24"/>
          <w:szCs w:val="24"/>
        </w:rPr>
        <w:t>(1)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iCs/>
          <w:sz w:val="24"/>
          <w:szCs w:val="24"/>
        </w:rPr>
      </w:pPr>
      <w:r w:rsidRPr="00E70463">
        <w:rPr>
          <w:rFonts w:ascii="Times New Roman" w:hAnsi="Times New Roman"/>
          <w:iCs/>
          <w:sz w:val="24"/>
          <w:szCs w:val="24"/>
        </w:rPr>
        <w:t>Так как</w:t>
      </w:r>
    </w:p>
    <w:p w:rsidR="00E70463" w:rsidRPr="00E70463" w:rsidRDefault="00E70463" w:rsidP="00E70463">
      <w:pPr>
        <w:spacing w:after="0" w:line="360" w:lineRule="auto"/>
        <w:ind w:firstLine="709"/>
        <w:jc w:val="center"/>
        <w:rPr>
          <w:rFonts w:ascii="Times New Roman" w:hAnsi="Times New Roman"/>
          <w:iCs/>
          <w:sz w:val="24"/>
          <w:szCs w:val="24"/>
        </w:rPr>
      </w:pPr>
      <w:r w:rsidRPr="00E70463">
        <w:rPr>
          <w:rFonts w:ascii="Times New Roman" w:hAnsi="Times New Roman"/>
          <w:iCs/>
          <w:sz w:val="24"/>
          <w:szCs w:val="24"/>
        </w:rPr>
        <w:t></w:t>
      </w:r>
      <w:proofErr w:type="spellStart"/>
      <w:r w:rsidRPr="00E70463">
        <w:rPr>
          <w:rFonts w:ascii="Times New Roman" w:hAnsi="Times New Roman"/>
          <w:iCs/>
          <w:sz w:val="24"/>
          <w:szCs w:val="24"/>
          <w:vertAlign w:val="subscript"/>
        </w:rPr>
        <w:t>r</w:t>
      </w:r>
      <w:proofErr w:type="spellEnd"/>
      <w:r w:rsidR="00586CFB" w:rsidRPr="00586CFB">
        <w:rPr>
          <w:rFonts w:ascii="Times New Roman" w:hAnsi="Times New Roman"/>
          <w:position w:val="-24"/>
          <w:sz w:val="24"/>
          <w:szCs w:val="24"/>
        </w:rPr>
        <w:object w:dxaOrig="1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30.75pt" o:ole="" filled="t">
            <v:fill color2="black"/>
            <v:imagedata r:id="rId8" o:title=""/>
          </v:shape>
          <o:OLEObject Type="Embed" ProgID="Equation.3" ShapeID="_x0000_i1025" DrawAspect="Content" ObjectID="_1662292273" r:id="rId9"/>
        </w:object>
      </w:r>
      <w:r w:rsidRPr="00E70463">
        <w:rPr>
          <w:rFonts w:ascii="Times New Roman" w:hAnsi="Times New Roman"/>
          <w:iCs/>
          <w:sz w:val="24"/>
          <w:szCs w:val="24"/>
        </w:rPr>
        <w:t>,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iCs/>
          <w:sz w:val="24"/>
          <w:szCs w:val="24"/>
        </w:rPr>
      </w:pPr>
      <w:r w:rsidRPr="00E70463">
        <w:rPr>
          <w:rFonts w:ascii="Times New Roman" w:hAnsi="Times New Roman"/>
          <w:iCs/>
          <w:sz w:val="24"/>
          <w:szCs w:val="24"/>
        </w:rPr>
        <w:t>то</w:t>
      </w:r>
    </w:p>
    <w:p w:rsidR="00E70463" w:rsidRPr="00E70463" w:rsidRDefault="00E70463" w:rsidP="00E70463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iCs/>
          <w:sz w:val="24"/>
          <w:szCs w:val="24"/>
        </w:rPr>
        <w:t xml:space="preserve">Q = </w:t>
      </w:r>
      <w:r w:rsidRPr="00E70463">
        <w:rPr>
          <w:rFonts w:ascii="Times New Roman" w:hAnsi="Times New Roman"/>
          <w:position w:val="-21"/>
          <w:sz w:val="24"/>
          <w:szCs w:val="24"/>
        </w:rPr>
        <w:object w:dxaOrig="740" w:dyaOrig="620">
          <v:shape id="_x0000_i1026" type="#_x0000_t75" style="width:36pt;height:30.75pt" o:ole="" filled="t">
            <v:fill color2="black"/>
            <v:imagedata r:id="rId10" o:title=""/>
          </v:shape>
          <o:OLEObject Type="Embed" ProgID="Equation.3" ShapeID="_x0000_i1026" DrawAspect="Content" ObjectID="_1662292274" r:id="rId11"/>
        </w:object>
      </w:r>
      <w:r w:rsidRPr="00E70463">
        <w:rPr>
          <w:rFonts w:ascii="Times New Roman" w:hAnsi="Times New Roman"/>
          <w:iCs/>
          <w:sz w:val="24"/>
          <w:szCs w:val="24"/>
        </w:rPr>
        <w:t xml:space="preserve">.                                              </w:t>
      </w:r>
      <w:r w:rsidRPr="00E70463">
        <w:rPr>
          <w:rFonts w:ascii="Times New Roman" w:hAnsi="Times New Roman"/>
          <w:iCs/>
          <w:sz w:val="24"/>
          <w:szCs w:val="24"/>
        </w:rPr>
        <w:tab/>
      </w:r>
      <w:r w:rsidRPr="00E70463">
        <w:rPr>
          <w:rFonts w:ascii="Times New Roman" w:hAnsi="Times New Roman"/>
          <w:iCs/>
          <w:sz w:val="24"/>
          <w:szCs w:val="24"/>
        </w:rPr>
        <w:tab/>
      </w:r>
      <w:r w:rsidRPr="00E70463">
        <w:rPr>
          <w:rFonts w:ascii="Times New Roman" w:hAnsi="Times New Roman"/>
          <w:sz w:val="24"/>
          <w:szCs w:val="24"/>
        </w:rPr>
        <w:t>(2)</w:t>
      </w:r>
    </w:p>
    <w:p w:rsidR="003856F5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lastRenderedPageBreak/>
        <w:t xml:space="preserve">Для основных формул и уравнений, на которые делаются ссылки, вводят   сквозную нумерацию арабскими цифрами. </w:t>
      </w:r>
    </w:p>
    <w:p w:rsidR="003856F5" w:rsidRDefault="003856F5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Ссылки на иллюстрации разрешается помещать в скобках</w:t>
      </w:r>
      <w:r w:rsidR="002340E7">
        <w:rPr>
          <w:rFonts w:ascii="Times New Roman" w:hAnsi="Times New Roman"/>
          <w:sz w:val="24"/>
          <w:szCs w:val="24"/>
        </w:rPr>
        <w:t xml:space="preserve"> в соответствующем месте текста </w:t>
      </w:r>
      <w:r w:rsidRPr="00E70463">
        <w:rPr>
          <w:rFonts w:ascii="Times New Roman" w:hAnsi="Times New Roman"/>
          <w:sz w:val="24"/>
          <w:szCs w:val="24"/>
        </w:rPr>
        <w:t>(</w:t>
      </w:r>
      <w:r w:rsidR="002340E7">
        <w:rPr>
          <w:rFonts w:ascii="Times New Roman" w:hAnsi="Times New Roman"/>
          <w:sz w:val="24"/>
          <w:szCs w:val="24"/>
        </w:rPr>
        <w:t>рисунок 1</w:t>
      </w:r>
      <w:r w:rsidRPr="00E70463">
        <w:rPr>
          <w:rFonts w:ascii="Times New Roman" w:hAnsi="Times New Roman"/>
          <w:sz w:val="24"/>
          <w:szCs w:val="24"/>
        </w:rPr>
        <w:t xml:space="preserve">). Ссылки на ранее упомянутые иллюстрации записывают сокращенным словом «смотри», например, </w:t>
      </w:r>
      <w:proofErr w:type="gramStart"/>
      <w:r w:rsidRPr="00E70463">
        <w:rPr>
          <w:rFonts w:ascii="Times New Roman" w:hAnsi="Times New Roman"/>
          <w:sz w:val="24"/>
          <w:szCs w:val="24"/>
        </w:rPr>
        <w:t>см</w:t>
      </w:r>
      <w:proofErr w:type="gramEnd"/>
      <w:r w:rsidRPr="00E70463">
        <w:rPr>
          <w:rFonts w:ascii="Times New Roman" w:hAnsi="Times New Roman"/>
          <w:sz w:val="24"/>
          <w:szCs w:val="24"/>
        </w:rPr>
        <w:t>. рисунок 3.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 xml:space="preserve">Точка в конце названия рисунка не ставится. </w:t>
      </w:r>
    </w:p>
    <w:p w:rsidR="00E70463" w:rsidRPr="00E70463" w:rsidRDefault="00E70463" w:rsidP="00E70463">
      <w:pPr>
        <w:pStyle w:val="3"/>
        <w:widowControl/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noProof/>
          <w:snapToGrid/>
          <w:sz w:val="24"/>
          <w:szCs w:val="24"/>
        </w:rPr>
        <w:drawing>
          <wp:inline distT="0" distB="0" distL="0" distR="0">
            <wp:extent cx="4991100" cy="2951811"/>
            <wp:effectExtent l="19050" t="0" r="0" b="0"/>
            <wp:docPr id="2" name="Объект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70463" w:rsidRPr="00E70463" w:rsidRDefault="00E70463" w:rsidP="00E70463">
      <w:pPr>
        <w:pStyle w:val="3"/>
        <w:widowControl/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Рисунок 1. Процентное соотношение количества документов по структурным                  подразделениям предприятия</w:t>
      </w:r>
    </w:p>
    <w:p w:rsidR="00E70463" w:rsidRPr="00E70463" w:rsidRDefault="00E70463" w:rsidP="00E70463">
      <w:pPr>
        <w:pStyle w:val="3"/>
        <w:widowControl/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noProof/>
          <w:snapToGrid/>
          <w:sz w:val="24"/>
          <w:szCs w:val="24"/>
        </w:rPr>
        <w:drawing>
          <wp:inline distT="0" distB="0" distL="0" distR="0">
            <wp:extent cx="5095875" cy="2924175"/>
            <wp:effectExtent l="0" t="0" r="0" b="0"/>
            <wp:docPr id="3" name="Объект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70463" w:rsidRPr="00E70463" w:rsidRDefault="00E70463" w:rsidP="00E70463">
      <w:pPr>
        <w:pStyle w:val="3"/>
        <w:widowControl/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Рисунок 2. Показатели количества документов по годам</w:t>
      </w:r>
    </w:p>
    <w:p w:rsidR="00E70463" w:rsidRDefault="00E70463" w:rsidP="00E70463">
      <w:pPr>
        <w:pStyle w:val="3"/>
        <w:widowControl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70463" w:rsidRPr="00A03F4F" w:rsidRDefault="00E70463" w:rsidP="00A03F4F">
      <w:pPr>
        <w:pStyle w:val="3"/>
        <w:widowControl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03F4F">
        <w:rPr>
          <w:rFonts w:ascii="Times New Roman" w:hAnsi="Times New Roman"/>
          <w:sz w:val="24"/>
          <w:szCs w:val="24"/>
        </w:rPr>
        <w:lastRenderedPageBreak/>
        <w:t xml:space="preserve">Таблицы, схемы и рисунки, занимающие страницу и более, помещают в приложение, а небольшие  - на страницах работы. </w:t>
      </w:r>
    </w:p>
    <w:p w:rsidR="003856F5" w:rsidRDefault="003856F5" w:rsidP="00A03F4F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:rsidR="00A03F4F" w:rsidRPr="00A03F4F" w:rsidRDefault="00A03F4F" w:rsidP="00A03F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03F4F">
        <w:rPr>
          <w:rFonts w:ascii="Times New Roman" w:hAnsi="Times New Roman"/>
          <w:i/>
          <w:sz w:val="24"/>
          <w:szCs w:val="24"/>
        </w:rPr>
        <w:t xml:space="preserve">Оформление библиографических ссылок (сносок) </w:t>
      </w:r>
    </w:p>
    <w:p w:rsidR="00A03F4F" w:rsidRDefault="00A03F4F" w:rsidP="00A03F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03F4F">
        <w:rPr>
          <w:rFonts w:ascii="Times New Roman" w:hAnsi="Times New Roman"/>
          <w:sz w:val="24"/>
          <w:szCs w:val="24"/>
        </w:rPr>
        <w:t xml:space="preserve">Библиографическая   ссылка    содержит    библиографические    сведения  о цитируемом, рассматриваемом или упоминаемом в тексте документа другом документе  (его  составной   части   или   группе   документов),   необходимые  и достаточные для его идентификации, поиска и общей характеристики. </w:t>
      </w:r>
    </w:p>
    <w:p w:rsidR="00586CFB" w:rsidRPr="00E70463" w:rsidRDefault="00586CFB" w:rsidP="00586CFB">
      <w:pPr>
        <w:pStyle w:val="Style53"/>
        <w:widowControl/>
        <w:spacing w:line="360" w:lineRule="auto"/>
        <w:ind w:firstLine="709"/>
        <w:jc w:val="both"/>
        <w:rPr>
          <w:rStyle w:val="FontStyle91"/>
          <w:iCs/>
          <w:sz w:val="24"/>
        </w:rPr>
      </w:pPr>
      <w:r w:rsidRPr="00E70463">
        <w:rPr>
          <w:rStyle w:val="FontStyle91"/>
          <w:iCs/>
          <w:sz w:val="24"/>
        </w:rPr>
        <w:t>Пример:</w:t>
      </w:r>
    </w:p>
    <w:p w:rsidR="00586CFB" w:rsidRPr="00E70463" w:rsidRDefault="00586CFB" w:rsidP="00586CFB">
      <w:pPr>
        <w:pStyle w:val="Style53"/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rStyle w:val="FontStyle91"/>
          <w:i w:val="0"/>
          <w:sz w:val="24"/>
        </w:rPr>
      </w:pPr>
      <w:r w:rsidRPr="00E70463">
        <w:rPr>
          <w:rStyle w:val="FontStyle91"/>
          <w:sz w:val="24"/>
        </w:rPr>
        <w:t>[3] – ссылка на нормативный документ или Интернет-ресурс, находящийся в списке источников и литературы под порядковым номером 3;</w:t>
      </w:r>
    </w:p>
    <w:p w:rsidR="00586CFB" w:rsidRPr="00E70463" w:rsidRDefault="00586CFB" w:rsidP="00586CFB">
      <w:pPr>
        <w:pStyle w:val="Style53"/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rStyle w:val="FontStyle96"/>
          <w:sz w:val="24"/>
        </w:rPr>
      </w:pPr>
      <w:r w:rsidRPr="00E70463">
        <w:rPr>
          <w:rStyle w:val="FontStyle96"/>
          <w:sz w:val="24"/>
        </w:rPr>
        <w:t xml:space="preserve">[5, с. 123] – ссылка на источник, </w:t>
      </w:r>
      <w:r w:rsidRPr="00E70463">
        <w:rPr>
          <w:rStyle w:val="FontStyle91"/>
          <w:sz w:val="24"/>
        </w:rPr>
        <w:t>находящийся в списке источников и литературы под порядковым номером 5; 123 – номер страницы.</w:t>
      </w:r>
    </w:p>
    <w:p w:rsidR="00586CFB" w:rsidRPr="00E70463" w:rsidRDefault="00586CFB" w:rsidP="00586C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Подстрочная библиографическая ссылка оформляется как примечание, вынесенное из текста документа вниз полосы.</w:t>
      </w:r>
    </w:p>
    <w:p w:rsidR="00586CFB" w:rsidRPr="00E70463" w:rsidRDefault="00586CFB" w:rsidP="00586C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E70463">
        <w:rPr>
          <w:rFonts w:ascii="Times New Roman" w:hAnsi="Times New Roman"/>
          <w:i/>
          <w:iCs/>
          <w:sz w:val="24"/>
          <w:szCs w:val="24"/>
        </w:rPr>
        <w:t>Пример:</w:t>
      </w:r>
    </w:p>
    <w:p w:rsidR="00586CFB" w:rsidRPr="00E70463" w:rsidRDefault="00586CFB" w:rsidP="00586C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E70463">
        <w:rPr>
          <w:rFonts w:ascii="Times New Roman" w:hAnsi="Times New Roman"/>
          <w:i/>
          <w:iCs/>
          <w:sz w:val="24"/>
          <w:szCs w:val="24"/>
        </w:rPr>
        <w:t>в основном тексте:</w:t>
      </w:r>
    </w:p>
    <w:p w:rsidR="00586CFB" w:rsidRDefault="00586CFB" w:rsidP="00586C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 xml:space="preserve">На основании исследований </w:t>
      </w:r>
      <w:proofErr w:type="spellStart"/>
      <w:r w:rsidRPr="00E70463">
        <w:rPr>
          <w:rFonts w:ascii="Times New Roman" w:hAnsi="Times New Roman"/>
          <w:sz w:val="24"/>
          <w:szCs w:val="24"/>
        </w:rPr>
        <w:t>Парсонса</w:t>
      </w:r>
      <w:proofErr w:type="spellEnd"/>
      <w:r w:rsidRPr="00E70463">
        <w:rPr>
          <w:rFonts w:ascii="Times New Roman" w:hAnsi="Times New Roman"/>
          <w:sz w:val="24"/>
          <w:szCs w:val="24"/>
        </w:rPr>
        <w:t xml:space="preserve"> было дано следующее определение профориентации «Профессиональная ориентация – это процесс оказания помощи индивиду в изучении профессии и собственных личных качеств, процесс, завершающийся разумным выбором профессии»</w:t>
      </w:r>
      <w:r w:rsidRPr="00E70463">
        <w:rPr>
          <w:rFonts w:ascii="Times New Roman" w:hAnsi="Times New Roman"/>
          <w:sz w:val="24"/>
          <w:szCs w:val="24"/>
          <w:vertAlign w:val="superscript"/>
        </w:rPr>
        <w:t>1</w:t>
      </w:r>
      <w:r w:rsidRPr="00E70463">
        <w:rPr>
          <w:rFonts w:ascii="Times New Roman" w:hAnsi="Times New Roman"/>
          <w:sz w:val="24"/>
          <w:szCs w:val="24"/>
        </w:rPr>
        <w:t>.</w:t>
      </w:r>
    </w:p>
    <w:p w:rsidR="00586CFB" w:rsidRPr="00E70463" w:rsidRDefault="00586CFB" w:rsidP="00586C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E70463">
        <w:rPr>
          <w:rFonts w:ascii="Times New Roman" w:hAnsi="Times New Roman"/>
          <w:i/>
          <w:iCs/>
          <w:sz w:val="24"/>
          <w:szCs w:val="24"/>
        </w:rPr>
        <w:t>в примечании (в нижнем колонтитуле):</w:t>
      </w:r>
    </w:p>
    <w:p w:rsidR="00586CFB" w:rsidRPr="00E70463" w:rsidRDefault="00586CFB" w:rsidP="00586C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E70463">
        <w:rPr>
          <w:rFonts w:ascii="Times New Roman" w:hAnsi="Times New Roman"/>
          <w:i/>
          <w:iCs/>
          <w:sz w:val="24"/>
          <w:szCs w:val="24"/>
        </w:rPr>
        <w:t>_________________</w:t>
      </w:r>
    </w:p>
    <w:p w:rsidR="00586CFB" w:rsidRPr="00E70463" w:rsidRDefault="00586CFB" w:rsidP="00586C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  <w:vertAlign w:val="superscript"/>
        </w:rPr>
        <w:t>1</w:t>
      </w:r>
      <w:r w:rsidRPr="00E70463">
        <w:rPr>
          <w:rFonts w:ascii="Times New Roman" w:hAnsi="Times New Roman"/>
          <w:sz w:val="24"/>
          <w:szCs w:val="24"/>
        </w:rPr>
        <w:t>Укке, Ю. В. Диагностика сознательности выбора професс</w:t>
      </w:r>
      <w:proofErr w:type="gramStart"/>
      <w:r w:rsidRPr="00E70463">
        <w:rPr>
          <w:rFonts w:ascii="Times New Roman" w:hAnsi="Times New Roman"/>
          <w:sz w:val="24"/>
          <w:szCs w:val="24"/>
        </w:rPr>
        <w:t>ии у я</w:t>
      </w:r>
      <w:proofErr w:type="gramEnd"/>
      <w:r w:rsidRPr="00E70463">
        <w:rPr>
          <w:rFonts w:ascii="Times New Roman" w:hAnsi="Times New Roman"/>
          <w:sz w:val="24"/>
          <w:szCs w:val="24"/>
        </w:rPr>
        <w:t>понских школьников // Вопросы психологии. – 1990.- №5. – С.17</w:t>
      </w:r>
    </w:p>
    <w:p w:rsidR="00586CFB" w:rsidRPr="00E70463" w:rsidRDefault="00586CFB" w:rsidP="00586CFB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E70463" w:rsidRDefault="00E70463" w:rsidP="00A03F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24977">
        <w:rPr>
          <w:rFonts w:ascii="Times New Roman" w:hAnsi="Times New Roman"/>
          <w:b/>
          <w:sz w:val="24"/>
          <w:szCs w:val="24"/>
        </w:rPr>
        <w:t>При оформлении приложений</w:t>
      </w:r>
      <w:r w:rsidRPr="00A03F4F">
        <w:rPr>
          <w:rFonts w:ascii="Times New Roman" w:hAnsi="Times New Roman"/>
          <w:sz w:val="24"/>
          <w:szCs w:val="24"/>
        </w:rPr>
        <w:t xml:space="preserve"> должна использоваться нумерация: Приложение 1, Приложение 2 и т. д. Нумерация Приложений соответствует порядку появления ссылок на них. В Содержании работы названия Приложений не указываются. Каждое новое Приложение начинается с новой страницы с указанием своего номера (в правом верхнем углу без выделения) и имеет название, отражающее его содержание (по центру полужирным шрифтом). Если Приложение одно, то по центру прописными буквами пишется ПРИЛОЖЕНИЕ  без нумерации.</w:t>
      </w:r>
    </w:p>
    <w:p w:rsidR="003856F5" w:rsidRDefault="003856F5" w:rsidP="00A03F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3856F5" w:rsidRPr="00A03F4F" w:rsidRDefault="003856F5" w:rsidP="00A03F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367994" w:rsidRDefault="00367994" w:rsidP="00367994">
      <w:pPr>
        <w:keepNext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/>
          <w:b/>
          <w:bCs/>
          <w:kern w:val="32"/>
          <w:sz w:val="24"/>
          <w:szCs w:val="32"/>
        </w:rPr>
      </w:pPr>
      <w:bookmarkStart w:id="0" w:name="_Toc483384706"/>
      <w:bookmarkStart w:id="1" w:name="_Toc483384729"/>
      <w:bookmarkStart w:id="2" w:name="_Toc483553256"/>
      <w:r w:rsidRPr="00367994">
        <w:rPr>
          <w:rFonts w:ascii="Times New Roman" w:eastAsia="Times New Roman" w:hAnsi="Times New Roman"/>
          <w:b/>
          <w:bCs/>
          <w:kern w:val="32"/>
          <w:sz w:val="24"/>
          <w:szCs w:val="32"/>
        </w:rPr>
        <w:lastRenderedPageBreak/>
        <w:t xml:space="preserve">СПИСОК </w:t>
      </w:r>
      <w:bookmarkEnd w:id="0"/>
      <w:bookmarkEnd w:id="1"/>
      <w:bookmarkEnd w:id="2"/>
      <w:r w:rsidR="00C240F1">
        <w:rPr>
          <w:rFonts w:ascii="Times New Roman" w:eastAsia="Times New Roman" w:hAnsi="Times New Roman"/>
          <w:b/>
          <w:bCs/>
          <w:kern w:val="32"/>
          <w:sz w:val="24"/>
          <w:szCs w:val="32"/>
        </w:rPr>
        <w:t xml:space="preserve">ИСПОЛЬЗОВАННЫХ  </w:t>
      </w:r>
      <w:r w:rsidR="00F2517F">
        <w:rPr>
          <w:rFonts w:ascii="Times New Roman" w:eastAsia="Times New Roman" w:hAnsi="Times New Roman"/>
          <w:b/>
          <w:bCs/>
          <w:kern w:val="32"/>
          <w:sz w:val="24"/>
          <w:szCs w:val="32"/>
        </w:rPr>
        <w:t xml:space="preserve">ИСТОЧНИКОВ </w:t>
      </w:r>
    </w:p>
    <w:p w:rsidR="003856F5" w:rsidRDefault="003856F5" w:rsidP="00A003DB">
      <w:pPr>
        <w:pStyle w:val="a9"/>
        <w:spacing w:line="360" w:lineRule="auto"/>
        <w:ind w:firstLine="709"/>
        <w:jc w:val="both"/>
        <w:rPr>
          <w:sz w:val="24"/>
        </w:rPr>
      </w:pPr>
    </w:p>
    <w:p w:rsidR="00A003DB" w:rsidRDefault="00A003DB" w:rsidP="00A003DB">
      <w:pPr>
        <w:pStyle w:val="a9"/>
        <w:spacing w:line="360" w:lineRule="auto"/>
        <w:ind w:firstLine="709"/>
        <w:jc w:val="both"/>
        <w:rPr>
          <w:sz w:val="24"/>
        </w:rPr>
      </w:pPr>
      <w:r w:rsidRPr="00A003DB">
        <w:rPr>
          <w:sz w:val="24"/>
        </w:rPr>
        <w:t>Общее количество источников, используемых при подготовке</w:t>
      </w:r>
      <w:r w:rsidR="00586CFB">
        <w:rPr>
          <w:sz w:val="24"/>
        </w:rPr>
        <w:t>:</w:t>
      </w:r>
    </w:p>
    <w:p w:rsidR="00A003DB" w:rsidRDefault="00A003DB" w:rsidP="00A003DB">
      <w:pPr>
        <w:pStyle w:val="a9"/>
        <w:spacing w:line="360" w:lineRule="auto"/>
        <w:ind w:firstLine="709"/>
        <w:jc w:val="both"/>
        <w:rPr>
          <w:sz w:val="24"/>
        </w:rPr>
      </w:pPr>
      <w:proofErr w:type="gramStart"/>
      <w:r>
        <w:rPr>
          <w:sz w:val="24"/>
        </w:rPr>
        <w:t>индивидуального проекта</w:t>
      </w:r>
      <w:proofErr w:type="gramEnd"/>
      <w:r>
        <w:rPr>
          <w:sz w:val="24"/>
        </w:rPr>
        <w:t xml:space="preserve"> – 10 и более;</w:t>
      </w:r>
    </w:p>
    <w:p w:rsidR="00A003DB" w:rsidRDefault="00A003DB" w:rsidP="00A003DB">
      <w:pPr>
        <w:pStyle w:val="a9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курсовой работы (проекта) -  15 и более;</w:t>
      </w:r>
    </w:p>
    <w:p w:rsidR="00A003DB" w:rsidRPr="00A003DB" w:rsidRDefault="00A003DB" w:rsidP="00A003DB">
      <w:pPr>
        <w:pStyle w:val="a9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ВКР </w:t>
      </w:r>
      <w:r w:rsidR="003856F5">
        <w:rPr>
          <w:sz w:val="24"/>
        </w:rPr>
        <w:t xml:space="preserve">- </w:t>
      </w:r>
      <w:r w:rsidRPr="00A003DB">
        <w:rPr>
          <w:sz w:val="24"/>
        </w:rPr>
        <w:t>не менее 25 наименований</w:t>
      </w:r>
      <w:r w:rsidR="003856F5">
        <w:rPr>
          <w:sz w:val="24"/>
        </w:rPr>
        <w:t xml:space="preserve">; </w:t>
      </w:r>
    </w:p>
    <w:p w:rsidR="003856F5" w:rsidRDefault="003856F5" w:rsidP="00A003DB">
      <w:pPr>
        <w:pStyle w:val="a9"/>
        <w:spacing w:line="360" w:lineRule="auto"/>
        <w:ind w:firstLine="709"/>
        <w:jc w:val="both"/>
        <w:rPr>
          <w:sz w:val="24"/>
        </w:rPr>
      </w:pPr>
    </w:p>
    <w:p w:rsidR="00A003DB" w:rsidRPr="00A003DB" w:rsidRDefault="00A003DB" w:rsidP="00A003DB">
      <w:pPr>
        <w:pStyle w:val="a9"/>
        <w:spacing w:line="360" w:lineRule="auto"/>
        <w:ind w:firstLine="709"/>
        <w:jc w:val="both"/>
        <w:rPr>
          <w:sz w:val="24"/>
        </w:rPr>
      </w:pPr>
      <w:r w:rsidRPr="00A003DB">
        <w:rPr>
          <w:sz w:val="24"/>
        </w:rPr>
        <w:t>Не допускается использование полностью или частично готовых курсовых и дипломных работ,</w:t>
      </w:r>
      <w:r>
        <w:rPr>
          <w:sz w:val="24"/>
        </w:rPr>
        <w:t xml:space="preserve"> размещенных в сети «Интернет».</w:t>
      </w:r>
    </w:p>
    <w:p w:rsidR="00A003DB" w:rsidRDefault="00A003DB" w:rsidP="00A003DB">
      <w:pPr>
        <w:pStyle w:val="a9"/>
        <w:spacing w:line="360" w:lineRule="auto"/>
        <w:ind w:firstLine="709"/>
        <w:jc w:val="both"/>
        <w:rPr>
          <w:sz w:val="24"/>
        </w:rPr>
      </w:pPr>
      <w:r w:rsidRPr="00A003DB">
        <w:rPr>
          <w:sz w:val="24"/>
        </w:rPr>
        <w:t xml:space="preserve">В процессе сбора информации и подготовки перечня используемых источников необходимо ознакомиться с материалами электронных библиотек колледжа: </w:t>
      </w:r>
      <w:hyperlink r:id="rId14" w:history="1">
        <w:r w:rsidRPr="0046224F">
          <w:rPr>
            <w:rStyle w:val="ab"/>
            <w:sz w:val="24"/>
          </w:rPr>
          <w:t>http://www.iprbookshop.ru/</w:t>
        </w:r>
      </w:hyperlink>
      <w:r>
        <w:rPr>
          <w:sz w:val="24"/>
        </w:rPr>
        <w:t xml:space="preserve">, </w:t>
      </w:r>
      <w:hyperlink r:id="rId15" w:history="1">
        <w:r w:rsidRPr="0046224F">
          <w:rPr>
            <w:rStyle w:val="ab"/>
            <w:sz w:val="24"/>
          </w:rPr>
          <w:t>https://e.lanbook.com/</w:t>
        </w:r>
      </w:hyperlink>
      <w:r>
        <w:rPr>
          <w:sz w:val="24"/>
        </w:rPr>
        <w:t xml:space="preserve">, </w:t>
      </w:r>
      <w:hyperlink r:id="rId16" w:history="1">
        <w:r w:rsidRPr="0046224F">
          <w:rPr>
            <w:rStyle w:val="ab"/>
            <w:sz w:val="24"/>
          </w:rPr>
          <w:t>https://elibrary.ru/project_orgs.asp</w:t>
        </w:r>
      </w:hyperlink>
      <w:r>
        <w:rPr>
          <w:sz w:val="24"/>
        </w:rPr>
        <w:t>.</w:t>
      </w:r>
    </w:p>
    <w:p w:rsidR="003856F5" w:rsidRDefault="00A003DB" w:rsidP="00A003DB">
      <w:pPr>
        <w:pStyle w:val="a9"/>
        <w:spacing w:line="360" w:lineRule="auto"/>
        <w:ind w:firstLine="709"/>
        <w:jc w:val="both"/>
        <w:rPr>
          <w:sz w:val="24"/>
        </w:rPr>
      </w:pPr>
      <w:r w:rsidRPr="00A003DB">
        <w:rPr>
          <w:sz w:val="24"/>
        </w:rPr>
        <w:t xml:space="preserve">Рекомендуется обратиться к следующим ресурсам сети «Интернет»: </w:t>
      </w:r>
    </w:p>
    <w:p w:rsidR="003856F5" w:rsidRDefault="00706829" w:rsidP="00A003DB">
      <w:pPr>
        <w:pStyle w:val="a9"/>
        <w:spacing w:line="360" w:lineRule="auto"/>
        <w:ind w:firstLine="709"/>
        <w:jc w:val="both"/>
        <w:rPr>
          <w:sz w:val="24"/>
        </w:rPr>
      </w:pPr>
      <w:hyperlink r:id="rId17">
        <w:r w:rsidR="00A003DB" w:rsidRPr="00A003DB">
          <w:rPr>
            <w:sz w:val="24"/>
          </w:rPr>
          <w:t>http://www.consultant.ru/</w:t>
        </w:r>
      </w:hyperlink>
      <w:r w:rsidR="00A003DB" w:rsidRPr="00A003DB">
        <w:rPr>
          <w:sz w:val="24"/>
        </w:rPr>
        <w:t xml:space="preserve"> – Официальный сайт компании «Консультант Плюс»; </w:t>
      </w:r>
    </w:p>
    <w:p w:rsidR="003856F5" w:rsidRDefault="00706829" w:rsidP="00A003DB">
      <w:pPr>
        <w:pStyle w:val="a9"/>
        <w:spacing w:line="360" w:lineRule="auto"/>
        <w:ind w:firstLine="709"/>
        <w:jc w:val="both"/>
        <w:rPr>
          <w:sz w:val="24"/>
        </w:rPr>
      </w:pPr>
      <w:hyperlink r:id="rId18">
        <w:r w:rsidR="00A003DB" w:rsidRPr="00A003DB">
          <w:rPr>
            <w:sz w:val="24"/>
          </w:rPr>
          <w:t>http://www.garant.ru/</w:t>
        </w:r>
      </w:hyperlink>
      <w:r w:rsidR="00A003DB" w:rsidRPr="00A003DB">
        <w:rPr>
          <w:sz w:val="24"/>
        </w:rPr>
        <w:t xml:space="preserve"> – Информационно-правовой портал «Гарант»;</w:t>
      </w:r>
    </w:p>
    <w:p w:rsidR="003856F5" w:rsidRDefault="00706829" w:rsidP="00A003DB">
      <w:pPr>
        <w:pStyle w:val="a9"/>
        <w:spacing w:line="360" w:lineRule="auto"/>
        <w:ind w:firstLine="709"/>
        <w:jc w:val="both"/>
        <w:rPr>
          <w:sz w:val="24"/>
        </w:rPr>
      </w:pPr>
      <w:hyperlink r:id="rId19">
        <w:r w:rsidR="00A003DB" w:rsidRPr="00A003DB">
          <w:rPr>
            <w:sz w:val="24"/>
          </w:rPr>
          <w:t xml:space="preserve">http://www.nlr.ru/ </w:t>
        </w:r>
      </w:hyperlink>
      <w:r w:rsidR="00A003DB" w:rsidRPr="00A003DB">
        <w:rPr>
          <w:sz w:val="24"/>
        </w:rPr>
        <w:t>– официал</w:t>
      </w:r>
      <w:r w:rsidR="00A003DB">
        <w:rPr>
          <w:sz w:val="24"/>
        </w:rPr>
        <w:t>ьный сайт Российской националь</w:t>
      </w:r>
      <w:r w:rsidR="00A003DB" w:rsidRPr="00A003DB">
        <w:rPr>
          <w:sz w:val="24"/>
        </w:rPr>
        <w:t>ной библиотеки;</w:t>
      </w:r>
    </w:p>
    <w:p w:rsidR="003856F5" w:rsidRDefault="00706829" w:rsidP="00A003DB">
      <w:pPr>
        <w:pStyle w:val="a9"/>
        <w:spacing w:line="360" w:lineRule="auto"/>
        <w:ind w:firstLine="709"/>
        <w:jc w:val="both"/>
        <w:rPr>
          <w:sz w:val="24"/>
        </w:rPr>
      </w:pPr>
      <w:hyperlink r:id="rId20">
        <w:r w:rsidR="00A003DB" w:rsidRPr="00A003DB">
          <w:rPr>
            <w:sz w:val="24"/>
          </w:rPr>
          <w:t xml:space="preserve">https://www.prlib.ru/ </w:t>
        </w:r>
      </w:hyperlink>
      <w:r w:rsidR="00A003DB" w:rsidRPr="00A003DB">
        <w:rPr>
          <w:sz w:val="24"/>
        </w:rPr>
        <w:t>– офи</w:t>
      </w:r>
      <w:r w:rsidR="00A003DB">
        <w:rPr>
          <w:sz w:val="24"/>
        </w:rPr>
        <w:t>циальный сайт Президентской биб</w:t>
      </w:r>
      <w:r w:rsidR="00A003DB" w:rsidRPr="00A003DB">
        <w:rPr>
          <w:sz w:val="24"/>
        </w:rPr>
        <w:t xml:space="preserve">лиотеки; </w:t>
      </w:r>
    </w:p>
    <w:p w:rsidR="003856F5" w:rsidRDefault="00706829" w:rsidP="00A003DB">
      <w:pPr>
        <w:pStyle w:val="a9"/>
        <w:spacing w:line="360" w:lineRule="auto"/>
        <w:ind w:firstLine="709"/>
        <w:jc w:val="both"/>
        <w:rPr>
          <w:sz w:val="24"/>
        </w:rPr>
      </w:pPr>
      <w:hyperlink r:id="rId21">
        <w:r w:rsidR="00A003DB" w:rsidRPr="00A003DB">
          <w:rPr>
            <w:sz w:val="24"/>
          </w:rPr>
          <w:t>http://elibrary.ru/</w:t>
        </w:r>
      </w:hyperlink>
      <w:r w:rsidR="00A003DB" w:rsidRPr="00A003DB">
        <w:rPr>
          <w:sz w:val="24"/>
        </w:rPr>
        <w:t xml:space="preserve"> – научная электронная библиотека; </w:t>
      </w:r>
    </w:p>
    <w:p w:rsidR="00A003DB" w:rsidRPr="00A003DB" w:rsidRDefault="00706829" w:rsidP="00A003DB">
      <w:pPr>
        <w:pStyle w:val="a9"/>
        <w:spacing w:line="360" w:lineRule="auto"/>
        <w:ind w:firstLine="709"/>
        <w:jc w:val="both"/>
        <w:rPr>
          <w:sz w:val="24"/>
        </w:rPr>
      </w:pPr>
      <w:hyperlink r:id="rId22">
        <w:r w:rsidR="00A003DB" w:rsidRPr="00A003DB">
          <w:rPr>
            <w:sz w:val="24"/>
          </w:rPr>
          <w:t>http://cyberleninka.ru/</w:t>
        </w:r>
      </w:hyperlink>
      <w:r w:rsidR="00A003DB" w:rsidRPr="00A003DB">
        <w:rPr>
          <w:sz w:val="24"/>
        </w:rPr>
        <w:t xml:space="preserve"> – научная электронная библиотека «</w:t>
      </w:r>
      <w:proofErr w:type="spellStart"/>
      <w:r w:rsidR="00A003DB" w:rsidRPr="00A003DB">
        <w:rPr>
          <w:sz w:val="24"/>
        </w:rPr>
        <w:t>Киберленинка</w:t>
      </w:r>
      <w:proofErr w:type="spellEnd"/>
      <w:r w:rsidR="00A003DB" w:rsidRPr="00A003DB">
        <w:rPr>
          <w:sz w:val="24"/>
        </w:rPr>
        <w:t>»</w:t>
      </w:r>
      <w:r w:rsidR="00A003DB">
        <w:rPr>
          <w:sz w:val="24"/>
        </w:rPr>
        <w:t>.</w:t>
      </w:r>
    </w:p>
    <w:p w:rsidR="003856F5" w:rsidRDefault="003856F5" w:rsidP="00A003DB">
      <w:pPr>
        <w:pStyle w:val="a9"/>
        <w:spacing w:line="360" w:lineRule="auto"/>
        <w:ind w:firstLine="709"/>
        <w:jc w:val="both"/>
        <w:rPr>
          <w:sz w:val="24"/>
        </w:rPr>
      </w:pPr>
    </w:p>
    <w:p w:rsidR="007B3846" w:rsidRDefault="00A03F4F" w:rsidP="00A03F4F">
      <w:pPr>
        <w:pStyle w:val="a9"/>
        <w:spacing w:line="360" w:lineRule="auto"/>
        <w:ind w:firstLine="709"/>
        <w:jc w:val="both"/>
        <w:rPr>
          <w:sz w:val="24"/>
        </w:rPr>
      </w:pPr>
      <w:r w:rsidRPr="00A03F4F">
        <w:rPr>
          <w:sz w:val="24"/>
        </w:rPr>
        <w:t>Рекомендуется представлять единый  список  использованных  источников к работе, выделяя следующие группы источ</w:t>
      </w:r>
      <w:r>
        <w:rPr>
          <w:sz w:val="24"/>
        </w:rPr>
        <w:t xml:space="preserve">ников: </w:t>
      </w:r>
      <w:r w:rsidRPr="007B3846">
        <w:rPr>
          <w:b/>
          <w:sz w:val="24"/>
        </w:rPr>
        <w:t>нормативные правовые акты;</w:t>
      </w:r>
      <w:r w:rsidR="00985BE9" w:rsidRPr="007B3846">
        <w:rPr>
          <w:b/>
          <w:sz w:val="24"/>
        </w:rPr>
        <w:t xml:space="preserve"> основные источники</w:t>
      </w:r>
      <w:r w:rsidRPr="007B3846">
        <w:rPr>
          <w:b/>
          <w:sz w:val="24"/>
        </w:rPr>
        <w:t>.</w:t>
      </w:r>
      <w:r w:rsidRPr="00A03F4F">
        <w:rPr>
          <w:sz w:val="24"/>
        </w:rPr>
        <w:t xml:space="preserve"> </w:t>
      </w:r>
    </w:p>
    <w:p w:rsidR="007B3846" w:rsidRDefault="007B3846" w:rsidP="00A03F4F">
      <w:pPr>
        <w:pStyle w:val="a9"/>
        <w:spacing w:line="360" w:lineRule="auto"/>
        <w:ind w:firstLine="709"/>
        <w:jc w:val="both"/>
        <w:rPr>
          <w:sz w:val="24"/>
        </w:rPr>
      </w:pPr>
    </w:p>
    <w:p w:rsidR="00A03F4F" w:rsidRPr="00A03F4F" w:rsidRDefault="00A03F4F" w:rsidP="00A03F4F">
      <w:pPr>
        <w:pStyle w:val="a9"/>
        <w:spacing w:line="360" w:lineRule="auto"/>
        <w:ind w:firstLine="709"/>
        <w:jc w:val="both"/>
        <w:rPr>
          <w:sz w:val="24"/>
        </w:rPr>
      </w:pPr>
      <w:r w:rsidRPr="00A03F4F">
        <w:rPr>
          <w:sz w:val="24"/>
        </w:rPr>
        <w:t>Нумерация сплошная (от первого до последнего названия), каждый источник упоминается в списке один раз, вне зависимости от то го, как часто на него д</w:t>
      </w:r>
      <w:r w:rsidR="003856F5">
        <w:rPr>
          <w:sz w:val="24"/>
        </w:rPr>
        <w:t>елается ссылка в тексте работы.</w:t>
      </w:r>
    </w:p>
    <w:p w:rsidR="00A03F4F" w:rsidRPr="00A03F4F" w:rsidRDefault="00A03F4F" w:rsidP="00A03F4F">
      <w:pPr>
        <w:pStyle w:val="a9"/>
        <w:spacing w:line="360" w:lineRule="auto"/>
        <w:ind w:firstLine="709"/>
        <w:jc w:val="both"/>
        <w:rPr>
          <w:sz w:val="24"/>
        </w:rPr>
      </w:pPr>
      <w:r w:rsidRPr="00A03F4F">
        <w:rPr>
          <w:sz w:val="24"/>
        </w:rPr>
        <w:t>Нормативные правовые акты Российской Федерации ставятся в начале списка в порядке убывания их юридической силы:</w:t>
      </w:r>
    </w:p>
    <w:p w:rsidR="00A03F4F" w:rsidRPr="00A03F4F" w:rsidRDefault="003856F5" w:rsidP="00A03F4F">
      <w:pPr>
        <w:pStyle w:val="a9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-</w:t>
      </w:r>
      <w:r w:rsidR="00A03F4F" w:rsidRPr="00A03F4F">
        <w:rPr>
          <w:sz w:val="24"/>
        </w:rPr>
        <w:t>Конституция Российской Федерации от 12 декабря 1993 года; федеральные конституционные законы;</w:t>
      </w:r>
    </w:p>
    <w:p w:rsidR="00A03F4F" w:rsidRPr="00A03F4F" w:rsidRDefault="003856F5" w:rsidP="00A03F4F">
      <w:pPr>
        <w:pStyle w:val="a9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-</w:t>
      </w:r>
      <w:r w:rsidR="00A03F4F" w:rsidRPr="00A03F4F">
        <w:rPr>
          <w:sz w:val="24"/>
        </w:rPr>
        <w:t>федеральные законы;</w:t>
      </w:r>
    </w:p>
    <w:p w:rsidR="00A03F4F" w:rsidRPr="00A03F4F" w:rsidRDefault="003856F5" w:rsidP="00A03F4F">
      <w:pPr>
        <w:pStyle w:val="a9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-</w:t>
      </w:r>
      <w:r w:rsidR="00A03F4F" w:rsidRPr="00A03F4F">
        <w:rPr>
          <w:sz w:val="24"/>
        </w:rPr>
        <w:t>Конституции (уставы) субъектов Российской Федерации; законы субъектов Российской Федерации;</w:t>
      </w:r>
    </w:p>
    <w:p w:rsidR="00A03F4F" w:rsidRPr="00A03F4F" w:rsidRDefault="003856F5" w:rsidP="00A03F4F">
      <w:pPr>
        <w:pStyle w:val="a9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-</w:t>
      </w:r>
      <w:r w:rsidR="00A03F4F" w:rsidRPr="00A03F4F">
        <w:rPr>
          <w:sz w:val="24"/>
        </w:rPr>
        <w:t xml:space="preserve">нормативные правовые акты Президента Российской Федерации; нормативные </w:t>
      </w:r>
      <w:r w:rsidR="00A03F4F" w:rsidRPr="00A03F4F">
        <w:rPr>
          <w:sz w:val="24"/>
        </w:rPr>
        <w:lastRenderedPageBreak/>
        <w:t>правовые акты Правительства Российской Федерации;</w:t>
      </w:r>
    </w:p>
    <w:p w:rsidR="00A03F4F" w:rsidRPr="00A03F4F" w:rsidRDefault="003856F5" w:rsidP="00A03F4F">
      <w:pPr>
        <w:pStyle w:val="a9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-</w:t>
      </w:r>
      <w:r w:rsidR="00A03F4F" w:rsidRPr="00A03F4F">
        <w:rPr>
          <w:sz w:val="24"/>
        </w:rPr>
        <w:t>ведомствен</w:t>
      </w:r>
      <w:r w:rsidR="00735E68">
        <w:rPr>
          <w:sz w:val="24"/>
        </w:rPr>
        <w:t>ные</w:t>
      </w:r>
      <w:r w:rsidR="00735E68">
        <w:rPr>
          <w:sz w:val="24"/>
        </w:rPr>
        <w:tab/>
        <w:t>нормативные</w:t>
      </w:r>
      <w:r w:rsidR="00735E68">
        <w:rPr>
          <w:sz w:val="24"/>
        </w:rPr>
        <w:tab/>
        <w:t>правовые</w:t>
      </w:r>
      <w:r w:rsidR="00735E68">
        <w:rPr>
          <w:sz w:val="24"/>
        </w:rPr>
        <w:tab/>
        <w:t>акты</w:t>
      </w:r>
      <w:r w:rsidR="00735E68">
        <w:rPr>
          <w:sz w:val="24"/>
        </w:rPr>
        <w:tab/>
        <w:t xml:space="preserve">в </w:t>
      </w:r>
      <w:r w:rsidR="00A03F4F" w:rsidRPr="00A03F4F">
        <w:rPr>
          <w:sz w:val="24"/>
        </w:rPr>
        <w:t>последовательности по подчиненности;</w:t>
      </w:r>
    </w:p>
    <w:p w:rsidR="00A03F4F" w:rsidRPr="00A03F4F" w:rsidRDefault="003856F5" w:rsidP="00A03F4F">
      <w:pPr>
        <w:pStyle w:val="a9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-</w:t>
      </w:r>
      <w:r w:rsidR="00A03F4F" w:rsidRPr="00A03F4F">
        <w:rPr>
          <w:sz w:val="24"/>
        </w:rPr>
        <w:t>нормативные правовые акты органов исполнительной власти субъектов Российской Федерации;</w:t>
      </w:r>
    </w:p>
    <w:p w:rsidR="00A03F4F" w:rsidRPr="00A03F4F" w:rsidRDefault="003856F5" w:rsidP="00A03F4F">
      <w:pPr>
        <w:pStyle w:val="a9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-</w:t>
      </w:r>
      <w:r w:rsidR="00A03F4F" w:rsidRPr="00A03F4F">
        <w:rPr>
          <w:sz w:val="24"/>
        </w:rPr>
        <w:t>нормативные правовые акты органов местного самоуправления; локальные правовые акты;</w:t>
      </w:r>
    </w:p>
    <w:p w:rsidR="00A03F4F" w:rsidRPr="00A03F4F" w:rsidRDefault="003856F5" w:rsidP="00A03F4F">
      <w:pPr>
        <w:pStyle w:val="a9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-</w:t>
      </w:r>
      <w:r w:rsidR="00A03F4F" w:rsidRPr="00A03F4F">
        <w:rPr>
          <w:sz w:val="24"/>
        </w:rPr>
        <w:t>недействующие нормативные правовые акты.</w:t>
      </w:r>
    </w:p>
    <w:p w:rsidR="00A03F4F" w:rsidRDefault="00A03F4F" w:rsidP="00A03F4F">
      <w:pPr>
        <w:pStyle w:val="a9"/>
        <w:spacing w:line="360" w:lineRule="auto"/>
        <w:ind w:firstLine="709"/>
        <w:jc w:val="both"/>
        <w:rPr>
          <w:sz w:val="24"/>
        </w:rPr>
      </w:pPr>
      <w:r w:rsidRPr="00A03F4F">
        <w:rPr>
          <w:sz w:val="24"/>
        </w:rPr>
        <w:t>Источники информации располагаются в строгом алфавитном порядке</w:t>
      </w:r>
      <w:r w:rsidR="00775FCA">
        <w:rPr>
          <w:sz w:val="24"/>
        </w:rPr>
        <w:t>.</w:t>
      </w:r>
    </w:p>
    <w:p w:rsidR="00A03F4F" w:rsidRPr="00A03F4F" w:rsidRDefault="00A03F4F" w:rsidP="00A03F4F">
      <w:pPr>
        <w:pStyle w:val="a9"/>
        <w:spacing w:line="360" w:lineRule="auto"/>
        <w:ind w:firstLine="709"/>
        <w:jc w:val="both"/>
        <w:rPr>
          <w:sz w:val="24"/>
        </w:rPr>
      </w:pPr>
      <w:r w:rsidRPr="00A03F4F">
        <w:rPr>
          <w:sz w:val="24"/>
        </w:rPr>
        <w:t>Книга без указания автора располагается  в общем списке  в  соответствии с алфавитом по названию.</w:t>
      </w:r>
    </w:p>
    <w:p w:rsidR="00A03F4F" w:rsidRPr="00A003DB" w:rsidRDefault="00A03F4F" w:rsidP="00A03F4F">
      <w:pPr>
        <w:pStyle w:val="a9"/>
        <w:spacing w:line="360" w:lineRule="auto"/>
        <w:ind w:firstLine="709"/>
        <w:jc w:val="both"/>
        <w:rPr>
          <w:sz w:val="24"/>
        </w:rPr>
      </w:pPr>
      <w:r w:rsidRPr="00A03F4F">
        <w:rPr>
          <w:sz w:val="24"/>
        </w:rPr>
        <w:t>Литература на иностранных языках ставит</w:t>
      </w:r>
      <w:r w:rsidR="00735E68">
        <w:rPr>
          <w:sz w:val="24"/>
        </w:rPr>
        <w:t>ся в конце списка после литера</w:t>
      </w:r>
      <w:r w:rsidRPr="00A03F4F">
        <w:rPr>
          <w:sz w:val="24"/>
        </w:rPr>
        <w:t>туры на русском языке, образуя дополнительный алфавитный ряд.</w:t>
      </w:r>
    </w:p>
    <w:p w:rsidR="00A003DB" w:rsidRPr="00367994" w:rsidRDefault="00A003DB" w:rsidP="00367994">
      <w:pPr>
        <w:keepNext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/>
          <w:b/>
          <w:bCs/>
          <w:kern w:val="32"/>
          <w:sz w:val="24"/>
          <w:szCs w:val="32"/>
        </w:rPr>
      </w:pPr>
    </w:p>
    <w:p w:rsidR="00367994" w:rsidRPr="003856F5" w:rsidRDefault="00367994" w:rsidP="0036799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3856F5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Схема описания книги</w:t>
      </w:r>
      <w:r w:rsidR="003856F5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.</w:t>
      </w:r>
    </w:p>
    <w:p w:rsidR="00367994" w:rsidRPr="00367994" w:rsidRDefault="00367994" w:rsidP="0036799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Чалдаева</w:t>
      </w:r>
      <w:proofErr w:type="spellEnd"/>
      <w:r w:rsidRPr="0036799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 xml:space="preserve">Л. А. Экономика предприятия: учебник для </w:t>
      </w:r>
      <w:proofErr w:type="spellStart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бакалаврова</w:t>
      </w:r>
      <w:proofErr w:type="spellEnd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 xml:space="preserve">.— 3-е изд., </w:t>
      </w:r>
      <w:proofErr w:type="spellStart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перераб</w:t>
      </w:r>
      <w:proofErr w:type="spellEnd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 xml:space="preserve">. и доп.— М.: </w:t>
      </w:r>
      <w:proofErr w:type="spellStart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Юрайт</w:t>
      </w:r>
      <w:proofErr w:type="spellEnd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 xml:space="preserve">, 2013.— 411 </w:t>
      </w:r>
      <w:proofErr w:type="gramStart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proofErr w:type="gramEnd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367994" w:rsidRPr="003856F5" w:rsidRDefault="003856F5" w:rsidP="0036799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3856F5">
        <w:rPr>
          <w:rFonts w:ascii="Times New Roman" w:eastAsia="Times New Roman" w:hAnsi="Times New Roman"/>
          <w:i/>
          <w:sz w:val="24"/>
          <w:szCs w:val="24"/>
          <w:lang w:eastAsia="ru-RU"/>
        </w:rPr>
        <w:t>Схема описания статьи  из журнала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.</w:t>
      </w:r>
    </w:p>
    <w:p w:rsidR="00367994" w:rsidRPr="00367994" w:rsidRDefault="00367994" w:rsidP="0036799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Леденева</w:t>
      </w:r>
      <w:proofErr w:type="spellEnd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 xml:space="preserve">, Г. Л. К вопросу об эволюции в архитектурном творчестве / Г. Л. </w:t>
      </w:r>
      <w:proofErr w:type="spellStart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Леденева</w:t>
      </w:r>
      <w:proofErr w:type="spellEnd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  // Промышленное и гражданское строительство.— 2009.— № 3.— С. 31–33.</w:t>
      </w:r>
    </w:p>
    <w:p w:rsidR="00367994" w:rsidRPr="003856F5" w:rsidRDefault="00367994" w:rsidP="00367994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iCs/>
          <w:sz w:val="24"/>
          <w:szCs w:val="24"/>
        </w:rPr>
      </w:pPr>
      <w:r w:rsidRPr="003856F5">
        <w:rPr>
          <w:rFonts w:ascii="Times New Roman" w:eastAsia="Times New Roman" w:hAnsi="Times New Roman"/>
          <w:bCs/>
          <w:i/>
          <w:iCs/>
          <w:sz w:val="24"/>
          <w:szCs w:val="24"/>
        </w:rPr>
        <w:t>Описание нормативно-правовых актов</w:t>
      </w:r>
      <w:r w:rsidR="003856F5">
        <w:rPr>
          <w:rFonts w:ascii="Times New Roman" w:eastAsia="Times New Roman" w:hAnsi="Times New Roman"/>
          <w:bCs/>
          <w:i/>
          <w:iCs/>
          <w:sz w:val="24"/>
          <w:szCs w:val="24"/>
        </w:rPr>
        <w:t>.</w:t>
      </w:r>
      <w:r w:rsidRPr="003856F5">
        <w:rPr>
          <w:rFonts w:ascii="Times New Roman" w:eastAsia="Times New Roman" w:hAnsi="Times New Roman"/>
          <w:bCs/>
          <w:i/>
          <w:iCs/>
          <w:sz w:val="24"/>
          <w:szCs w:val="24"/>
        </w:rPr>
        <w:t xml:space="preserve"> </w:t>
      </w:r>
    </w:p>
    <w:p w:rsidR="00735E68" w:rsidRDefault="00735E68" w:rsidP="0036799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35E68">
        <w:rPr>
          <w:rFonts w:ascii="Times New Roman" w:eastAsia="Times New Roman" w:hAnsi="Times New Roman"/>
          <w:sz w:val="24"/>
          <w:szCs w:val="24"/>
          <w:lang w:eastAsia="ru-RU"/>
        </w:rPr>
        <w:t>Федеральный закон от 15.12.2001 N 167-ФЗ (ред. от 11.12.2018) "Об обязательном пенсионном страховании в Российской Федерации"</w:t>
      </w:r>
    </w:p>
    <w:p w:rsidR="00367994" w:rsidRPr="00367994" w:rsidRDefault="00367994" w:rsidP="0036799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 xml:space="preserve">ГОСТ </w:t>
      </w:r>
      <w:proofErr w:type="gramStart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Р</w:t>
      </w:r>
      <w:proofErr w:type="gramEnd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 xml:space="preserve"> 517721–2001. Аппаратура радиоэлектронная бытовая. Входные и выходные параметры и типы соединений. Технические требования.  </w:t>
      </w:r>
    </w:p>
    <w:p w:rsidR="00367994" w:rsidRPr="003856F5" w:rsidRDefault="00367994" w:rsidP="00367994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iCs/>
          <w:sz w:val="24"/>
          <w:szCs w:val="24"/>
        </w:rPr>
      </w:pPr>
      <w:r w:rsidRPr="003856F5">
        <w:rPr>
          <w:rFonts w:ascii="Times New Roman" w:eastAsia="Times New Roman" w:hAnsi="Times New Roman"/>
          <w:bCs/>
          <w:i/>
          <w:iCs/>
          <w:sz w:val="24"/>
          <w:szCs w:val="24"/>
        </w:rPr>
        <w:t>Описание информации с сайта</w:t>
      </w:r>
      <w:r w:rsidR="003856F5">
        <w:rPr>
          <w:rFonts w:ascii="Times New Roman" w:eastAsia="Times New Roman" w:hAnsi="Times New Roman"/>
          <w:bCs/>
          <w:i/>
          <w:iCs/>
          <w:sz w:val="24"/>
          <w:szCs w:val="24"/>
        </w:rPr>
        <w:t>.</w:t>
      </w:r>
    </w:p>
    <w:p w:rsidR="00367994" w:rsidRPr="00367994" w:rsidRDefault="00367994" w:rsidP="0036799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 xml:space="preserve">Защита персональных данных пользователей и сотрудников библиотеки [Электронный ресурс]. – Режим доступа: http://www.nbrkomi.ru. </w:t>
      </w:r>
    </w:p>
    <w:p w:rsidR="00367994" w:rsidRPr="003856F5" w:rsidRDefault="00367994" w:rsidP="00367994">
      <w:pPr>
        <w:keepNext/>
        <w:keepLines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/>
          <w:bCs/>
          <w:i/>
          <w:sz w:val="24"/>
          <w:szCs w:val="24"/>
        </w:rPr>
      </w:pPr>
      <w:r w:rsidRPr="003856F5">
        <w:rPr>
          <w:rFonts w:ascii="Times New Roman" w:eastAsia="Times New Roman" w:hAnsi="Times New Roman"/>
          <w:bCs/>
          <w:i/>
          <w:sz w:val="24"/>
          <w:szCs w:val="24"/>
        </w:rPr>
        <w:t>Описание электронных ресурсов (из электронной библиотечной системы)</w:t>
      </w:r>
    </w:p>
    <w:p w:rsidR="00367994" w:rsidRPr="00367994" w:rsidRDefault="00367994" w:rsidP="0036799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Бушенева</w:t>
      </w:r>
      <w:proofErr w:type="spellEnd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 xml:space="preserve"> Ю.И. Как правильно написать реферат, курсовую и дипломную работы [Электронный ресурс] / Ю.И. </w:t>
      </w:r>
      <w:proofErr w:type="spellStart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Бушенева</w:t>
      </w:r>
      <w:proofErr w:type="spellEnd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. — Электрон</w:t>
      </w:r>
      <w:proofErr w:type="gramStart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proofErr w:type="gramEnd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proofErr w:type="gramEnd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екстовые данные. — М.</w:t>
      </w:r>
      <w:proofErr w:type="gramStart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 xml:space="preserve"> Дашков и К, 2014. — 140 </w:t>
      </w:r>
      <w:proofErr w:type="spellStart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c</w:t>
      </w:r>
      <w:proofErr w:type="spellEnd"/>
      <w:r w:rsidRPr="00367994">
        <w:rPr>
          <w:rFonts w:ascii="Times New Roman" w:eastAsia="Times New Roman" w:hAnsi="Times New Roman"/>
          <w:sz w:val="24"/>
          <w:szCs w:val="24"/>
          <w:lang w:eastAsia="ru-RU"/>
        </w:rPr>
        <w:t>. — 978-5-394-02185-5. — Режим доступа: http://www.iprbookshop.ru/14048.html</w:t>
      </w:r>
    </w:p>
    <w:p w:rsidR="00775FCA" w:rsidRDefault="00775FCA" w:rsidP="00E70463">
      <w:pPr>
        <w:spacing w:after="0" w:line="360" w:lineRule="auto"/>
        <w:ind w:firstLine="709"/>
        <w:jc w:val="right"/>
        <w:rPr>
          <w:rFonts w:ascii="Times New Roman" w:hAnsi="Times New Roman"/>
          <w:iCs/>
          <w:sz w:val="24"/>
          <w:szCs w:val="24"/>
          <w:lang w:eastAsia="ru-RU"/>
        </w:rPr>
      </w:pPr>
    </w:p>
    <w:p w:rsidR="00775FCA" w:rsidRDefault="00775FCA" w:rsidP="00E70463">
      <w:pPr>
        <w:spacing w:after="0" w:line="360" w:lineRule="auto"/>
        <w:ind w:firstLine="709"/>
        <w:jc w:val="right"/>
        <w:rPr>
          <w:rFonts w:ascii="Times New Roman" w:hAnsi="Times New Roman"/>
          <w:iCs/>
          <w:sz w:val="24"/>
          <w:szCs w:val="24"/>
          <w:lang w:eastAsia="ru-RU"/>
        </w:rPr>
      </w:pPr>
    </w:p>
    <w:p w:rsidR="00775FCA" w:rsidRDefault="00775FCA" w:rsidP="00E70463">
      <w:pPr>
        <w:spacing w:after="0" w:line="360" w:lineRule="auto"/>
        <w:ind w:firstLine="709"/>
        <w:jc w:val="right"/>
        <w:rPr>
          <w:rFonts w:ascii="Times New Roman" w:hAnsi="Times New Roman"/>
          <w:iCs/>
          <w:sz w:val="24"/>
          <w:szCs w:val="24"/>
          <w:lang w:eastAsia="ru-RU"/>
        </w:rPr>
      </w:pPr>
    </w:p>
    <w:p w:rsidR="00E70463" w:rsidRDefault="00E70463" w:rsidP="00E70463">
      <w:pPr>
        <w:spacing w:after="0" w:line="360" w:lineRule="auto"/>
        <w:ind w:firstLine="709"/>
        <w:jc w:val="right"/>
        <w:rPr>
          <w:rFonts w:ascii="Times New Roman" w:hAnsi="Times New Roman"/>
          <w:iCs/>
          <w:sz w:val="24"/>
          <w:szCs w:val="24"/>
          <w:lang w:eastAsia="ru-RU"/>
        </w:rPr>
      </w:pPr>
      <w:r w:rsidRPr="00E70463">
        <w:rPr>
          <w:rFonts w:ascii="Times New Roman" w:hAnsi="Times New Roman"/>
          <w:iCs/>
          <w:sz w:val="24"/>
          <w:szCs w:val="24"/>
          <w:lang w:eastAsia="ru-RU"/>
        </w:rPr>
        <w:lastRenderedPageBreak/>
        <w:t>Приложение 1</w:t>
      </w:r>
    </w:p>
    <w:p w:rsidR="005F778F" w:rsidRPr="005F778F" w:rsidRDefault="005F778F" w:rsidP="005F778F">
      <w:pPr>
        <w:spacing w:after="0" w:line="360" w:lineRule="auto"/>
        <w:ind w:firstLine="709"/>
        <w:jc w:val="center"/>
        <w:rPr>
          <w:rFonts w:ascii="Times New Roman" w:hAnsi="Times New Roman"/>
          <w:b/>
          <w:iCs/>
          <w:sz w:val="24"/>
          <w:szCs w:val="24"/>
          <w:lang w:eastAsia="ru-RU"/>
        </w:rPr>
      </w:pPr>
      <w:r w:rsidRPr="005F778F">
        <w:rPr>
          <w:rFonts w:ascii="Times New Roman" w:hAnsi="Times New Roman"/>
          <w:b/>
          <w:iCs/>
          <w:sz w:val="24"/>
          <w:szCs w:val="24"/>
          <w:lang w:eastAsia="ru-RU"/>
        </w:rPr>
        <w:t xml:space="preserve">Название приложения </w:t>
      </w:r>
    </w:p>
    <w:p w:rsidR="00E70463" w:rsidRPr="00E70463" w:rsidRDefault="00E70463" w:rsidP="00E70463">
      <w:pPr>
        <w:spacing w:after="0" w:line="360" w:lineRule="auto"/>
        <w:ind w:firstLine="709"/>
        <w:jc w:val="both"/>
        <w:rPr>
          <w:rFonts w:ascii="Times New Roman" w:hAnsi="Times New Roman"/>
          <w:iCs/>
          <w:sz w:val="24"/>
          <w:szCs w:val="24"/>
          <w:lang w:eastAsia="ru-RU"/>
        </w:rPr>
      </w:pPr>
      <w:r w:rsidRPr="00E70463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58420</wp:posOffset>
            </wp:positionV>
            <wp:extent cx="5300345" cy="4619625"/>
            <wp:effectExtent l="0" t="0" r="0" b="0"/>
            <wp:wrapSquare wrapText="bothSides"/>
            <wp:docPr id="9" name="Рисунок 9" descr="структурная 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руктурная схема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0463" w:rsidRPr="00E70463" w:rsidRDefault="00E70463" w:rsidP="00E70463">
      <w:pPr>
        <w:spacing w:after="0" w:line="360" w:lineRule="auto"/>
        <w:ind w:firstLine="709"/>
        <w:jc w:val="center"/>
        <w:rPr>
          <w:rFonts w:ascii="Times New Roman" w:hAnsi="Times New Roman"/>
          <w:iCs/>
          <w:sz w:val="24"/>
          <w:szCs w:val="24"/>
          <w:lang w:eastAsia="ru-RU"/>
        </w:rPr>
      </w:pPr>
      <w:r w:rsidRPr="00E70463">
        <w:rPr>
          <w:rFonts w:ascii="Times New Roman" w:hAnsi="Times New Roman"/>
          <w:iCs/>
          <w:sz w:val="24"/>
          <w:szCs w:val="24"/>
          <w:lang w:eastAsia="ru-RU"/>
        </w:rPr>
        <w:t xml:space="preserve">Рисунок </w:t>
      </w:r>
      <w:r w:rsidR="00AA5C29">
        <w:rPr>
          <w:rFonts w:ascii="Times New Roman" w:hAnsi="Times New Roman"/>
          <w:iCs/>
          <w:sz w:val="24"/>
          <w:szCs w:val="24"/>
          <w:lang w:eastAsia="ru-RU"/>
        </w:rPr>
        <w:t>3</w:t>
      </w:r>
      <w:r w:rsidRPr="00E70463">
        <w:rPr>
          <w:rFonts w:ascii="Times New Roman" w:hAnsi="Times New Roman"/>
          <w:iCs/>
          <w:sz w:val="24"/>
          <w:szCs w:val="24"/>
          <w:lang w:eastAsia="ru-RU"/>
        </w:rPr>
        <w:t>. Структурная схема смартфона</w:t>
      </w:r>
    </w:p>
    <w:p w:rsidR="00E70463" w:rsidRPr="00E70463" w:rsidRDefault="00E70463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E70463" w:rsidRPr="00E70463" w:rsidRDefault="00E70463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E70463" w:rsidRDefault="00E70463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367994" w:rsidRDefault="00367994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367994" w:rsidRDefault="00367994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367994" w:rsidRDefault="00367994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367994" w:rsidRPr="00E70463" w:rsidRDefault="00367994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E70463" w:rsidRPr="00E70463" w:rsidRDefault="00E70463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E70463" w:rsidRPr="00E70463" w:rsidRDefault="00E70463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E70463" w:rsidRPr="00E70463" w:rsidRDefault="00E70463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E70463" w:rsidRDefault="00E70463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367994" w:rsidRDefault="00367994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367994" w:rsidRPr="00E70463" w:rsidRDefault="00367994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E70463" w:rsidRPr="00E70463" w:rsidRDefault="00E70463" w:rsidP="00E70463">
      <w:pPr>
        <w:keepNext/>
        <w:spacing w:after="0" w:line="360" w:lineRule="auto"/>
        <w:ind w:firstLine="709"/>
        <w:jc w:val="right"/>
        <w:outlineLvl w:val="1"/>
        <w:rPr>
          <w:rFonts w:ascii="Times New Roman" w:eastAsia="Times New Roman" w:hAnsi="Times New Roman"/>
          <w:bCs/>
          <w:iCs/>
          <w:sz w:val="24"/>
          <w:szCs w:val="24"/>
        </w:rPr>
      </w:pPr>
      <w:r w:rsidRPr="00E70463">
        <w:rPr>
          <w:rFonts w:ascii="Times New Roman" w:eastAsia="Times New Roman" w:hAnsi="Times New Roman"/>
          <w:bCs/>
          <w:iCs/>
          <w:sz w:val="24"/>
          <w:szCs w:val="24"/>
        </w:rPr>
        <w:lastRenderedPageBreak/>
        <w:t>Приложение 2</w:t>
      </w:r>
    </w:p>
    <w:p w:rsidR="00E70463" w:rsidRPr="00E70463" w:rsidRDefault="00E70463" w:rsidP="00E70463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E70463" w:rsidRPr="00E70463" w:rsidRDefault="00E70463" w:rsidP="00E70463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E70463">
        <w:rPr>
          <w:rFonts w:ascii="Times New Roman" w:hAnsi="Times New Roman"/>
          <w:b/>
          <w:sz w:val="24"/>
          <w:szCs w:val="24"/>
        </w:rPr>
        <w:t>Рекомендации к оформлению презентации</w:t>
      </w:r>
    </w:p>
    <w:p w:rsidR="00E70463" w:rsidRPr="00E70463" w:rsidRDefault="00E70463" w:rsidP="00E70463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E70463" w:rsidRPr="00E70463" w:rsidRDefault="00E70463" w:rsidP="00E7046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Презентация создается в программе </w:t>
      </w:r>
      <w:r w:rsidRPr="00E70463">
        <w:rPr>
          <w:rFonts w:ascii="Times New Roman" w:eastAsia="Times New Roman" w:hAnsi="Times New Roman"/>
          <w:sz w:val="24"/>
          <w:szCs w:val="24"/>
          <w:lang w:val="en-US" w:eastAsia="ru-RU"/>
        </w:rPr>
        <w:t>Power</w:t>
      </w:r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70463">
        <w:rPr>
          <w:rFonts w:ascii="Times New Roman" w:eastAsia="Times New Roman" w:hAnsi="Times New Roman"/>
          <w:sz w:val="24"/>
          <w:szCs w:val="24"/>
          <w:lang w:val="en-US" w:eastAsia="ru-RU"/>
        </w:rPr>
        <w:t>Point</w:t>
      </w:r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E70463">
        <w:rPr>
          <w:rFonts w:ascii="Times New Roman" w:eastAsia="Times New Roman" w:hAnsi="Times New Roman"/>
          <w:caps/>
          <w:color w:val="333399"/>
          <w:sz w:val="24"/>
          <w:szCs w:val="24"/>
          <w:lang w:eastAsia="ru-RU"/>
        </w:rPr>
        <w:t xml:space="preserve"> </w:t>
      </w:r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t>Рекомендуемое количество слайдов 10-13. На них выносят основные графики, схемы, таблицы, фотографии и т.д. в соответствии с докладом.</w:t>
      </w:r>
    </w:p>
    <w:p w:rsidR="00E70463" w:rsidRPr="00E70463" w:rsidRDefault="00E70463" w:rsidP="00E7046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t>На 1 слайде указывается наименование колледжа, направление подготовки (специальность), ФИО выпускника, его фотография (по желанию).</w:t>
      </w:r>
    </w:p>
    <w:p w:rsidR="00E70463" w:rsidRPr="00E70463" w:rsidRDefault="00E70463" w:rsidP="00E7046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t>На 2 слайде указывается тема  работы, руководитель.</w:t>
      </w:r>
    </w:p>
    <w:p w:rsidR="00E70463" w:rsidRPr="00E70463" w:rsidRDefault="00E70463" w:rsidP="00E7046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t>На 3 слайде отражаются цель и задачи работы.</w:t>
      </w:r>
    </w:p>
    <w:p w:rsidR="00E70463" w:rsidRPr="00E70463" w:rsidRDefault="00E70463" w:rsidP="00E7046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t>На 4 слайде обозначается структура работы.</w:t>
      </w:r>
    </w:p>
    <w:p w:rsidR="00E70463" w:rsidRPr="00E70463" w:rsidRDefault="00E70463" w:rsidP="00E7046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t xml:space="preserve">На 5 и последующих слайдах, отражается содержание основной части работы (наиболее значимые моменты). </w:t>
      </w:r>
    </w:p>
    <w:p w:rsidR="00E70463" w:rsidRPr="00E70463" w:rsidRDefault="00E70463" w:rsidP="00E7046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t>Слайды  должны быть проиллюстрированы фотографиями, схемами, рисунками</w:t>
      </w:r>
      <w:proofErr w:type="gramStart"/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t>..</w:t>
      </w:r>
      <w:proofErr w:type="gramEnd"/>
    </w:p>
    <w:p w:rsidR="00E70463" w:rsidRPr="00E70463" w:rsidRDefault="00E70463" w:rsidP="00E7046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t>Презентация выполняется в едином стиле, с использованием не более 2 элементов анимации на каждом слайде. Цветовая гамма и использование анимации не должны препятствовать адекватному восприятию информации.</w:t>
      </w:r>
    </w:p>
    <w:p w:rsidR="00E70463" w:rsidRPr="00E70463" w:rsidRDefault="00E70463" w:rsidP="00E7046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t xml:space="preserve">Слайды презентации переключает ассистент из числа </w:t>
      </w:r>
      <w:proofErr w:type="spellStart"/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t>одногоруппников</w:t>
      </w:r>
      <w:proofErr w:type="spellEnd"/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70463" w:rsidRPr="00E70463" w:rsidRDefault="00E70463" w:rsidP="00E7046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t xml:space="preserve">Текст выступления и сопровождающей презентации должен быть отрепетирован. </w:t>
      </w: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0463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Приложение 3</w:t>
      </w:r>
    </w:p>
    <w:p w:rsidR="00E70463" w:rsidRPr="00E70463" w:rsidRDefault="00E70463" w:rsidP="00E70463">
      <w:pPr>
        <w:keepNext/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/>
          <w:b/>
          <w:bCs/>
          <w:iCs/>
          <w:sz w:val="24"/>
          <w:szCs w:val="24"/>
        </w:rPr>
      </w:pPr>
      <w:r w:rsidRPr="00E70463">
        <w:rPr>
          <w:rFonts w:ascii="Times New Roman" w:eastAsia="Times New Roman" w:hAnsi="Times New Roman"/>
          <w:b/>
          <w:bCs/>
          <w:iCs/>
          <w:sz w:val="24"/>
          <w:szCs w:val="24"/>
        </w:rPr>
        <w:t xml:space="preserve">Требования к защите </w:t>
      </w:r>
    </w:p>
    <w:p w:rsidR="00E70463" w:rsidRPr="00E70463" w:rsidRDefault="00E70463" w:rsidP="00E70463">
      <w:pPr>
        <w:keepNext/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/>
          <w:b/>
          <w:bCs/>
          <w:iCs/>
          <w:sz w:val="24"/>
          <w:szCs w:val="24"/>
        </w:rPr>
      </w:pPr>
    </w:p>
    <w:p w:rsidR="00E70463" w:rsidRDefault="00E70463" w:rsidP="00AA5C2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>При составлении тезисов необходимо учитывать ориентировочное время доклада на защите, которое составляет 7 минут. Доклад целесообразно строить не путем изложения содержания работы по разделам, а по задачам, то есть, раскрывая логику получения значимых результатов. В докладе должно присутствовать обращение к иллюстративному материалу, который будет использоваться в ходе защиты работы. Объем доклада должен составлять 3-4 страницы текста.</w:t>
      </w:r>
    </w:p>
    <w:p w:rsidR="00AA5C29" w:rsidRDefault="00AA5C29" w:rsidP="00AA5C2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2</w:t>
      </w:r>
    </w:p>
    <w:p w:rsidR="00AA5C29" w:rsidRPr="00E70463" w:rsidRDefault="00AA5C29" w:rsidP="00AA5C2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Структура доклада </w:t>
      </w:r>
    </w:p>
    <w:tbl>
      <w:tblPr>
        <w:tblpPr w:leftFromText="180" w:rightFromText="180" w:vertAnchor="text" w:horzAnchor="margin" w:tblpXSpec="center" w:tblpY="14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4"/>
        <w:gridCol w:w="6052"/>
        <w:gridCol w:w="1843"/>
        <w:gridCol w:w="1618"/>
      </w:tblGrid>
      <w:tr w:rsidR="00E70463" w:rsidRPr="00E70463" w:rsidTr="00AA5C29">
        <w:tc>
          <w:tcPr>
            <w:tcW w:w="308" w:type="pct"/>
            <w:vAlign w:val="center"/>
          </w:tcPr>
          <w:p w:rsidR="00E70463" w:rsidRPr="00E70463" w:rsidRDefault="00E70463" w:rsidP="00AA5C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046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85" w:type="pct"/>
            <w:vAlign w:val="center"/>
          </w:tcPr>
          <w:p w:rsidR="00E70463" w:rsidRPr="00E70463" w:rsidRDefault="00E70463" w:rsidP="00AA5C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0463">
              <w:rPr>
                <w:rFonts w:ascii="Times New Roman" w:hAnsi="Times New Roman"/>
                <w:b/>
                <w:sz w:val="24"/>
                <w:szCs w:val="24"/>
              </w:rPr>
              <w:t>Структура доклада</w:t>
            </w:r>
          </w:p>
        </w:tc>
        <w:tc>
          <w:tcPr>
            <w:tcW w:w="909" w:type="pct"/>
            <w:vAlign w:val="center"/>
          </w:tcPr>
          <w:p w:rsidR="00E70463" w:rsidRPr="00E70463" w:rsidRDefault="00E70463" w:rsidP="00AA5C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0463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</w:p>
        </w:tc>
        <w:tc>
          <w:tcPr>
            <w:tcW w:w="798" w:type="pct"/>
            <w:vAlign w:val="center"/>
          </w:tcPr>
          <w:p w:rsidR="00E70463" w:rsidRPr="00E70463" w:rsidRDefault="00E70463" w:rsidP="00AA5C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0463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</w:tc>
      </w:tr>
      <w:tr w:rsidR="00E70463" w:rsidRPr="00E70463" w:rsidTr="00AA5C29">
        <w:trPr>
          <w:cantSplit/>
        </w:trPr>
        <w:tc>
          <w:tcPr>
            <w:tcW w:w="308" w:type="pct"/>
            <w:vAlign w:val="center"/>
          </w:tcPr>
          <w:p w:rsidR="00E70463" w:rsidRPr="00E70463" w:rsidRDefault="00E70463" w:rsidP="00AA5C2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 xml:space="preserve">1. </w:t>
            </w:r>
          </w:p>
        </w:tc>
        <w:tc>
          <w:tcPr>
            <w:tcW w:w="2985" w:type="pct"/>
            <w:vAlign w:val="center"/>
          </w:tcPr>
          <w:p w:rsidR="00E70463" w:rsidRPr="00E70463" w:rsidRDefault="00E70463" w:rsidP="00AA5C29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Представление темы работы</w:t>
            </w:r>
          </w:p>
        </w:tc>
        <w:tc>
          <w:tcPr>
            <w:tcW w:w="909" w:type="pct"/>
            <w:vMerge w:val="restart"/>
            <w:vAlign w:val="center"/>
          </w:tcPr>
          <w:p w:rsidR="00E70463" w:rsidRPr="00E70463" w:rsidRDefault="00E70463" w:rsidP="00AA5C2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До 0,5 страницы</w:t>
            </w:r>
          </w:p>
        </w:tc>
        <w:tc>
          <w:tcPr>
            <w:tcW w:w="798" w:type="pct"/>
            <w:vMerge w:val="restart"/>
            <w:vAlign w:val="center"/>
          </w:tcPr>
          <w:p w:rsidR="00E70463" w:rsidRPr="00E70463" w:rsidRDefault="00E70463" w:rsidP="00AA5C2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До 1 минут</w:t>
            </w:r>
          </w:p>
        </w:tc>
      </w:tr>
      <w:tr w:rsidR="00E70463" w:rsidRPr="00E70463" w:rsidTr="00AA5C29">
        <w:trPr>
          <w:cantSplit/>
        </w:trPr>
        <w:tc>
          <w:tcPr>
            <w:tcW w:w="308" w:type="pct"/>
            <w:vAlign w:val="center"/>
          </w:tcPr>
          <w:p w:rsidR="00E70463" w:rsidRPr="00E70463" w:rsidRDefault="00E70463" w:rsidP="003679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85" w:type="pct"/>
            <w:vAlign w:val="center"/>
          </w:tcPr>
          <w:p w:rsidR="00E70463" w:rsidRPr="00E70463" w:rsidRDefault="00E70463" w:rsidP="003679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Актуальность темы</w:t>
            </w:r>
          </w:p>
        </w:tc>
        <w:tc>
          <w:tcPr>
            <w:tcW w:w="909" w:type="pct"/>
            <w:vMerge/>
            <w:vAlign w:val="center"/>
          </w:tcPr>
          <w:p w:rsidR="00E70463" w:rsidRPr="00E70463" w:rsidRDefault="00E70463" w:rsidP="003679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8" w:type="pct"/>
            <w:vMerge/>
            <w:vAlign w:val="center"/>
          </w:tcPr>
          <w:p w:rsidR="00E70463" w:rsidRPr="00E70463" w:rsidRDefault="00E70463" w:rsidP="003679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0463" w:rsidRPr="00E70463" w:rsidTr="00AA5C29">
        <w:trPr>
          <w:cantSplit/>
        </w:trPr>
        <w:tc>
          <w:tcPr>
            <w:tcW w:w="308" w:type="pct"/>
            <w:vAlign w:val="center"/>
          </w:tcPr>
          <w:p w:rsidR="00E70463" w:rsidRPr="00E70463" w:rsidRDefault="00E70463" w:rsidP="003679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85" w:type="pct"/>
            <w:vAlign w:val="center"/>
          </w:tcPr>
          <w:p w:rsidR="00E70463" w:rsidRPr="00E70463" w:rsidRDefault="00E70463" w:rsidP="003679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Цель работы</w:t>
            </w:r>
          </w:p>
        </w:tc>
        <w:tc>
          <w:tcPr>
            <w:tcW w:w="909" w:type="pct"/>
            <w:vMerge/>
            <w:vAlign w:val="center"/>
          </w:tcPr>
          <w:p w:rsidR="00E70463" w:rsidRPr="00E70463" w:rsidRDefault="00E70463" w:rsidP="003679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8" w:type="pct"/>
            <w:vMerge/>
            <w:vAlign w:val="center"/>
          </w:tcPr>
          <w:p w:rsidR="00E70463" w:rsidRPr="00E70463" w:rsidRDefault="00E70463" w:rsidP="003679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0463" w:rsidRPr="00E70463" w:rsidTr="00AA5C29">
        <w:tc>
          <w:tcPr>
            <w:tcW w:w="308" w:type="pct"/>
            <w:vAlign w:val="center"/>
          </w:tcPr>
          <w:p w:rsidR="00E70463" w:rsidRPr="00E70463" w:rsidRDefault="00E70463" w:rsidP="003679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 xml:space="preserve">4. </w:t>
            </w:r>
          </w:p>
        </w:tc>
        <w:tc>
          <w:tcPr>
            <w:tcW w:w="2985" w:type="pct"/>
            <w:vAlign w:val="center"/>
          </w:tcPr>
          <w:p w:rsidR="00E70463" w:rsidRPr="00E70463" w:rsidRDefault="00E70463" w:rsidP="003679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 xml:space="preserve">Содержание работы </w:t>
            </w:r>
          </w:p>
        </w:tc>
        <w:tc>
          <w:tcPr>
            <w:tcW w:w="909" w:type="pct"/>
            <w:vAlign w:val="center"/>
          </w:tcPr>
          <w:p w:rsidR="00E70463" w:rsidRPr="00E70463" w:rsidRDefault="00E70463" w:rsidP="003679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До 2 страниц</w:t>
            </w:r>
          </w:p>
        </w:tc>
        <w:tc>
          <w:tcPr>
            <w:tcW w:w="798" w:type="pct"/>
            <w:vAlign w:val="center"/>
          </w:tcPr>
          <w:p w:rsidR="00E70463" w:rsidRPr="00E70463" w:rsidRDefault="00E70463" w:rsidP="003679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До 5 минут</w:t>
            </w:r>
          </w:p>
        </w:tc>
      </w:tr>
      <w:tr w:rsidR="00E70463" w:rsidRPr="00E70463" w:rsidTr="00AA5C29">
        <w:tc>
          <w:tcPr>
            <w:tcW w:w="308" w:type="pct"/>
            <w:vAlign w:val="center"/>
          </w:tcPr>
          <w:p w:rsidR="00E70463" w:rsidRPr="00E70463" w:rsidRDefault="00E70463" w:rsidP="003679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985" w:type="pct"/>
            <w:vAlign w:val="center"/>
          </w:tcPr>
          <w:p w:rsidR="00E70463" w:rsidRPr="00E70463" w:rsidRDefault="00E70463" w:rsidP="003679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Перспективы и направления дальнейшего исследования данной темы</w:t>
            </w:r>
          </w:p>
        </w:tc>
        <w:tc>
          <w:tcPr>
            <w:tcW w:w="909" w:type="pct"/>
            <w:vAlign w:val="center"/>
          </w:tcPr>
          <w:p w:rsidR="00E70463" w:rsidRPr="00E70463" w:rsidRDefault="00E70463" w:rsidP="003679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До 0,5 страницы</w:t>
            </w:r>
          </w:p>
        </w:tc>
        <w:tc>
          <w:tcPr>
            <w:tcW w:w="798" w:type="pct"/>
            <w:vAlign w:val="center"/>
          </w:tcPr>
          <w:p w:rsidR="00E70463" w:rsidRPr="00E70463" w:rsidRDefault="00E70463" w:rsidP="003679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463">
              <w:rPr>
                <w:rFonts w:ascii="Times New Roman" w:hAnsi="Times New Roman"/>
                <w:sz w:val="24"/>
                <w:szCs w:val="24"/>
              </w:rPr>
              <w:t>До 1 минуты</w:t>
            </w:r>
          </w:p>
        </w:tc>
      </w:tr>
    </w:tbl>
    <w:p w:rsidR="00AA5C29" w:rsidRDefault="00AA5C29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0463">
        <w:rPr>
          <w:rFonts w:ascii="Times New Roman" w:hAnsi="Times New Roman"/>
          <w:sz w:val="24"/>
          <w:szCs w:val="24"/>
        </w:rPr>
        <w:t xml:space="preserve">Для выступления на защите студентом самостоятельно должны быть подготовлены и согласованы с руководителем тезисы доклада и иллюстративный материал. </w:t>
      </w:r>
    </w:p>
    <w:p w:rsidR="00E70463" w:rsidRPr="00E70463" w:rsidRDefault="00E70463" w:rsidP="00E704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70463">
        <w:rPr>
          <w:rFonts w:ascii="Times New Roman" w:hAnsi="Times New Roman"/>
          <w:sz w:val="24"/>
          <w:szCs w:val="24"/>
        </w:rPr>
        <w:t xml:space="preserve">Иллюстрации должны отражать основные результаты, достигнутые в работе, и быть согласованными с тезисами доклада. </w:t>
      </w:r>
    </w:p>
    <w:p w:rsidR="00E70463" w:rsidRPr="00E70463" w:rsidRDefault="00E70463" w:rsidP="00E70463">
      <w:pPr>
        <w:pStyle w:val="a6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:rsidR="00F769F2" w:rsidRPr="00E70463" w:rsidRDefault="00F769F2" w:rsidP="00E70463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sectPr w:rsidR="00F769F2" w:rsidRPr="00E70463" w:rsidSect="003856F5">
      <w:footerReference w:type="default" r:id="rId24"/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6F5" w:rsidRDefault="003856F5" w:rsidP="00CA27F0">
      <w:pPr>
        <w:spacing w:after="0" w:line="240" w:lineRule="auto"/>
      </w:pPr>
      <w:r>
        <w:separator/>
      </w:r>
    </w:p>
  </w:endnote>
  <w:endnote w:type="continuationSeparator" w:id="0">
    <w:p w:rsidR="003856F5" w:rsidRDefault="003856F5" w:rsidP="00CA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321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3856F5" w:rsidRPr="00493C3A" w:rsidRDefault="00706829">
        <w:pPr>
          <w:pStyle w:val="a3"/>
          <w:jc w:val="center"/>
          <w:rPr>
            <w:rFonts w:ascii="Times New Roman" w:hAnsi="Times New Roman"/>
            <w:sz w:val="24"/>
          </w:rPr>
        </w:pPr>
        <w:r w:rsidRPr="00493C3A">
          <w:rPr>
            <w:rFonts w:ascii="Times New Roman" w:hAnsi="Times New Roman"/>
            <w:sz w:val="24"/>
          </w:rPr>
          <w:fldChar w:fldCharType="begin"/>
        </w:r>
        <w:r w:rsidR="003856F5" w:rsidRPr="00493C3A">
          <w:rPr>
            <w:rFonts w:ascii="Times New Roman" w:hAnsi="Times New Roman"/>
            <w:sz w:val="24"/>
          </w:rPr>
          <w:instrText xml:space="preserve"> PAGE   \* MERGEFORMAT </w:instrText>
        </w:r>
        <w:r w:rsidRPr="00493C3A">
          <w:rPr>
            <w:rFonts w:ascii="Times New Roman" w:hAnsi="Times New Roman"/>
            <w:sz w:val="24"/>
          </w:rPr>
          <w:fldChar w:fldCharType="separate"/>
        </w:r>
        <w:r w:rsidR="002340E7">
          <w:rPr>
            <w:rFonts w:ascii="Times New Roman" w:hAnsi="Times New Roman"/>
            <w:noProof/>
            <w:sz w:val="24"/>
          </w:rPr>
          <w:t>4</w:t>
        </w:r>
        <w:r w:rsidRPr="00493C3A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3856F5" w:rsidRDefault="003856F5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6F5" w:rsidRDefault="003856F5" w:rsidP="00CA27F0">
      <w:pPr>
        <w:spacing w:after="0" w:line="240" w:lineRule="auto"/>
      </w:pPr>
      <w:r>
        <w:separator/>
      </w:r>
    </w:p>
  </w:footnote>
  <w:footnote w:type="continuationSeparator" w:id="0">
    <w:p w:rsidR="003856F5" w:rsidRDefault="003856F5" w:rsidP="00CA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1F32"/>
    <w:multiLevelType w:val="hybridMultilevel"/>
    <w:tmpl w:val="EF24DAA0"/>
    <w:lvl w:ilvl="0" w:tplc="BAAE4186">
      <w:start w:val="1"/>
      <w:numFmt w:val="decimal"/>
      <w:lvlText w:val="%1)"/>
      <w:lvlJc w:val="left"/>
      <w:pPr>
        <w:ind w:left="960" w:hanging="281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ru-RU" w:eastAsia="ru-RU" w:bidi="ru-RU"/>
      </w:rPr>
    </w:lvl>
    <w:lvl w:ilvl="1" w:tplc="023E4010">
      <w:numFmt w:val="bullet"/>
      <w:lvlText w:val="•"/>
      <w:lvlJc w:val="left"/>
      <w:pPr>
        <w:ind w:left="1878" w:hanging="281"/>
      </w:pPr>
      <w:rPr>
        <w:rFonts w:hint="default"/>
        <w:lang w:val="ru-RU" w:eastAsia="ru-RU" w:bidi="ru-RU"/>
      </w:rPr>
    </w:lvl>
    <w:lvl w:ilvl="2" w:tplc="FC143BD8">
      <w:numFmt w:val="bullet"/>
      <w:lvlText w:val="•"/>
      <w:lvlJc w:val="left"/>
      <w:pPr>
        <w:ind w:left="2797" w:hanging="281"/>
      </w:pPr>
      <w:rPr>
        <w:rFonts w:hint="default"/>
        <w:lang w:val="ru-RU" w:eastAsia="ru-RU" w:bidi="ru-RU"/>
      </w:rPr>
    </w:lvl>
    <w:lvl w:ilvl="3" w:tplc="31FA8984">
      <w:numFmt w:val="bullet"/>
      <w:lvlText w:val="•"/>
      <w:lvlJc w:val="left"/>
      <w:pPr>
        <w:ind w:left="3715" w:hanging="281"/>
      </w:pPr>
      <w:rPr>
        <w:rFonts w:hint="default"/>
        <w:lang w:val="ru-RU" w:eastAsia="ru-RU" w:bidi="ru-RU"/>
      </w:rPr>
    </w:lvl>
    <w:lvl w:ilvl="4" w:tplc="F110B812">
      <w:numFmt w:val="bullet"/>
      <w:lvlText w:val="•"/>
      <w:lvlJc w:val="left"/>
      <w:pPr>
        <w:ind w:left="4634" w:hanging="281"/>
      </w:pPr>
      <w:rPr>
        <w:rFonts w:hint="default"/>
        <w:lang w:val="ru-RU" w:eastAsia="ru-RU" w:bidi="ru-RU"/>
      </w:rPr>
    </w:lvl>
    <w:lvl w:ilvl="5" w:tplc="342CFEE4">
      <w:numFmt w:val="bullet"/>
      <w:lvlText w:val="•"/>
      <w:lvlJc w:val="left"/>
      <w:pPr>
        <w:ind w:left="5553" w:hanging="281"/>
      </w:pPr>
      <w:rPr>
        <w:rFonts w:hint="default"/>
        <w:lang w:val="ru-RU" w:eastAsia="ru-RU" w:bidi="ru-RU"/>
      </w:rPr>
    </w:lvl>
    <w:lvl w:ilvl="6" w:tplc="361AF3A0">
      <w:numFmt w:val="bullet"/>
      <w:lvlText w:val="•"/>
      <w:lvlJc w:val="left"/>
      <w:pPr>
        <w:ind w:left="6471" w:hanging="281"/>
      </w:pPr>
      <w:rPr>
        <w:rFonts w:hint="default"/>
        <w:lang w:val="ru-RU" w:eastAsia="ru-RU" w:bidi="ru-RU"/>
      </w:rPr>
    </w:lvl>
    <w:lvl w:ilvl="7" w:tplc="E7B81660">
      <w:numFmt w:val="bullet"/>
      <w:lvlText w:val="•"/>
      <w:lvlJc w:val="left"/>
      <w:pPr>
        <w:ind w:left="7390" w:hanging="281"/>
      </w:pPr>
      <w:rPr>
        <w:rFonts w:hint="default"/>
        <w:lang w:val="ru-RU" w:eastAsia="ru-RU" w:bidi="ru-RU"/>
      </w:rPr>
    </w:lvl>
    <w:lvl w:ilvl="8" w:tplc="CA247B8A">
      <w:numFmt w:val="bullet"/>
      <w:lvlText w:val="•"/>
      <w:lvlJc w:val="left"/>
      <w:pPr>
        <w:ind w:left="8309" w:hanging="281"/>
      </w:pPr>
      <w:rPr>
        <w:rFonts w:hint="default"/>
        <w:lang w:val="ru-RU" w:eastAsia="ru-RU" w:bidi="ru-RU"/>
      </w:rPr>
    </w:lvl>
  </w:abstractNum>
  <w:abstractNum w:abstractNumId="1">
    <w:nsid w:val="27F35B29"/>
    <w:multiLevelType w:val="hybridMultilevel"/>
    <w:tmpl w:val="13D402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E751C16"/>
    <w:multiLevelType w:val="hybridMultilevel"/>
    <w:tmpl w:val="7D00EA96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E7791"/>
    <w:multiLevelType w:val="hybridMultilevel"/>
    <w:tmpl w:val="970AF7D0"/>
    <w:lvl w:ilvl="0" w:tplc="CFBA91DA">
      <w:start w:val="1"/>
      <w:numFmt w:val="decimal"/>
      <w:lvlText w:val="%1."/>
      <w:lvlJc w:val="right"/>
      <w:pPr>
        <w:tabs>
          <w:tab w:val="num" w:pos="1040"/>
        </w:tabs>
        <w:ind w:left="36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463"/>
    <w:rsid w:val="001D2DE9"/>
    <w:rsid w:val="001D3E9D"/>
    <w:rsid w:val="002340E7"/>
    <w:rsid w:val="00367994"/>
    <w:rsid w:val="003856F5"/>
    <w:rsid w:val="004D38C8"/>
    <w:rsid w:val="004E0210"/>
    <w:rsid w:val="00586CFB"/>
    <w:rsid w:val="005F778F"/>
    <w:rsid w:val="00706829"/>
    <w:rsid w:val="007163E8"/>
    <w:rsid w:val="00735E68"/>
    <w:rsid w:val="00775FCA"/>
    <w:rsid w:val="007B3846"/>
    <w:rsid w:val="00824977"/>
    <w:rsid w:val="0092222B"/>
    <w:rsid w:val="00985BE9"/>
    <w:rsid w:val="00A003DB"/>
    <w:rsid w:val="00A03F4F"/>
    <w:rsid w:val="00A63C12"/>
    <w:rsid w:val="00AA5C29"/>
    <w:rsid w:val="00B22B8B"/>
    <w:rsid w:val="00B51CA1"/>
    <w:rsid w:val="00C240F1"/>
    <w:rsid w:val="00C94AF2"/>
    <w:rsid w:val="00CA27F0"/>
    <w:rsid w:val="00CF2F4F"/>
    <w:rsid w:val="00D75AEB"/>
    <w:rsid w:val="00E70463"/>
    <w:rsid w:val="00F062E2"/>
    <w:rsid w:val="00F2517F"/>
    <w:rsid w:val="00F76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46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7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70463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E70463"/>
    <w:pPr>
      <w:ind w:left="720"/>
      <w:contextualSpacing/>
    </w:pPr>
  </w:style>
  <w:style w:type="paragraph" w:styleId="a6">
    <w:name w:val="No Spacing"/>
    <w:uiPriority w:val="1"/>
    <w:qFormat/>
    <w:rsid w:val="00E7046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3">
    <w:name w:val="Обычный3"/>
    <w:rsid w:val="00E70463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Style18">
    <w:name w:val="Style18"/>
    <w:basedOn w:val="a"/>
    <w:rsid w:val="00E70463"/>
    <w:pPr>
      <w:widowControl w:val="0"/>
      <w:autoSpaceDE w:val="0"/>
      <w:autoSpaceDN w:val="0"/>
      <w:adjustRightInd w:val="0"/>
      <w:spacing w:after="0" w:line="418" w:lineRule="exact"/>
      <w:ind w:firstLine="739"/>
      <w:jc w:val="both"/>
    </w:pPr>
    <w:rPr>
      <w:rFonts w:ascii="Times New Roman" w:hAnsi="Times New Roman"/>
      <w:sz w:val="24"/>
      <w:szCs w:val="24"/>
      <w:lang w:eastAsia="ru-RU"/>
    </w:rPr>
  </w:style>
  <w:style w:type="paragraph" w:customStyle="1" w:styleId="Style53">
    <w:name w:val="Style53"/>
    <w:basedOn w:val="a"/>
    <w:rsid w:val="00E70463"/>
    <w:pPr>
      <w:widowControl w:val="0"/>
      <w:autoSpaceDE w:val="0"/>
      <w:autoSpaceDN w:val="0"/>
      <w:adjustRightInd w:val="0"/>
      <w:spacing w:after="0" w:line="499" w:lineRule="exact"/>
    </w:pPr>
    <w:rPr>
      <w:rFonts w:ascii="Times New Roman" w:hAnsi="Times New Roman"/>
      <w:sz w:val="24"/>
      <w:szCs w:val="24"/>
      <w:lang w:eastAsia="ru-RU"/>
    </w:rPr>
  </w:style>
  <w:style w:type="character" w:customStyle="1" w:styleId="FontStyle91">
    <w:name w:val="Font Style91"/>
    <w:rsid w:val="00E70463"/>
    <w:rPr>
      <w:rFonts w:ascii="Times New Roman" w:hAnsi="Times New Roman"/>
      <w:i/>
      <w:sz w:val="22"/>
    </w:rPr>
  </w:style>
  <w:style w:type="character" w:customStyle="1" w:styleId="FontStyle96">
    <w:name w:val="Font Style96"/>
    <w:rsid w:val="00E70463"/>
    <w:rPr>
      <w:rFonts w:ascii="Times New Roman" w:hAnsi="Times New Roman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E70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0463"/>
    <w:rPr>
      <w:rFonts w:ascii="Tahoma" w:eastAsia="Calibri" w:hAnsi="Tahoma" w:cs="Tahoma"/>
      <w:sz w:val="16"/>
      <w:szCs w:val="16"/>
    </w:rPr>
  </w:style>
  <w:style w:type="paragraph" w:styleId="a9">
    <w:name w:val="Body Text"/>
    <w:basedOn w:val="a"/>
    <w:link w:val="aa"/>
    <w:uiPriority w:val="1"/>
    <w:qFormat/>
    <w:rsid w:val="00A003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A003D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Heading2">
    <w:name w:val="Heading 2"/>
    <w:basedOn w:val="a"/>
    <w:uiPriority w:val="1"/>
    <w:qFormat/>
    <w:rsid w:val="00A003DB"/>
    <w:pPr>
      <w:widowControl w:val="0"/>
      <w:autoSpaceDE w:val="0"/>
      <w:autoSpaceDN w:val="0"/>
      <w:spacing w:after="0" w:line="319" w:lineRule="exact"/>
      <w:ind w:left="984"/>
      <w:jc w:val="both"/>
      <w:outlineLvl w:val="2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character" w:styleId="ab">
    <w:name w:val="Hyperlink"/>
    <w:basedOn w:val="a0"/>
    <w:uiPriority w:val="99"/>
    <w:unhideWhenUsed/>
    <w:rsid w:val="00A003DB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A03F4F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03F4F"/>
    <w:rPr>
      <w:rFonts w:ascii="Calibri" w:eastAsia="Calibri" w:hAnsi="Calibri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A03F4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hart" Target="charts/chart2.xml"/><Relationship Id="rId18" Type="http://schemas.openxmlformats.org/officeDocument/2006/relationships/hyperlink" Target="http://www.garant.ru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elibrary.ru/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yperlink" Target="http://www.consultant.ru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library.ru/project_orgs.asp" TargetMode="External"/><Relationship Id="rId20" Type="http://schemas.openxmlformats.org/officeDocument/2006/relationships/hyperlink" Target="https://www.prlib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.lanbook.com/" TargetMode="External"/><Relationship Id="rId23" Type="http://schemas.openxmlformats.org/officeDocument/2006/relationships/image" Target="media/image3.jpeg"/><Relationship Id="rId10" Type="http://schemas.openxmlformats.org/officeDocument/2006/relationships/image" Target="media/image2.wmf"/><Relationship Id="rId19" Type="http://schemas.openxmlformats.org/officeDocument/2006/relationships/hyperlink" Target="http://www.nlr.ru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iprbookshop.ru/" TargetMode="External"/><Relationship Id="rId22" Type="http://schemas.openxmlformats.org/officeDocument/2006/relationships/hyperlink" Target="http://cyberleninka.ru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view3D>
      <c:rotX val="40"/>
      <c:perspective val="0"/>
    </c:view3D>
    <c:plotArea>
      <c:layout>
        <c:manualLayout>
          <c:layoutTarget val="inner"/>
          <c:xMode val="edge"/>
          <c:yMode val="edge"/>
          <c:x val="0"/>
          <c:y val="8.8298761041966725E-2"/>
          <c:w val="0.82111688344203348"/>
          <c:h val="0.55047385205881905"/>
        </c:manualLayout>
      </c:layout>
      <c:pie3DChart>
        <c:varyColors val="1"/>
        <c:ser>
          <c:idx val="0"/>
          <c:order val="0"/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explosion val="15"/>
          <c:dPt>
            <c:idx val="1"/>
            <c:spPr>
              <a:solidFill>
                <a:srgbClr val="993366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2"/>
            <c:spPr>
              <a:solidFill>
                <a:srgbClr val="FFFFCC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3"/>
            <c:spPr>
              <a:solidFill>
                <a:srgbClr val="CCFFFF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4"/>
            <c:spPr>
              <a:solidFill>
                <a:srgbClr val="660066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5"/>
            <c:spPr>
              <a:solidFill>
                <a:srgbClr val="FF8080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6"/>
            <c:spPr>
              <a:solidFill>
                <a:srgbClr val="0066CC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7"/>
            <c:spPr>
              <a:solidFill>
                <a:srgbClr val="CCCCFF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8"/>
            <c:spPr>
              <a:solidFill>
                <a:srgbClr val="000080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9"/>
            <c:spPr>
              <a:solidFill>
                <a:srgbClr val="FF00FF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0"/>
            <c:spPr>
              <a:solidFill>
                <a:srgbClr val="FFFF00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1"/>
            <c:spPr>
              <a:solidFill>
                <a:srgbClr val="00FFFF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2"/>
            <c:spPr>
              <a:solidFill>
                <a:srgbClr val="800080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3"/>
            <c:spPr>
              <a:solidFill>
                <a:srgbClr val="800000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4"/>
            <c:spPr>
              <a:solidFill>
                <a:srgbClr val="008080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5"/>
            <c:spPr>
              <a:solidFill>
                <a:srgbClr val="0000FF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6"/>
            <c:spPr>
              <a:solidFill>
                <a:srgbClr val="00CCFF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7"/>
            <c:spPr>
              <a:solidFill>
                <a:srgbClr val="CCFFFF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8"/>
            <c:spPr>
              <a:solidFill>
                <a:srgbClr val="CCFFCC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Lbls>
            <c:numFmt formatCode="0%" sourceLinked="0"/>
            <c:spPr>
              <a:noFill/>
              <a:ln w="25399">
                <a:noFill/>
              </a:ln>
            </c:spPr>
            <c:showPercent val="1"/>
            <c:showLeaderLines val="1"/>
          </c:dLbls>
          <c:cat>
            <c:strRef>
              <c:f>Лист1!$A$111:$A$129</c:f>
              <c:strCache>
                <c:ptCount val="19"/>
                <c:pt idx="0">
                  <c:v>Отдел делопроизводства</c:v>
                </c:pt>
                <c:pt idx="1">
                  <c:v>Бухгалтерия</c:v>
                </c:pt>
                <c:pt idx="2">
                  <c:v>Планово-экономический отдел</c:v>
                </c:pt>
                <c:pt idx="3">
                  <c:v>Отдел организации труда и заработной платы</c:v>
                </c:pt>
                <c:pt idx="4">
                  <c:v>Отдел материально-технического снабжения и комплектации</c:v>
                </c:pt>
                <c:pt idx="5">
                  <c:v>Производственно-сбытовой отдел</c:v>
                </c:pt>
                <c:pt idx="6">
                  <c:v>Административно-хозяйственный отдел</c:v>
                </c:pt>
                <c:pt idx="7">
                  <c:v>Отдел главного конструктора</c:v>
                </c:pt>
                <c:pt idx="8">
                  <c:v>Отдел техники безопасности</c:v>
                </c:pt>
                <c:pt idx="9">
                  <c:v>Отдел главного механика</c:v>
                </c:pt>
                <c:pt idx="10">
                  <c:v>Отдел главного энергетика</c:v>
                </c:pt>
                <c:pt idx="11">
                  <c:v>Отдел материальных нормативов</c:v>
                </c:pt>
                <c:pt idx="12">
                  <c:v>Отдел АСУ</c:v>
                </c:pt>
                <c:pt idx="13">
                  <c:v>Отдел главного технолога</c:v>
                </c:pt>
                <c:pt idx="14">
                  <c:v>Центральная заводская лаборатория</c:v>
                </c:pt>
                <c:pt idx="15">
                  <c:v>Отдел кадров</c:v>
                </c:pt>
                <c:pt idx="16">
                  <c:v>Отдел технического контроля</c:v>
                </c:pt>
                <c:pt idx="17">
                  <c:v>Юридический отдел</c:v>
                </c:pt>
                <c:pt idx="18">
                  <c:v>Прочие отделы и службы</c:v>
                </c:pt>
              </c:strCache>
            </c:strRef>
          </c:cat>
          <c:val>
            <c:numRef>
              <c:f>Лист1!$B$111:$B$129</c:f>
              <c:numCache>
                <c:formatCode>General</c:formatCode>
                <c:ptCount val="19"/>
                <c:pt idx="0">
                  <c:v>400</c:v>
                </c:pt>
                <c:pt idx="1">
                  <c:v>765</c:v>
                </c:pt>
                <c:pt idx="2">
                  <c:v>685</c:v>
                </c:pt>
                <c:pt idx="3">
                  <c:v>587</c:v>
                </c:pt>
                <c:pt idx="4">
                  <c:v>720</c:v>
                </c:pt>
                <c:pt idx="5">
                  <c:v>732</c:v>
                </c:pt>
                <c:pt idx="6">
                  <c:v>145</c:v>
                </c:pt>
                <c:pt idx="7">
                  <c:v>411</c:v>
                </c:pt>
                <c:pt idx="8">
                  <c:v>297</c:v>
                </c:pt>
                <c:pt idx="9">
                  <c:v>193</c:v>
                </c:pt>
                <c:pt idx="10">
                  <c:v>102</c:v>
                </c:pt>
                <c:pt idx="11">
                  <c:v>124</c:v>
                </c:pt>
                <c:pt idx="12">
                  <c:v>78</c:v>
                </c:pt>
                <c:pt idx="13">
                  <c:v>118</c:v>
                </c:pt>
                <c:pt idx="14">
                  <c:v>93</c:v>
                </c:pt>
                <c:pt idx="15">
                  <c:v>399</c:v>
                </c:pt>
                <c:pt idx="16">
                  <c:v>270</c:v>
                </c:pt>
                <c:pt idx="17">
                  <c:v>105</c:v>
                </c:pt>
                <c:pt idx="18">
                  <c:v>1343</c:v>
                </c:pt>
              </c:numCache>
            </c:numRef>
          </c:val>
        </c:ser>
        <c:ser>
          <c:idx val="1"/>
          <c:order val="1"/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dPt>
            <c:idx val="0"/>
            <c:spPr>
              <a:solidFill>
                <a:srgbClr val="9999FF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2"/>
            <c:spPr>
              <a:solidFill>
                <a:srgbClr val="FFFFCC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3"/>
            <c:spPr>
              <a:solidFill>
                <a:srgbClr val="CCFFFF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4"/>
            <c:spPr>
              <a:solidFill>
                <a:srgbClr val="660066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5"/>
            <c:spPr>
              <a:solidFill>
                <a:srgbClr val="FF8080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6"/>
            <c:spPr>
              <a:solidFill>
                <a:srgbClr val="0066CC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7"/>
            <c:spPr>
              <a:solidFill>
                <a:srgbClr val="CCCCFF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8"/>
            <c:spPr>
              <a:solidFill>
                <a:srgbClr val="000080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9"/>
            <c:spPr>
              <a:solidFill>
                <a:srgbClr val="FF00FF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0"/>
            <c:spPr>
              <a:solidFill>
                <a:srgbClr val="FFFF00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1"/>
            <c:spPr>
              <a:solidFill>
                <a:srgbClr val="00FFFF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2"/>
            <c:spPr>
              <a:solidFill>
                <a:srgbClr val="800080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3"/>
            <c:spPr>
              <a:solidFill>
                <a:srgbClr val="800000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4"/>
            <c:spPr>
              <a:solidFill>
                <a:srgbClr val="008080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5"/>
            <c:spPr>
              <a:solidFill>
                <a:srgbClr val="0000FF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6"/>
            <c:spPr>
              <a:solidFill>
                <a:srgbClr val="00CCFF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7"/>
            <c:spPr>
              <a:solidFill>
                <a:srgbClr val="CCFFFF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Pt>
            <c:idx val="18"/>
            <c:spPr>
              <a:solidFill>
                <a:srgbClr val="CCFFCC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Lbls>
            <c:numFmt formatCode="0%" sourceLinked="0"/>
            <c:spPr>
              <a:noFill/>
              <a:ln w="25399">
                <a:noFill/>
              </a:ln>
            </c:spPr>
            <c:showPercent val="1"/>
            <c:showLeaderLines val="1"/>
          </c:dLbls>
          <c:cat>
            <c:strRef>
              <c:f>Лист1!$A$111:$A$129</c:f>
              <c:strCache>
                <c:ptCount val="19"/>
                <c:pt idx="0">
                  <c:v>Отдел делопроизводства</c:v>
                </c:pt>
                <c:pt idx="1">
                  <c:v>Бухгалтерия</c:v>
                </c:pt>
                <c:pt idx="2">
                  <c:v>Планово-экономический отдел</c:v>
                </c:pt>
                <c:pt idx="3">
                  <c:v>Отдел организации труда и заработной платы</c:v>
                </c:pt>
                <c:pt idx="4">
                  <c:v>Отдел материально-технического снабжения и комплектации</c:v>
                </c:pt>
                <c:pt idx="5">
                  <c:v>Производственно-сбытовой отдел</c:v>
                </c:pt>
                <c:pt idx="6">
                  <c:v>Административно-хозяйственный отдел</c:v>
                </c:pt>
                <c:pt idx="7">
                  <c:v>Отдел главного конструктора</c:v>
                </c:pt>
                <c:pt idx="8">
                  <c:v>Отдел техники безопасности</c:v>
                </c:pt>
                <c:pt idx="9">
                  <c:v>Отдел главного механика</c:v>
                </c:pt>
                <c:pt idx="10">
                  <c:v>Отдел главного энергетика</c:v>
                </c:pt>
                <c:pt idx="11">
                  <c:v>Отдел материальных нормативов</c:v>
                </c:pt>
                <c:pt idx="12">
                  <c:v>Отдел АСУ</c:v>
                </c:pt>
                <c:pt idx="13">
                  <c:v>Отдел главного технолога</c:v>
                </c:pt>
                <c:pt idx="14">
                  <c:v>Центральная заводская лаборатория</c:v>
                </c:pt>
                <c:pt idx="15">
                  <c:v>Отдел кадров</c:v>
                </c:pt>
                <c:pt idx="16">
                  <c:v>Отдел технического контроля</c:v>
                </c:pt>
                <c:pt idx="17">
                  <c:v>Юридический отдел</c:v>
                </c:pt>
                <c:pt idx="18">
                  <c:v>Прочие отделы и службы</c:v>
                </c:pt>
              </c:strCache>
            </c:strRef>
          </c:cat>
          <c:val>
            <c:numRef>
              <c:f>Лист1!$C$111:$C$129</c:f>
              <c:numCache>
                <c:formatCode>General</c:formatCode>
                <c:ptCount val="19"/>
                <c:pt idx="0">
                  <c:v>5.3</c:v>
                </c:pt>
                <c:pt idx="1">
                  <c:v>10.1</c:v>
                </c:pt>
                <c:pt idx="2">
                  <c:v>9.1</c:v>
                </c:pt>
                <c:pt idx="3">
                  <c:v>7.8</c:v>
                </c:pt>
                <c:pt idx="4">
                  <c:v>9.5</c:v>
                </c:pt>
                <c:pt idx="5">
                  <c:v>9.7000000000000011</c:v>
                </c:pt>
                <c:pt idx="6">
                  <c:v>1.9</c:v>
                </c:pt>
                <c:pt idx="7">
                  <c:v>5.4</c:v>
                </c:pt>
                <c:pt idx="8">
                  <c:v>3.9</c:v>
                </c:pt>
                <c:pt idx="9">
                  <c:v>2.6</c:v>
                </c:pt>
                <c:pt idx="10">
                  <c:v>1.3</c:v>
                </c:pt>
                <c:pt idx="11">
                  <c:v>1.6</c:v>
                </c:pt>
                <c:pt idx="12">
                  <c:v>1</c:v>
                </c:pt>
                <c:pt idx="13">
                  <c:v>1.6</c:v>
                </c:pt>
                <c:pt idx="14">
                  <c:v>1.2</c:v>
                </c:pt>
                <c:pt idx="15">
                  <c:v>5.3</c:v>
                </c:pt>
                <c:pt idx="16">
                  <c:v>3.6</c:v>
                </c:pt>
                <c:pt idx="17">
                  <c:v>1.4</c:v>
                </c:pt>
                <c:pt idx="18">
                  <c:v>17.7</c:v>
                </c:pt>
              </c:numCache>
            </c:numRef>
          </c:val>
        </c:ser>
        <c:dLbls>
          <c:showPercent val="1"/>
        </c:dLbls>
      </c:pie3DChart>
    </c:plotArea>
    <c:legend>
      <c:legendPos val="b"/>
      <c:layout>
        <c:manualLayout>
          <c:xMode val="edge"/>
          <c:yMode val="edge"/>
          <c:x val="0.66422101681734624"/>
          <c:y val="8.559620655152993E-3"/>
          <c:w val="0.33255611937397023"/>
          <c:h val="0.98956076623018752"/>
        </c:manualLayout>
      </c:layout>
      <c:spPr>
        <a:solidFill>
          <a:srgbClr val="FFFFFF"/>
        </a:solidFill>
        <a:ln w="25399">
          <a:noFill/>
        </a:ln>
      </c:spPr>
    </c:legend>
    <c:plotVisOnly val="1"/>
    <c:dispBlanksAs val="zero"/>
  </c:chart>
  <c:spPr>
    <a:solidFill>
      <a:srgbClr val="FFFFFF"/>
    </a:solidFill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Times New Roman" pitchFamily="18" charset="0"/>
          <a:ea typeface="Arial Cyr"/>
          <a:cs typeface="Times New Roman" pitchFamily="18" charset="0"/>
        </a:defRPr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4182692307692321"/>
          <c:y val="0.20087336244541484"/>
          <c:w val="0.64182692307692313"/>
          <c:h val="0.54585152838427964"/>
        </c:manualLayout>
      </c:layout>
      <c:barChart>
        <c:barDir val="col"/>
        <c:grouping val="clustered"/>
        <c:ser>
          <c:idx val="0"/>
          <c:order val="0"/>
          <c:tx>
            <c:strRef>
              <c:f>Лист1!$A$77</c:f>
              <c:strCache>
                <c:ptCount val="1"/>
                <c:pt idx="0">
                  <c:v>входящие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Лист1!$B$76:$C$76</c:f>
              <c:strCache>
                <c:ptCount val="2"/>
                <c:pt idx="0">
                  <c:v>2011 год</c:v>
                </c:pt>
                <c:pt idx="1">
                  <c:v>2012 год</c:v>
                </c:pt>
              </c:strCache>
            </c:strRef>
          </c:cat>
          <c:val>
            <c:numRef>
              <c:f>Лист1!$B$77:$C$77</c:f>
              <c:numCache>
                <c:formatCode>General</c:formatCode>
                <c:ptCount val="2"/>
                <c:pt idx="0">
                  <c:v>734</c:v>
                </c:pt>
                <c:pt idx="1">
                  <c:v>1140</c:v>
                </c:pt>
              </c:numCache>
            </c:numRef>
          </c:val>
        </c:ser>
        <c:ser>
          <c:idx val="1"/>
          <c:order val="1"/>
          <c:tx>
            <c:strRef>
              <c:f>Лист1!$A$78</c:f>
              <c:strCache>
                <c:ptCount val="1"/>
                <c:pt idx="0">
                  <c:v>исходящие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Лист1!$B$76:$C$76</c:f>
              <c:strCache>
                <c:ptCount val="2"/>
                <c:pt idx="0">
                  <c:v>2011 год</c:v>
                </c:pt>
                <c:pt idx="1">
                  <c:v>2012 год</c:v>
                </c:pt>
              </c:strCache>
            </c:strRef>
          </c:cat>
          <c:val>
            <c:numRef>
              <c:f>Лист1!$B$78:$C$78</c:f>
              <c:numCache>
                <c:formatCode>General</c:formatCode>
                <c:ptCount val="2"/>
                <c:pt idx="0">
                  <c:v>1374</c:v>
                </c:pt>
                <c:pt idx="1">
                  <c:v>1729</c:v>
                </c:pt>
              </c:numCache>
            </c:numRef>
          </c:val>
        </c:ser>
        <c:ser>
          <c:idx val="2"/>
          <c:order val="2"/>
          <c:tx>
            <c:strRef>
              <c:f>Лист1!$A$79</c:f>
              <c:strCache>
                <c:ptCount val="1"/>
                <c:pt idx="0">
                  <c:v>приказы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Лист1!$B$76:$C$76</c:f>
              <c:strCache>
                <c:ptCount val="2"/>
                <c:pt idx="0">
                  <c:v>2011 год</c:v>
                </c:pt>
                <c:pt idx="1">
                  <c:v>2012 год</c:v>
                </c:pt>
              </c:strCache>
            </c:strRef>
          </c:cat>
          <c:val>
            <c:numRef>
              <c:f>Лист1!$B$79:$C$79</c:f>
              <c:numCache>
                <c:formatCode>General</c:formatCode>
                <c:ptCount val="2"/>
                <c:pt idx="0">
                  <c:v>2045</c:v>
                </c:pt>
                <c:pt idx="1">
                  <c:v>2173</c:v>
                </c:pt>
              </c:numCache>
            </c:numRef>
          </c:val>
        </c:ser>
        <c:ser>
          <c:idx val="3"/>
          <c:order val="3"/>
          <c:tx>
            <c:v>внутренние</c:v>
          </c:tx>
          <c:spPr>
            <a:solidFill>
              <a:srgbClr val="CCFFFF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Лист1!$B$76:$C$76</c:f>
              <c:strCache>
                <c:ptCount val="2"/>
                <c:pt idx="0">
                  <c:v>2011 год</c:v>
                </c:pt>
                <c:pt idx="1">
                  <c:v>2012 год</c:v>
                </c:pt>
              </c:strCache>
            </c:strRef>
          </c:cat>
          <c:val>
            <c:numRef>
              <c:f>Лист1!$B$80:$C$80</c:f>
              <c:numCache>
                <c:formatCode>General</c:formatCode>
                <c:ptCount val="2"/>
                <c:pt idx="0">
                  <c:v>3444</c:v>
                </c:pt>
                <c:pt idx="1">
                  <c:v>3005</c:v>
                </c:pt>
              </c:numCache>
            </c:numRef>
          </c:val>
        </c:ser>
        <c:dLbls>
          <c:showVal val="1"/>
        </c:dLbls>
        <c:axId val="114216320"/>
        <c:axId val="145950208"/>
      </c:barChart>
      <c:catAx>
        <c:axId val="1142163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ru-RU" sz="1200"/>
                  <a:t>Время</a:t>
                </a:r>
              </a:p>
            </c:rich>
          </c:tx>
          <c:layout>
            <c:manualLayout>
              <c:xMode val="edge"/>
              <c:yMode val="edge"/>
              <c:x val="0.42570275089659593"/>
              <c:y val="0.8815330911918835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/>
            </a:pPr>
            <a:endParaRPr lang="ru-RU"/>
          </a:p>
        </c:txPr>
        <c:crossAx val="145950208"/>
        <c:crosses val="autoZero"/>
        <c:auto val="1"/>
        <c:lblAlgn val="ctr"/>
        <c:lblOffset val="100"/>
        <c:tickLblSkip val="1"/>
        <c:tickMarkSkip val="1"/>
      </c:catAx>
      <c:valAx>
        <c:axId val="145950208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 sz="1200"/>
                </a:pPr>
                <a:r>
                  <a:rPr lang="ru-RU" sz="1200"/>
                  <a:t>количество документов</a:t>
                </a:r>
              </a:p>
            </c:rich>
          </c:tx>
          <c:layout>
            <c:manualLayout>
              <c:xMode val="edge"/>
              <c:yMode val="edge"/>
              <c:x val="2.2088517561259319E-2"/>
              <c:y val="0.21254363406594473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/>
            </a:pPr>
            <a:endParaRPr lang="ru-RU"/>
          </a:p>
        </c:txPr>
        <c:crossAx val="114216320"/>
        <c:crosses val="autoZero"/>
        <c:crossBetween val="between"/>
      </c:valAx>
      <c:spPr>
        <a:solidFill>
          <a:srgbClr val="FFFFFF"/>
        </a:solidFill>
        <a:ln w="12700">
          <a:solidFill>
            <a:srgbClr val="FFFFFF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163470978341464"/>
          <c:y val="0.42358068877754196"/>
          <c:w val="0.22836529021658547"/>
          <c:h val="0.37117915816078556"/>
        </c:manualLayout>
      </c:layout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1200"/>
          </a:pPr>
          <a:endParaRPr lang="ru-RU"/>
        </a:p>
      </c:txPr>
    </c:legend>
    <c:plotVisOnly val="1"/>
    <c:dispBlanksAs val="gap"/>
  </c:chart>
  <c:spPr>
    <a:solidFill>
      <a:srgbClr val="FFFFFF"/>
    </a:solidFill>
    <a:ln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Times New Roman" pitchFamily="18" charset="0"/>
          <a:ea typeface="Arial Cyr"/>
          <a:cs typeface="Arial Cyr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CE51D-0CA5-41F6-AAED-3424BB23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Potulicina</dc:creator>
  <cp:lastModifiedBy>Potulicina</cp:lastModifiedBy>
  <cp:revision>14</cp:revision>
  <cp:lastPrinted>2020-09-22T10:45:00Z</cp:lastPrinted>
  <dcterms:created xsi:type="dcterms:W3CDTF">2019-09-13T12:41:00Z</dcterms:created>
  <dcterms:modified xsi:type="dcterms:W3CDTF">2020-09-22T12:05:00Z</dcterms:modified>
</cp:coreProperties>
</file>