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0"/>
        <w:jc w:val="both"/>
      </w:pPr>
      <w:r>
        <w:rPr>
          <w:rFonts w:ascii="Times New Roman" w:hAnsi="Times New Roman" w:eastAsia="Times New Roman"/>
          <w:b w:val="0"/>
          <w:i w:val="0"/>
          <w:sz w:val="24"/>
        </w:rPr>
      </w:r>
    </w:p>
    <w:p>
      <w:pPr>
        <w:spacing w:line="240" w:lineRule="auto" w:after="0"/>
        <w:jc w:val="both"/>
      </w:pPr>
      <w:r>
        <w:rPr>
          <w:rFonts w:ascii="Times New Roman" w:hAnsi="Times New Roman" w:eastAsia="Times New Roman"/>
          <w:b w:val="0"/>
          <w:i w:val="0"/>
          <w:sz w:val="24"/>
        </w:rPr>
      </w:r>
    </w:p>
    <w:p>
      <w:pPr>
        <w:spacing w:line="240" w:lineRule="auto" w:after="80"/>
        <w:jc w:val="center"/>
      </w:pPr>
      <w:r>
        <w:rPr>
          <w:rFonts w:ascii="Times New Roman" w:hAnsi="Times New Roman" w:eastAsia="Times New Roman"/>
          <w:b/>
          <w:i w:val="0"/>
          <w:sz w:val="32"/>
        </w:rPr>
        <w:t>OBAFEMI AWOLOWO UNIVERSITY, ILE-IFE</w:t>
      </w:r>
    </w:p>
    <w:p>
      <w:pPr>
        <w:spacing w:line="240" w:lineRule="auto" w:after="80"/>
        <w:jc w:val="center"/>
      </w:pPr>
      <w:r>
        <w:rPr>
          <w:rFonts w:ascii="Times New Roman" w:hAnsi="Times New Roman" w:eastAsia="Times New Roman"/>
          <w:b/>
          <w:i w:val="0"/>
          <w:sz w:val="26"/>
        </w:rPr>
        <w:t>FACULTY OF TECHNOLOGY</w:t>
      </w:r>
    </w:p>
    <w:p>
      <w:pPr>
        <w:spacing w:line="240" w:lineRule="auto" w:after="360"/>
        <w:jc w:val="center"/>
      </w:pPr>
      <w:r>
        <w:rPr>
          <w:rFonts w:ascii="Times New Roman" w:hAnsi="Times New Roman" w:eastAsia="Times New Roman"/>
          <w:b/>
          <w:i w:val="0"/>
          <w:sz w:val="26"/>
        </w:rPr>
        <w:t>DEPARTMENT OF COMPUTER SCIENCE AND ENGINEERING</w:t>
      </w:r>
    </w:p>
    <w:tbl>
      <w:tblPr>
        <w:tblW w:type="auto" w:w="0"/>
        <w:jc w:val="center"/>
        <w:tblLook w:firstColumn="1" w:firstRow="1" w:lastColumn="0" w:lastRow="0" w:noHBand="0" w:noVBand="1" w:val="04A0"/>
      </w:tblPr>
      <w:tblGrid>
        <w:gridCol w:w="9000"/>
      </w:tblGrid>
      <w:tr>
        <w:tc>
          <w:tcPr>
            <w:tcW w:type="dxa" w:w="3456"/>
            <w:tcBorders>
              <w:top w:val="dashed" w:sz="8" w:color="999999"/>
              <w:left w:val="dashed" w:sz="8" w:color="999999"/>
              <w:bottom w:val="dashed" w:sz="8" w:color="999999"/>
              <w:right w:val="dashed" w:sz="8" w:color="999999"/>
            </w:tcBorders>
          </w:tcPr>
          <w:p>
            <w:pPr>
              <w:spacing w:line="240" w:lineRule="auto" w:before="1333" w:after="1333"/>
              <w:jc w:val="center"/>
            </w:pPr>
            <w:r>
              <w:rPr>
                <w:rFonts w:ascii="Times New Roman" w:hAnsi="Times New Roman"/>
                <w:i/>
                <w:color w:val="888888"/>
                <w:sz w:val="22"/>
              </w:rPr>
              <w:t>OAU LOGO</w:t>
              <w:br/>
              <w:t>(replace this box with the crest)</w:t>
            </w:r>
          </w:p>
        </w:tc>
      </w:tr>
    </w:tbl>
    <w:p>
      <w:pPr>
        <w:spacing w:line="240" w:lineRule="auto" w:after="360"/>
        <w:jc w:val="both"/>
      </w:pPr>
      <w:r>
        <w:rPr>
          <w:rFonts w:ascii="Times New Roman" w:hAnsi="Times New Roman" w:eastAsia="Times New Roman"/>
          <w:b w:val="0"/>
          <w:i w:val="0"/>
          <w:sz w:val="24"/>
        </w:rPr>
      </w:r>
    </w:p>
    <w:p>
      <w:pPr>
        <w:spacing w:line="240" w:lineRule="auto" w:after="160"/>
        <w:jc w:val="center"/>
      </w:pPr>
      <w:r>
        <w:rPr>
          <w:rFonts w:ascii="Times New Roman" w:hAnsi="Times New Roman" w:eastAsia="Times New Roman"/>
          <w:b/>
          <w:i w:val="0"/>
          <w:sz w:val="36"/>
        </w:rPr>
        <w:t>DEVELOPMENT OF AN INTELLIGENT MULTI-AGENT CAMPUS SECURITY SURVEILLANCE SYSTEM</w:t>
      </w:r>
    </w:p>
    <w:p>
      <w:pPr>
        <w:spacing w:line="240" w:lineRule="auto" w:after="480"/>
        <w:jc w:val="center"/>
      </w:pPr>
      <w:r>
        <w:rPr>
          <w:rFonts w:ascii="Times New Roman" w:hAnsi="Times New Roman" w:eastAsia="Times New Roman"/>
          <w:b w:val="0"/>
          <w:i/>
          <w:sz w:val="24"/>
        </w:rPr>
        <w:t>Distributed Sensor Agents with a Centralised Alerting and Audit Hub</w:t>
      </w:r>
    </w:p>
    <w:p>
      <w:pPr>
        <w:spacing w:line="240" w:lineRule="auto" w:after="40"/>
        <w:jc w:val="center"/>
      </w:pPr>
      <w:r>
        <w:rPr>
          <w:rFonts w:ascii="Times New Roman" w:hAnsi="Times New Roman" w:eastAsia="Times New Roman"/>
          <w:b w:val="0"/>
          <w:i w:val="0"/>
          <w:sz w:val="24"/>
        </w:rPr>
        <w:t>A Project Report Submitted in Partial Fulfilment of the</w:t>
      </w:r>
    </w:p>
    <w:p>
      <w:pPr>
        <w:spacing w:line="240" w:lineRule="auto" w:after="160"/>
        <w:jc w:val="center"/>
      </w:pPr>
      <w:r>
        <w:rPr>
          <w:rFonts w:ascii="Times New Roman" w:hAnsi="Times New Roman" w:eastAsia="Times New Roman"/>
          <w:b w:val="0"/>
          <w:i w:val="0"/>
          <w:sz w:val="24"/>
        </w:rPr>
        <w:t>Requirements for</w:t>
      </w:r>
    </w:p>
    <w:p>
      <w:pPr>
        <w:spacing w:line="240" w:lineRule="auto" w:after="560"/>
        <w:jc w:val="center"/>
      </w:pPr>
      <w:r>
        <w:rPr>
          <w:rFonts w:ascii="Times New Roman" w:hAnsi="Times New Roman" w:eastAsia="Times New Roman"/>
          <w:b/>
          <w:i w:val="0"/>
          <w:sz w:val="26"/>
        </w:rPr>
        <w:t>CPE 310 — AGENT-BASED SYSTEMS</w:t>
      </w:r>
    </w:p>
    <w:p>
      <w:pPr>
        <w:spacing w:line="240" w:lineRule="auto" w:after="280"/>
        <w:jc w:val="center"/>
      </w:pPr>
      <w:r>
        <w:rPr>
          <w:rFonts w:ascii="Times New Roman" w:hAnsi="Times New Roman" w:eastAsia="Times New Roman"/>
          <w:b/>
          <w:i w:val="0"/>
          <w:sz w:val="26"/>
        </w:rPr>
        <w:t>GROUP 12</w:t>
      </w:r>
    </w:p>
    <w:p>
      <w:pPr>
        <w:spacing w:line="240" w:lineRule="auto" w:after="40"/>
        <w:jc w:val="center"/>
      </w:pPr>
      <w:r>
        <w:rPr>
          <w:rFonts w:ascii="Times New Roman" w:hAnsi="Times New Roman" w:eastAsia="Times New Roman"/>
          <w:b/>
          <w:i w:val="0"/>
          <w:sz w:val="22"/>
        </w:rPr>
        <w:t>COURSE COORDINATOR</w:t>
      </w:r>
    </w:p>
    <w:p>
      <w:pPr>
        <w:spacing w:line="240" w:lineRule="auto" w:after="280"/>
        <w:jc w:val="center"/>
      </w:pPr>
      <w:r>
        <w:rPr>
          <w:rFonts w:ascii="Times New Roman" w:hAnsi="Times New Roman" w:eastAsia="Times New Roman"/>
          <w:b w:val="0"/>
          <w:i w:val="0"/>
          <w:sz w:val="24"/>
        </w:rPr>
        <w:t>DR. T. F. SHOLANKE</w:t>
      </w:r>
    </w:p>
    <w:p>
      <w:pPr>
        <w:spacing w:line="240" w:lineRule="auto" w:after="120"/>
        <w:jc w:val="center"/>
      </w:pPr>
      <w:r>
        <w:rPr>
          <w:rFonts w:ascii="Times New Roman" w:hAnsi="Times New Roman" w:eastAsia="Times New Roman"/>
          <w:b w:val="0"/>
          <w:i w:val="0"/>
          <w:sz w:val="24"/>
        </w:rPr>
        <w:t>Academic Session: [ACADEMIC SESSION]</w:t>
      </w:r>
    </w:p>
    <w:p>
      <w:pPr>
        <w:spacing w:line="240" w:lineRule="auto" w:after="0"/>
        <w:jc w:val="center"/>
      </w:pPr>
      <w:r>
        <w:rPr>
          <w:rFonts w:ascii="Times New Roman" w:hAnsi="Times New Roman" w:eastAsia="Times New Roman"/>
          <w:b w:val="0"/>
          <w:i w:val="0"/>
          <w:sz w:val="24"/>
        </w:rPr>
        <w:t>AUGUST, 2026</w:t>
      </w:r>
    </w:p>
    <w:p>
      <w:r>
        <w:br w:type="page"/>
      </w:r>
    </w:p>
    <w:p>
      <w:pPr>
        <w:pStyle w:val="Heading1"/>
        <w:spacing w:line="480" w:lineRule="auto" w:after="120" w:before="240"/>
        <w:jc w:val="center"/>
      </w:pPr>
      <w:r>
        <w:rPr>
          <w:rFonts w:ascii="Times New Roman" w:hAnsi="Times New Roman" w:eastAsia="Times New Roman"/>
        </w:rPr>
        <w:t>GROUP MEMBERS</w:t>
      </w:r>
    </w:p>
    <w:p>
      <w:pPr>
        <w:spacing w:line="240" w:lineRule="auto" w:after="240"/>
        <w:jc w:val="both"/>
      </w:pPr>
      <w:r>
        <w:rPr>
          <w:rFonts w:ascii="Times New Roman" w:hAnsi="Times New Roman" w:eastAsia="Times New Roman"/>
          <w:b w:val="0"/>
          <w:i w:val="0"/>
          <w:sz w:val="24"/>
        </w:rPr>
      </w:r>
    </w:p>
    <w:tbl>
      <w:tblPr>
        <w:tblStyle w:val="TableGrid"/>
        <w:tblW w:type="auto" w:w="0"/>
        <w:jc w:val="center"/>
        <w:tblLook w:firstColumn="1" w:firstRow="1" w:lastColumn="0" w:lastRow="0" w:noHBand="0" w:noVBand="1" w:val="04A0"/>
      </w:tblPr>
      <w:tblGrid>
        <w:gridCol w:w="3000"/>
        <w:gridCol w:w="3000"/>
        <w:gridCol w:w="3000"/>
      </w:tblGrid>
      <w:tr>
        <w:tc>
          <w:tcPr>
            <w:tcW w:type="dxa" w:w="3000"/>
          </w:tcPr>
          <w:p>
            <w:pPr>
              <w:spacing w:line="240" w:lineRule="auto"/>
              <w:jc w:val="center"/>
            </w:pPr>
            <w:r/>
            <w:r>
              <w:rPr>
                <w:rFonts w:ascii="Times New Roman" w:hAnsi="Times New Roman"/>
                <w:b/>
                <w:sz w:val="24"/>
              </w:rPr>
              <w:t>S/N</w:t>
            </w:r>
          </w:p>
        </w:tc>
        <w:tc>
          <w:tcPr>
            <w:tcW w:type="dxa" w:w="3000"/>
          </w:tcPr>
          <w:p>
            <w:pPr>
              <w:spacing w:line="240" w:lineRule="auto"/>
              <w:jc w:val="center"/>
            </w:pPr>
            <w:r/>
            <w:r>
              <w:rPr>
                <w:rFonts w:ascii="Times New Roman" w:hAnsi="Times New Roman"/>
                <w:b/>
                <w:sz w:val="24"/>
              </w:rPr>
              <w:t>NAME</w:t>
            </w:r>
          </w:p>
        </w:tc>
        <w:tc>
          <w:tcPr>
            <w:tcW w:type="dxa" w:w="3000"/>
          </w:tcPr>
          <w:p>
            <w:pPr>
              <w:spacing w:line="240" w:lineRule="auto"/>
              <w:jc w:val="center"/>
            </w:pPr>
            <w:r/>
            <w:r>
              <w:rPr>
                <w:rFonts w:ascii="Times New Roman" w:hAnsi="Times New Roman"/>
                <w:b/>
                <w:sz w:val="24"/>
              </w:rPr>
              <w:t>MATRICULATION NUMBER</w:t>
            </w:r>
          </w:p>
        </w:tc>
      </w:tr>
      <w:tr>
        <w:tc>
          <w:tcPr>
            <w:tcW w:type="dxa" w:w="3000"/>
          </w:tcPr>
          <w:p>
            <w:pPr>
              <w:spacing w:line="240" w:lineRule="auto" w:after="40"/>
              <w:jc w:val="center"/>
            </w:pPr>
            <w:r/>
            <w:r>
              <w:rPr>
                <w:rFonts w:ascii="Times New Roman" w:hAnsi="Times New Roman"/>
                <w:sz w:val="24"/>
              </w:rPr>
              <w:t>1</w:t>
            </w:r>
          </w:p>
        </w:tc>
        <w:tc>
          <w:tcPr>
            <w:tcW w:type="dxa" w:w="3000"/>
          </w:tcPr>
          <w:p>
            <w:pPr>
              <w:spacing w:line="240" w:lineRule="auto" w:after="40"/>
              <w:jc w:val="left"/>
            </w:pPr>
            <w:r/>
            <w:r>
              <w:rPr>
                <w:rFonts w:ascii="Times New Roman" w:hAnsi="Times New Roman"/>
                <w:sz w:val="24"/>
              </w:rPr>
              <w:t>Olatunde Ibrahim Akinade</w:t>
            </w:r>
          </w:p>
        </w:tc>
        <w:tc>
          <w:tcPr>
            <w:tcW w:type="dxa" w:w="3000"/>
          </w:tcPr>
          <w:p>
            <w:pPr>
              <w:spacing w:line="240" w:lineRule="auto" w:after="40"/>
              <w:jc w:val="center"/>
            </w:pPr>
            <w:r/>
            <w:r>
              <w:rPr>
                <w:rFonts w:ascii="Times New Roman" w:hAnsi="Times New Roman"/>
                <w:sz w:val="24"/>
              </w:rPr>
              <w:t>CSC/2022/177</w:t>
            </w:r>
          </w:p>
        </w:tc>
      </w:tr>
      <w:tr>
        <w:tc>
          <w:tcPr>
            <w:tcW w:type="dxa" w:w="3000"/>
          </w:tcPr>
          <w:p>
            <w:pPr>
              <w:spacing w:line="240" w:lineRule="auto" w:after="40"/>
              <w:jc w:val="center"/>
            </w:pPr>
            <w:r/>
            <w:r>
              <w:rPr>
                <w:rFonts w:ascii="Times New Roman" w:hAnsi="Times New Roman"/>
                <w:sz w:val="24"/>
              </w:rPr>
              <w:t>2</w:t>
            </w:r>
          </w:p>
        </w:tc>
        <w:tc>
          <w:tcPr>
            <w:tcW w:type="dxa" w:w="3000"/>
          </w:tcPr>
          <w:p>
            <w:pPr>
              <w:spacing w:line="240" w:lineRule="auto" w:after="40"/>
              <w:jc w:val="left"/>
            </w:pPr>
            <w:r/>
            <w:r>
              <w:rPr>
                <w:rFonts w:ascii="Times New Roman" w:hAnsi="Times New Roman"/>
                <w:sz w:val="24"/>
              </w:rPr>
              <w:t>Ologunebi Tobiloba Ifeoluwa</w:t>
            </w:r>
          </w:p>
        </w:tc>
        <w:tc>
          <w:tcPr>
            <w:tcW w:type="dxa" w:w="3000"/>
          </w:tcPr>
          <w:p>
            <w:pPr>
              <w:spacing w:line="240" w:lineRule="auto" w:after="40"/>
              <w:jc w:val="center"/>
            </w:pPr>
            <w:r/>
            <w:r>
              <w:rPr>
                <w:rFonts w:ascii="Times New Roman" w:hAnsi="Times New Roman"/>
                <w:sz w:val="24"/>
              </w:rPr>
              <w:t>CSC/2022/180</w:t>
            </w:r>
          </w:p>
        </w:tc>
      </w:tr>
      <w:tr>
        <w:tc>
          <w:tcPr>
            <w:tcW w:type="dxa" w:w="3000"/>
          </w:tcPr>
          <w:p>
            <w:pPr>
              <w:spacing w:line="240" w:lineRule="auto" w:after="40"/>
              <w:jc w:val="center"/>
            </w:pPr>
            <w:r/>
            <w:r>
              <w:rPr>
                <w:rFonts w:ascii="Times New Roman" w:hAnsi="Times New Roman"/>
                <w:sz w:val="24"/>
              </w:rPr>
              <w:t>3</w:t>
            </w:r>
          </w:p>
        </w:tc>
        <w:tc>
          <w:tcPr>
            <w:tcW w:type="dxa" w:w="3000"/>
          </w:tcPr>
          <w:p>
            <w:pPr>
              <w:spacing w:line="240" w:lineRule="auto" w:after="40"/>
              <w:jc w:val="left"/>
            </w:pPr>
            <w:r/>
            <w:r>
              <w:rPr>
                <w:rFonts w:ascii="Times New Roman" w:hAnsi="Times New Roman"/>
                <w:sz w:val="24"/>
              </w:rPr>
              <w:t>Popoola Faith</w:t>
            </w:r>
          </w:p>
        </w:tc>
        <w:tc>
          <w:tcPr>
            <w:tcW w:type="dxa" w:w="3000"/>
          </w:tcPr>
          <w:p>
            <w:pPr>
              <w:spacing w:line="240" w:lineRule="auto" w:after="40"/>
              <w:jc w:val="center"/>
            </w:pPr>
            <w:r/>
            <w:r>
              <w:rPr>
                <w:rFonts w:ascii="Times New Roman" w:hAnsi="Times New Roman"/>
                <w:sz w:val="24"/>
              </w:rPr>
              <w:t>CSC/2022/212</w:t>
            </w:r>
          </w:p>
        </w:tc>
      </w:tr>
      <w:tr>
        <w:tc>
          <w:tcPr>
            <w:tcW w:type="dxa" w:w="3000"/>
          </w:tcPr>
          <w:p>
            <w:pPr>
              <w:spacing w:line="240" w:lineRule="auto" w:after="40"/>
              <w:jc w:val="center"/>
            </w:pPr>
            <w:r/>
            <w:r>
              <w:rPr>
                <w:rFonts w:ascii="Times New Roman" w:hAnsi="Times New Roman"/>
                <w:sz w:val="24"/>
              </w:rPr>
              <w:t>4</w:t>
            </w:r>
          </w:p>
        </w:tc>
        <w:tc>
          <w:tcPr>
            <w:tcW w:type="dxa" w:w="3000"/>
          </w:tcPr>
          <w:p>
            <w:pPr>
              <w:spacing w:line="240" w:lineRule="auto" w:after="40"/>
              <w:jc w:val="left"/>
            </w:pPr>
            <w:r/>
            <w:r>
              <w:rPr>
                <w:rFonts w:ascii="Times New Roman" w:hAnsi="Times New Roman"/>
                <w:sz w:val="24"/>
              </w:rPr>
              <w:t>Akinwamide Williams</w:t>
            </w:r>
          </w:p>
        </w:tc>
        <w:tc>
          <w:tcPr>
            <w:tcW w:type="dxa" w:w="3000"/>
          </w:tcPr>
          <w:p>
            <w:pPr>
              <w:spacing w:line="240" w:lineRule="auto" w:after="40"/>
              <w:jc w:val="center"/>
            </w:pPr>
            <w:r/>
            <w:r>
              <w:rPr>
                <w:rFonts w:ascii="Times New Roman" w:hAnsi="Times New Roman"/>
                <w:sz w:val="24"/>
              </w:rPr>
              <w:t>CSC/2022/055</w:t>
            </w:r>
          </w:p>
        </w:tc>
      </w:tr>
      <w:tr>
        <w:tc>
          <w:tcPr>
            <w:tcW w:type="dxa" w:w="3000"/>
          </w:tcPr>
          <w:p>
            <w:pPr>
              <w:spacing w:line="240" w:lineRule="auto" w:after="40"/>
              <w:jc w:val="center"/>
            </w:pPr>
            <w:r/>
            <w:r>
              <w:rPr>
                <w:rFonts w:ascii="Times New Roman" w:hAnsi="Times New Roman"/>
                <w:sz w:val="24"/>
              </w:rPr>
              <w:t>5</w:t>
            </w:r>
          </w:p>
        </w:tc>
        <w:tc>
          <w:tcPr>
            <w:tcW w:type="dxa" w:w="3000"/>
          </w:tcPr>
          <w:p>
            <w:pPr>
              <w:spacing w:line="240" w:lineRule="auto" w:after="40"/>
              <w:jc w:val="left"/>
            </w:pPr>
            <w:r/>
            <w:r>
              <w:rPr>
                <w:rFonts w:ascii="Times New Roman" w:hAnsi="Times New Roman"/>
                <w:sz w:val="24"/>
              </w:rPr>
              <w:t>Kasali Kamil Ademola</w:t>
            </w:r>
          </w:p>
        </w:tc>
        <w:tc>
          <w:tcPr>
            <w:tcW w:type="dxa" w:w="3000"/>
          </w:tcPr>
          <w:p>
            <w:pPr>
              <w:spacing w:line="240" w:lineRule="auto" w:after="40"/>
              <w:jc w:val="center"/>
            </w:pPr>
            <w:r/>
            <w:r>
              <w:rPr>
                <w:rFonts w:ascii="Times New Roman" w:hAnsi="Times New Roman"/>
                <w:sz w:val="24"/>
              </w:rPr>
              <w:t>CSC/2022/348</w:t>
            </w:r>
          </w:p>
        </w:tc>
      </w:tr>
      <w:tr>
        <w:tc>
          <w:tcPr>
            <w:tcW w:type="dxa" w:w="3000"/>
          </w:tcPr>
          <w:p>
            <w:pPr>
              <w:spacing w:line="240" w:lineRule="auto" w:after="40"/>
              <w:jc w:val="center"/>
            </w:pPr>
            <w:r/>
            <w:r>
              <w:rPr>
                <w:rFonts w:ascii="Times New Roman" w:hAnsi="Times New Roman"/>
                <w:sz w:val="24"/>
              </w:rPr>
              <w:t>6</w:t>
            </w:r>
          </w:p>
        </w:tc>
        <w:tc>
          <w:tcPr>
            <w:tcW w:type="dxa" w:w="3000"/>
          </w:tcPr>
          <w:p>
            <w:pPr>
              <w:spacing w:line="240" w:lineRule="auto" w:after="40"/>
              <w:jc w:val="left"/>
            </w:pPr>
            <w:r/>
            <w:r>
              <w:rPr>
                <w:rFonts w:ascii="Times New Roman" w:hAnsi="Times New Roman"/>
                <w:sz w:val="24"/>
              </w:rPr>
              <w:t>Majekodunmi Oyindamola</w:t>
            </w:r>
          </w:p>
        </w:tc>
        <w:tc>
          <w:tcPr>
            <w:tcW w:type="dxa" w:w="3000"/>
          </w:tcPr>
          <w:p>
            <w:pPr>
              <w:spacing w:line="240" w:lineRule="auto" w:after="40"/>
              <w:jc w:val="center"/>
            </w:pPr>
            <w:r/>
            <w:r>
              <w:rPr>
                <w:rFonts w:ascii="Times New Roman" w:hAnsi="Times New Roman"/>
                <w:sz w:val="24"/>
              </w:rPr>
              <w:t>CSC/2022/295</w:t>
            </w:r>
          </w:p>
        </w:tc>
      </w:tr>
      <w:tr>
        <w:tc>
          <w:tcPr>
            <w:tcW w:type="dxa" w:w="3000"/>
          </w:tcPr>
          <w:p>
            <w:pPr>
              <w:spacing w:line="240" w:lineRule="auto" w:after="40"/>
              <w:jc w:val="center"/>
            </w:pPr>
            <w:r/>
            <w:r>
              <w:rPr>
                <w:rFonts w:ascii="Times New Roman" w:hAnsi="Times New Roman"/>
                <w:sz w:val="24"/>
              </w:rPr>
              <w:t>7</w:t>
            </w:r>
          </w:p>
        </w:tc>
        <w:tc>
          <w:tcPr>
            <w:tcW w:type="dxa" w:w="3000"/>
          </w:tcPr>
          <w:p>
            <w:pPr>
              <w:spacing w:line="240" w:lineRule="auto" w:after="40"/>
              <w:jc w:val="left"/>
            </w:pPr>
            <w:r/>
            <w:r>
              <w:rPr>
                <w:rFonts w:ascii="Times New Roman" w:hAnsi="Times New Roman"/>
                <w:sz w:val="24"/>
              </w:rPr>
              <w:t>Omidiora Ojuolape</w:t>
            </w:r>
          </w:p>
        </w:tc>
        <w:tc>
          <w:tcPr>
            <w:tcW w:type="dxa" w:w="3000"/>
          </w:tcPr>
          <w:p>
            <w:pPr>
              <w:spacing w:line="240" w:lineRule="auto" w:after="40"/>
              <w:jc w:val="center"/>
            </w:pPr>
            <w:r/>
            <w:r>
              <w:rPr>
                <w:rFonts w:ascii="Times New Roman" w:hAnsi="Times New Roman"/>
                <w:sz w:val="24"/>
              </w:rPr>
              <w:t>CSC/2022/303</w:t>
            </w:r>
          </w:p>
        </w:tc>
      </w:tr>
      <w:tr>
        <w:tc>
          <w:tcPr>
            <w:tcW w:type="dxa" w:w="3000"/>
          </w:tcPr>
          <w:p>
            <w:pPr>
              <w:spacing w:line="240" w:lineRule="auto" w:after="40"/>
              <w:jc w:val="center"/>
            </w:pPr>
            <w:r/>
            <w:r>
              <w:rPr>
                <w:rFonts w:ascii="Times New Roman" w:hAnsi="Times New Roman"/>
                <w:sz w:val="24"/>
              </w:rPr>
              <w:t>8</w:t>
            </w:r>
          </w:p>
        </w:tc>
        <w:tc>
          <w:tcPr>
            <w:tcW w:type="dxa" w:w="3000"/>
          </w:tcPr>
          <w:p>
            <w:pPr>
              <w:spacing w:line="240" w:lineRule="auto" w:after="40"/>
              <w:jc w:val="left"/>
            </w:pPr>
            <w:r/>
            <w:r>
              <w:rPr>
                <w:rFonts w:ascii="Times New Roman" w:hAnsi="Times New Roman"/>
                <w:sz w:val="24"/>
              </w:rPr>
              <w:t>Olatunji Goodness</w:t>
            </w:r>
          </w:p>
        </w:tc>
        <w:tc>
          <w:tcPr>
            <w:tcW w:type="dxa" w:w="3000"/>
          </w:tcPr>
          <w:p>
            <w:pPr>
              <w:spacing w:line="240" w:lineRule="auto" w:after="40"/>
              <w:jc w:val="center"/>
            </w:pPr>
            <w:r/>
            <w:r>
              <w:rPr>
                <w:rFonts w:ascii="Times New Roman" w:hAnsi="Times New Roman"/>
                <w:sz w:val="24"/>
              </w:rPr>
              <w:t>CSC/2022/178</w:t>
            </w:r>
          </w:p>
        </w:tc>
      </w:tr>
      <w:tr>
        <w:tc>
          <w:tcPr>
            <w:tcW w:type="dxa" w:w="3000"/>
          </w:tcPr>
          <w:p>
            <w:pPr>
              <w:spacing w:line="240" w:lineRule="auto" w:after="40"/>
              <w:jc w:val="center"/>
            </w:pPr>
            <w:r/>
            <w:r>
              <w:rPr>
                <w:rFonts w:ascii="Times New Roman" w:hAnsi="Times New Roman"/>
                <w:sz w:val="24"/>
              </w:rPr>
              <w:t>9</w:t>
            </w:r>
          </w:p>
        </w:tc>
        <w:tc>
          <w:tcPr>
            <w:tcW w:type="dxa" w:w="3000"/>
          </w:tcPr>
          <w:p>
            <w:pPr>
              <w:spacing w:line="240" w:lineRule="auto" w:after="40"/>
              <w:jc w:val="left"/>
            </w:pPr>
            <w:r/>
            <w:r>
              <w:rPr>
                <w:rFonts w:ascii="Times New Roman" w:hAnsi="Times New Roman"/>
                <w:sz w:val="24"/>
              </w:rPr>
              <w:t>Aderibigbe Emmanuel Semilore</w:t>
            </w:r>
          </w:p>
        </w:tc>
        <w:tc>
          <w:tcPr>
            <w:tcW w:type="dxa" w:w="3000"/>
          </w:tcPr>
          <w:p>
            <w:pPr>
              <w:spacing w:line="240" w:lineRule="auto" w:after="40"/>
              <w:jc w:val="center"/>
            </w:pPr>
            <w:r/>
            <w:r>
              <w:rPr>
                <w:rFonts w:ascii="Times New Roman" w:hAnsi="Times New Roman"/>
                <w:sz w:val="24"/>
              </w:rPr>
              <w:t>CSC/2022/029</w:t>
            </w:r>
          </w:p>
        </w:tc>
      </w:tr>
      <w:tr>
        <w:tc>
          <w:tcPr>
            <w:tcW w:type="dxa" w:w="3000"/>
          </w:tcPr>
          <w:p>
            <w:pPr>
              <w:spacing w:line="240" w:lineRule="auto" w:after="40"/>
              <w:jc w:val="center"/>
            </w:pPr>
            <w:r/>
            <w:r>
              <w:rPr>
                <w:rFonts w:ascii="Times New Roman" w:hAnsi="Times New Roman"/>
                <w:sz w:val="24"/>
              </w:rPr>
              <w:t>10</w:t>
            </w:r>
          </w:p>
        </w:tc>
        <w:tc>
          <w:tcPr>
            <w:tcW w:type="dxa" w:w="3000"/>
          </w:tcPr>
          <w:p>
            <w:pPr>
              <w:spacing w:line="240" w:lineRule="auto" w:after="40"/>
              <w:jc w:val="left"/>
            </w:pPr>
            <w:r/>
            <w:r>
              <w:rPr>
                <w:rFonts w:ascii="Times New Roman" w:hAnsi="Times New Roman"/>
                <w:sz w:val="24"/>
              </w:rPr>
              <w:t>Adejumo Adeyinka Mosope</w:t>
            </w:r>
          </w:p>
        </w:tc>
        <w:tc>
          <w:tcPr>
            <w:tcW w:type="dxa" w:w="3000"/>
          </w:tcPr>
          <w:p>
            <w:pPr>
              <w:spacing w:line="240" w:lineRule="auto" w:after="40"/>
              <w:jc w:val="center"/>
            </w:pPr>
            <w:r/>
            <w:r>
              <w:rPr>
                <w:rFonts w:ascii="Times New Roman" w:hAnsi="Times New Roman"/>
                <w:sz w:val="24"/>
              </w:rPr>
              <w:t>CSC/2022/019</w:t>
            </w:r>
          </w:p>
        </w:tc>
      </w:tr>
      <w:tr>
        <w:tc>
          <w:tcPr>
            <w:tcW w:type="dxa" w:w="3000"/>
          </w:tcPr>
          <w:p>
            <w:pPr>
              <w:spacing w:line="240" w:lineRule="auto" w:after="40"/>
              <w:jc w:val="center"/>
            </w:pPr>
            <w:r/>
            <w:r>
              <w:rPr>
                <w:rFonts w:ascii="Times New Roman" w:hAnsi="Times New Roman"/>
                <w:sz w:val="24"/>
              </w:rPr>
              <w:t>11</w:t>
            </w:r>
          </w:p>
        </w:tc>
        <w:tc>
          <w:tcPr>
            <w:tcW w:type="dxa" w:w="3000"/>
          </w:tcPr>
          <w:p>
            <w:pPr>
              <w:spacing w:line="240" w:lineRule="auto" w:after="40"/>
              <w:jc w:val="left"/>
            </w:pPr>
            <w:r/>
            <w:r>
              <w:rPr>
                <w:rFonts w:ascii="Times New Roman" w:hAnsi="Times New Roman"/>
                <w:sz w:val="24"/>
              </w:rPr>
              <w:t>Adeleke Semiloore Mueez</w:t>
            </w:r>
          </w:p>
        </w:tc>
        <w:tc>
          <w:tcPr>
            <w:tcW w:type="dxa" w:w="3000"/>
          </w:tcPr>
          <w:p>
            <w:pPr>
              <w:spacing w:line="240" w:lineRule="auto" w:after="40"/>
              <w:jc w:val="center"/>
            </w:pPr>
            <w:r/>
            <w:r>
              <w:rPr>
                <w:rFonts w:ascii="Times New Roman" w:hAnsi="Times New Roman"/>
                <w:sz w:val="24"/>
              </w:rPr>
              <w:t>CSC/2022/021</w:t>
            </w:r>
          </w:p>
        </w:tc>
      </w:tr>
      <w:tr>
        <w:tc>
          <w:tcPr>
            <w:tcW w:type="dxa" w:w="3000"/>
          </w:tcPr>
          <w:p>
            <w:pPr>
              <w:spacing w:line="240" w:lineRule="auto" w:after="40"/>
              <w:jc w:val="center"/>
            </w:pPr>
            <w:r/>
            <w:r>
              <w:rPr>
                <w:rFonts w:ascii="Times New Roman" w:hAnsi="Times New Roman"/>
                <w:sz w:val="24"/>
              </w:rPr>
              <w:t>12</w:t>
            </w:r>
          </w:p>
        </w:tc>
        <w:tc>
          <w:tcPr>
            <w:tcW w:type="dxa" w:w="3000"/>
          </w:tcPr>
          <w:p>
            <w:pPr>
              <w:spacing w:line="240" w:lineRule="auto" w:after="40"/>
              <w:jc w:val="left"/>
            </w:pPr>
            <w:r/>
            <w:r>
              <w:rPr>
                <w:rFonts w:ascii="Times New Roman" w:hAnsi="Times New Roman"/>
                <w:sz w:val="24"/>
              </w:rPr>
              <w:t>Akinbode David Oluwagbemiga</w:t>
            </w:r>
          </w:p>
        </w:tc>
        <w:tc>
          <w:tcPr>
            <w:tcW w:type="dxa" w:w="3000"/>
          </w:tcPr>
          <w:p>
            <w:pPr>
              <w:spacing w:line="240" w:lineRule="auto" w:after="40"/>
              <w:jc w:val="center"/>
            </w:pPr>
            <w:r/>
            <w:r>
              <w:rPr>
                <w:rFonts w:ascii="Times New Roman" w:hAnsi="Times New Roman"/>
                <w:sz w:val="24"/>
              </w:rPr>
              <w:t>CSC/2022/053</w:t>
            </w:r>
          </w:p>
        </w:tc>
      </w:tr>
      <w:tr>
        <w:tc>
          <w:tcPr>
            <w:tcW w:type="dxa" w:w="3000"/>
          </w:tcPr>
          <w:p>
            <w:pPr>
              <w:spacing w:line="240" w:lineRule="auto" w:after="40"/>
              <w:jc w:val="center"/>
            </w:pPr>
            <w:r/>
            <w:r>
              <w:rPr>
                <w:rFonts w:ascii="Times New Roman" w:hAnsi="Times New Roman"/>
                <w:sz w:val="24"/>
              </w:rPr>
              <w:t>13</w:t>
            </w:r>
          </w:p>
        </w:tc>
        <w:tc>
          <w:tcPr>
            <w:tcW w:type="dxa" w:w="3000"/>
          </w:tcPr>
          <w:p>
            <w:pPr>
              <w:spacing w:line="240" w:lineRule="auto" w:after="40"/>
              <w:jc w:val="left"/>
            </w:pPr>
            <w:r/>
            <w:r>
              <w:rPr>
                <w:rFonts w:ascii="Times New Roman" w:hAnsi="Times New Roman"/>
                <w:sz w:val="24"/>
              </w:rPr>
              <w:t>[NAME MISSING]</w:t>
            </w:r>
          </w:p>
        </w:tc>
        <w:tc>
          <w:tcPr>
            <w:tcW w:type="dxa" w:w="3000"/>
          </w:tcPr>
          <w:p>
            <w:pPr>
              <w:spacing w:line="240" w:lineRule="auto" w:after="40"/>
              <w:jc w:val="center"/>
            </w:pPr>
            <w:r/>
            <w:r>
              <w:rPr>
                <w:rFonts w:ascii="Times New Roman" w:hAnsi="Times New Roman"/>
                <w:sz w:val="24"/>
              </w:rPr>
              <w:t>CSC/2023/200</w:t>
            </w:r>
          </w:p>
        </w:tc>
      </w:tr>
      <w:tr>
        <w:tc>
          <w:tcPr>
            <w:tcW w:type="dxa" w:w="3000"/>
          </w:tcPr>
          <w:p>
            <w:pPr>
              <w:spacing w:line="240" w:lineRule="auto" w:after="40"/>
              <w:jc w:val="center"/>
            </w:pPr>
            <w:r/>
            <w:r>
              <w:rPr>
                <w:rFonts w:ascii="Times New Roman" w:hAnsi="Times New Roman"/>
                <w:sz w:val="24"/>
              </w:rPr>
              <w:t>14</w:t>
            </w:r>
          </w:p>
        </w:tc>
        <w:tc>
          <w:tcPr>
            <w:tcW w:type="dxa" w:w="3000"/>
          </w:tcPr>
          <w:p>
            <w:pPr>
              <w:spacing w:line="240" w:lineRule="auto" w:after="40"/>
              <w:jc w:val="left"/>
            </w:pPr>
            <w:r/>
            <w:r>
              <w:rPr>
                <w:rFonts w:ascii="Times New Roman" w:hAnsi="Times New Roman"/>
                <w:sz w:val="24"/>
              </w:rPr>
              <w:t>Orisasona Ayoola Williams</w:t>
            </w:r>
          </w:p>
        </w:tc>
        <w:tc>
          <w:tcPr>
            <w:tcW w:type="dxa" w:w="3000"/>
          </w:tcPr>
          <w:p>
            <w:pPr>
              <w:spacing w:line="240" w:lineRule="auto" w:after="40"/>
              <w:jc w:val="center"/>
            </w:pPr>
            <w:r/>
            <w:r>
              <w:rPr>
                <w:rFonts w:ascii="Times New Roman" w:hAnsi="Times New Roman"/>
                <w:sz w:val="24"/>
              </w:rPr>
              <w:t>CSC/2022/330</w:t>
            </w:r>
          </w:p>
        </w:tc>
      </w:tr>
      <w:tr>
        <w:tc>
          <w:tcPr>
            <w:tcW w:type="dxa" w:w="3000"/>
          </w:tcPr>
          <w:p>
            <w:pPr>
              <w:spacing w:line="240" w:lineRule="auto" w:after="40"/>
              <w:jc w:val="center"/>
            </w:pPr>
            <w:r/>
            <w:r>
              <w:rPr>
                <w:rFonts w:ascii="Times New Roman" w:hAnsi="Times New Roman"/>
                <w:sz w:val="24"/>
              </w:rPr>
              <w:t>15</w:t>
            </w:r>
          </w:p>
        </w:tc>
        <w:tc>
          <w:tcPr>
            <w:tcW w:type="dxa" w:w="3000"/>
          </w:tcPr>
          <w:p>
            <w:pPr>
              <w:spacing w:line="240" w:lineRule="auto" w:after="40"/>
              <w:jc w:val="left"/>
            </w:pPr>
            <w:r/>
            <w:r>
              <w:rPr>
                <w:rFonts w:ascii="Times New Roman" w:hAnsi="Times New Roman"/>
                <w:sz w:val="24"/>
              </w:rPr>
              <w:t>Payne Simeon Oyelekan</w:t>
            </w:r>
          </w:p>
        </w:tc>
        <w:tc>
          <w:tcPr>
            <w:tcW w:type="dxa" w:w="3000"/>
          </w:tcPr>
          <w:p>
            <w:pPr>
              <w:spacing w:line="240" w:lineRule="auto" w:after="40"/>
              <w:jc w:val="center"/>
            </w:pPr>
            <w:r/>
            <w:r>
              <w:rPr>
                <w:rFonts w:ascii="Times New Roman" w:hAnsi="Times New Roman"/>
                <w:sz w:val="24"/>
              </w:rPr>
              <w:t>CSC/2022/357</w:t>
            </w:r>
          </w:p>
        </w:tc>
      </w:tr>
      <w:tr>
        <w:tc>
          <w:tcPr>
            <w:tcW w:type="dxa" w:w="3000"/>
          </w:tcPr>
          <w:p>
            <w:pPr>
              <w:spacing w:line="240" w:lineRule="auto" w:after="40"/>
              <w:jc w:val="center"/>
            </w:pPr>
            <w:r/>
            <w:r>
              <w:rPr>
                <w:rFonts w:ascii="Times New Roman" w:hAnsi="Times New Roman"/>
                <w:sz w:val="24"/>
              </w:rPr>
              <w:t>16</w:t>
            </w:r>
          </w:p>
        </w:tc>
        <w:tc>
          <w:tcPr>
            <w:tcW w:type="dxa" w:w="3000"/>
          </w:tcPr>
          <w:p>
            <w:pPr>
              <w:spacing w:line="240" w:lineRule="auto" w:after="40"/>
              <w:jc w:val="left"/>
            </w:pPr>
            <w:r/>
            <w:r>
              <w:rPr>
                <w:rFonts w:ascii="Times New Roman" w:hAnsi="Times New Roman"/>
                <w:sz w:val="24"/>
              </w:rPr>
              <w:t>Odejide Oluwatunmise Benjamin</w:t>
            </w:r>
          </w:p>
        </w:tc>
        <w:tc>
          <w:tcPr>
            <w:tcW w:type="dxa" w:w="3000"/>
          </w:tcPr>
          <w:p>
            <w:pPr>
              <w:spacing w:line="240" w:lineRule="auto" w:after="40"/>
              <w:jc w:val="center"/>
            </w:pPr>
            <w:r/>
            <w:r>
              <w:rPr>
                <w:rFonts w:ascii="Times New Roman" w:hAnsi="Times New Roman"/>
                <w:sz w:val="24"/>
              </w:rPr>
              <w:t>CSC/2022/383</w:t>
            </w:r>
          </w:p>
        </w:tc>
      </w:tr>
      <w:tr>
        <w:tc>
          <w:tcPr>
            <w:tcW w:type="dxa" w:w="3000"/>
          </w:tcPr>
          <w:p>
            <w:pPr>
              <w:spacing w:line="240" w:lineRule="auto" w:after="40"/>
              <w:jc w:val="center"/>
            </w:pPr>
            <w:r/>
            <w:r>
              <w:rPr>
                <w:rFonts w:ascii="Times New Roman" w:hAnsi="Times New Roman"/>
                <w:sz w:val="24"/>
              </w:rPr>
              <w:t>17</w:t>
            </w:r>
          </w:p>
        </w:tc>
        <w:tc>
          <w:tcPr>
            <w:tcW w:type="dxa" w:w="3000"/>
          </w:tcPr>
          <w:p>
            <w:pPr>
              <w:spacing w:line="240" w:lineRule="auto" w:after="40"/>
              <w:jc w:val="left"/>
            </w:pPr>
            <w:r/>
            <w:r>
              <w:rPr>
                <w:rFonts w:ascii="Times New Roman" w:hAnsi="Times New Roman"/>
                <w:sz w:val="24"/>
              </w:rPr>
              <w:t>Aregbesola Temiloluwa Mary</w:t>
            </w:r>
          </w:p>
        </w:tc>
        <w:tc>
          <w:tcPr>
            <w:tcW w:type="dxa" w:w="3000"/>
          </w:tcPr>
          <w:p>
            <w:pPr>
              <w:spacing w:line="240" w:lineRule="auto" w:after="40"/>
              <w:jc w:val="center"/>
            </w:pPr>
            <w:r/>
            <w:r>
              <w:rPr>
                <w:rFonts w:ascii="Times New Roman" w:hAnsi="Times New Roman"/>
                <w:sz w:val="24"/>
              </w:rPr>
              <w:t>CSC/2023/246</w:t>
            </w:r>
          </w:p>
        </w:tc>
      </w:tr>
      <w:tr>
        <w:tc>
          <w:tcPr>
            <w:tcW w:type="dxa" w:w="3000"/>
          </w:tcPr>
          <w:p>
            <w:pPr>
              <w:spacing w:line="240" w:lineRule="auto" w:after="40"/>
              <w:jc w:val="center"/>
            </w:pPr>
            <w:r/>
            <w:r>
              <w:rPr>
                <w:rFonts w:ascii="Times New Roman" w:hAnsi="Times New Roman"/>
                <w:sz w:val="24"/>
              </w:rPr>
              <w:t>18</w:t>
            </w:r>
          </w:p>
        </w:tc>
        <w:tc>
          <w:tcPr>
            <w:tcW w:type="dxa" w:w="3000"/>
          </w:tcPr>
          <w:p>
            <w:pPr>
              <w:spacing w:line="240" w:lineRule="auto" w:after="40"/>
              <w:jc w:val="left"/>
            </w:pPr>
            <w:r/>
            <w:r>
              <w:rPr>
                <w:rFonts w:ascii="Times New Roman" w:hAnsi="Times New Roman"/>
                <w:sz w:val="24"/>
              </w:rPr>
              <w:t>Ibrahim Ramlah Adenike</w:t>
            </w:r>
          </w:p>
        </w:tc>
        <w:tc>
          <w:tcPr>
            <w:tcW w:type="dxa" w:w="3000"/>
          </w:tcPr>
          <w:p>
            <w:pPr>
              <w:spacing w:line="240" w:lineRule="auto" w:after="40"/>
              <w:jc w:val="center"/>
            </w:pPr>
            <w:r/>
            <w:r>
              <w:rPr>
                <w:rFonts w:ascii="Times New Roman" w:hAnsi="Times New Roman"/>
                <w:sz w:val="24"/>
              </w:rPr>
              <w:t>CHE/2022/017</w:t>
            </w:r>
          </w:p>
        </w:tc>
      </w:tr>
    </w:tbl>
    <w:p>
      <w:pPr>
        <w:spacing w:line="240" w:lineRule="auto" w:after="480"/>
        <w:jc w:val="both"/>
      </w:pPr>
      <w:r>
        <w:rPr>
          <w:rFonts w:ascii="Times New Roman" w:hAnsi="Times New Roman" w:eastAsia="Times New Roman"/>
          <w:b w:val="0"/>
          <w:i w:val="0"/>
          <w:sz w:val="24"/>
        </w:rPr>
      </w:r>
    </w:p>
    <w:p>
      <w:pPr>
        <w:spacing w:line="480" w:lineRule="auto" w:after="0" w:before="0"/>
        <w:jc w:val="center"/>
      </w:pPr>
      <w:r>
        <w:rPr>
          <w:rFonts w:ascii="Times New Roman" w:hAnsi="Times New Roman" w:eastAsia="Times New Roman"/>
          <w:b w:val="0"/>
          <w:i/>
          <w:sz w:val="24"/>
        </w:rPr>
        <w:t>Project repository: a pnpm monorepo containing the hub, the operator dashboard, the Python collector agents and the ESP32 firmware.</w:t>
      </w:r>
    </w:p>
    <w:p>
      <w:r>
        <w:br w:type="page"/>
      </w:r>
    </w:p>
    <w:p>
      <w:pPr>
        <w:pStyle w:val="Heading1"/>
        <w:spacing w:line="480" w:lineRule="auto" w:after="120" w:before="240"/>
      </w:pPr>
      <w:r>
        <w:rPr>
          <w:rFonts w:ascii="Times New Roman" w:hAnsi="Times New Roman" w:eastAsia="Times New Roman"/>
        </w:rPr>
        <w:t>1. INTRODUCTION</w:t>
      </w:r>
    </w:p>
    <w:p>
      <w:pPr>
        <w:spacing w:line="480" w:lineRule="auto" w:after="0" w:before="0"/>
        <w:jc w:val="both"/>
      </w:pPr>
      <w:r>
        <w:rPr>
          <w:rFonts w:ascii="Times New Roman" w:hAnsi="Times New Roman" w:eastAsia="Times New Roman"/>
          <w:b w:val="0"/>
          <w:i w:val="0"/>
          <w:sz w:val="24"/>
        </w:rPr>
        <w:t>This report describes the design, implementation and testing of an intelligent multi-agent campus security surveillance system. The system watches a campus building through a set of independent sensor agents — motion detectors, door contacts and cameras — which report to a central hub. The hub decides what each observation means, raises alerts when it matters, keeps a record of who did what, and presents everything to an operator through a web dashboard.</w:t>
      </w:r>
    </w:p>
    <w:p>
      <w:pPr>
        <w:spacing w:line="480" w:lineRule="auto" w:after="0" w:before="0"/>
        <w:jc w:val="both"/>
      </w:pPr>
      <w:r>
        <w:rPr>
          <w:rFonts w:ascii="Times New Roman" w:hAnsi="Times New Roman" w:eastAsia="Times New Roman"/>
          <w:b w:val="0"/>
          <w:i w:val="0"/>
          <w:sz w:val="24"/>
        </w:rPr>
        <w:t>The central idea is a separation between OBSERVATION and JUDGEMENT. An agent reports only facts: a pin went high, a door opened, a camera saw movement of a given size. It never decides whether that is an intrusion. That decision belongs to the hub, which alone knows whether the building is armed, what has already been reported, and whether a human has acknowledged it. This division is what allows a sensor to be cheap, replaceable and mildly untrusted while the system as a whole remains coherent.</w:t>
      </w:r>
    </w:p>
    <w:p>
      <w:pPr>
        <w:spacing w:line="240" w:lineRule="auto" w:before="120" w:after="40"/>
        <w:jc w:val="center"/>
      </w:pPr>
      <w:r>
        <w:drawing>
          <wp:inline xmlns:a="http://schemas.openxmlformats.org/drawingml/2006/main" xmlns:pic="http://schemas.openxmlformats.org/drawingml/2006/picture">
            <wp:extent cx="5486400" cy="2802835"/>
            <wp:docPr id="1" name="Picture 1"/>
            <wp:cNvGraphicFramePr>
              <a:graphicFrameLocks noChangeAspect="1"/>
            </wp:cNvGraphicFramePr>
            <a:graphic>
              <a:graphicData uri="http://schemas.openxmlformats.org/drawingml/2006/picture">
                <pic:pic>
                  <pic:nvPicPr>
                    <pic:cNvPr id="0" name="fig01_architecture.png"/>
                    <pic:cNvPicPr/>
                  </pic:nvPicPr>
                  <pic:blipFill>
                    <a:blip r:embed="rId9"/>
                    <a:stretch>
                      <a:fillRect/>
                    </a:stretch>
                  </pic:blipFill>
                  <pic:spPr>
                    <a:xfrm>
                      <a:off x="0" y="0"/>
                      <a:ext cx="5486400" cy="2802835"/>
                    </a:xfrm>
                    <a:prstGeom prst="rect"/>
                  </pic:spPr>
                </pic:pic>
              </a:graphicData>
            </a:graphic>
          </wp:inline>
        </w:drawing>
      </w:r>
    </w:p>
    <w:p>
      <w:pPr>
        <w:spacing w:line="240" w:lineRule="auto" w:after="240"/>
        <w:jc w:val="center"/>
      </w:pPr>
      <w:r>
        <w:rPr>
          <w:rFonts w:ascii="Times New Roman" w:hAnsi="Times New Roman" w:eastAsia="Times New Roman"/>
          <w:i/>
          <w:sz w:val="20"/>
        </w:rPr>
        <w:t>Figure 1: System architecture. Collector agents report to a central hub over HTTP or MQTT; the hub owns all judgement, persistence and access control.</w:t>
      </w:r>
    </w:p>
    <w:p>
      <w:pPr>
        <w:pStyle w:val="Heading2"/>
        <w:spacing w:line="480" w:lineRule="auto" w:after="120" w:before="240"/>
      </w:pPr>
      <w:r>
        <w:rPr>
          <w:rFonts w:ascii="Times New Roman" w:hAnsi="Times New Roman" w:eastAsia="Times New Roman"/>
        </w:rPr>
        <w:t>1.1 Aim and Objectives</w:t>
      </w:r>
    </w:p>
    <w:p>
      <w:pPr>
        <w:spacing w:line="480" w:lineRule="auto" w:after="0" w:before="0"/>
        <w:jc w:val="both"/>
      </w:pPr>
      <w:r>
        <w:rPr>
          <w:rFonts w:ascii="Times New Roman" w:hAnsi="Times New Roman" w:eastAsia="Times New Roman"/>
          <w:b w:val="0"/>
          <w:i w:val="0"/>
          <w:sz w:val="24"/>
        </w:rPr>
        <w:t>The aim of the project was to build a working security monitoring system rather than a simulation of one. The objectives were:</w:t>
      </w:r>
    </w:p>
    <w:p>
      <w:pPr>
        <w:pStyle w:val="ListBullet"/>
        <w:spacing w:line="480" w:lineRule="auto" w:after="0" w:before="0"/>
      </w:pPr>
      <w:r>
        <w:rPr>
          <w:rFonts w:ascii="Times New Roman" w:hAnsi="Times New Roman" w:eastAsia="Times New Roman"/>
          <w:sz w:val="24"/>
        </w:rPr>
        <w:t>To design a distributed architecture in which sensor agents and the central hub can fail independently without loss of recorded history.</w:t>
      </w:r>
    </w:p>
    <w:p>
      <w:pPr>
        <w:pStyle w:val="ListBullet"/>
        <w:spacing w:line="480" w:lineRule="auto" w:after="0" w:before="0"/>
      </w:pPr>
      <w:r>
        <w:rPr>
          <w:rFonts w:ascii="Times New Roman" w:hAnsi="Times New Roman" w:eastAsia="Times New Roman"/>
          <w:sz w:val="24"/>
        </w:rPr>
        <w:t>To implement role-based and attribute-based access control so that the system refuses dangerous actions rather than merely discouraging them.</w:t>
      </w:r>
    </w:p>
    <w:p>
      <w:pPr>
        <w:pStyle w:val="ListBullet"/>
        <w:spacing w:line="480" w:lineRule="auto" w:after="0" w:before="0"/>
      </w:pPr>
      <w:r>
        <w:rPr>
          <w:rFonts w:ascii="Times New Roman" w:hAnsi="Times New Roman" w:eastAsia="Times New Roman"/>
          <w:sz w:val="24"/>
        </w:rPr>
        <w:t>To detect not only sensor activity but sensor SILENCE, since a disabled sensor is the failure a security system most needs to notice.</w:t>
      </w:r>
    </w:p>
    <w:p>
      <w:pPr>
        <w:pStyle w:val="ListBullet"/>
        <w:spacing w:line="480" w:lineRule="auto" w:after="0" w:before="0"/>
      </w:pPr>
      <w:r>
        <w:rPr>
          <w:rFonts w:ascii="Times New Roman" w:hAnsi="Times New Roman" w:eastAsia="Times New Roman"/>
          <w:sz w:val="24"/>
        </w:rPr>
        <w:t>To provide an operator interface that makes the state of the building readable at a glance and explains every refusal in words a human can act on.</w:t>
      </w:r>
    </w:p>
    <w:p>
      <w:pPr>
        <w:pStyle w:val="ListBullet"/>
        <w:spacing w:line="480" w:lineRule="auto" w:after="0" w:before="0"/>
      </w:pPr>
      <w:r>
        <w:rPr>
          <w:rFonts w:ascii="Times New Roman" w:hAnsi="Times New Roman" w:eastAsia="Times New Roman"/>
          <w:sz w:val="24"/>
        </w:rPr>
        <w:t>To verify the system against a real database and a real browser, not only against mocks.</w:t>
      </w:r>
    </w:p>
    <w:p>
      <w:pPr>
        <w:pStyle w:val="Heading2"/>
        <w:spacing w:line="480" w:lineRule="auto" w:after="120" w:before="240"/>
      </w:pPr>
      <w:r>
        <w:rPr>
          <w:rFonts w:ascii="Times New Roman" w:hAnsi="Times New Roman" w:eastAsia="Times New Roman"/>
        </w:rPr>
        <w:t>1.2 Scope</w:t>
      </w:r>
    </w:p>
    <w:p>
      <w:pPr>
        <w:spacing w:line="480" w:lineRule="auto" w:after="0" w:before="0"/>
        <w:jc w:val="both"/>
      </w:pPr>
      <w:r>
        <w:rPr>
          <w:rFonts w:ascii="Times New Roman" w:hAnsi="Times New Roman" w:eastAsia="Times New Roman"/>
          <w:b w:val="0"/>
          <w:i w:val="0"/>
          <w:sz w:val="24"/>
        </w:rPr>
        <w:t>The system covers sensing, ingestion, alerting, notification, live video, scheduling, auditing and data retention. It does not attempt access control of physical doors, face recognition, or offsite monitoring. Where a capability is partially implemented — notably the GPIO readers for physical PIR and reed sensors on a Raspberry Pi — this is stated plainly in Section 8 rather than presented as complete.</w:t>
      </w:r>
    </w:p>
    <w:p>
      <w:r>
        <w:br w:type="page"/>
      </w:r>
    </w:p>
    <w:p>
      <w:pPr>
        <w:pStyle w:val="Heading1"/>
        <w:spacing w:line="480" w:lineRule="auto" w:after="120" w:before="240"/>
      </w:pPr>
      <w:r>
        <w:rPr>
          <w:rFonts w:ascii="Times New Roman" w:hAnsi="Times New Roman" w:eastAsia="Times New Roman"/>
        </w:rPr>
        <w:t>2. LITERATURE AND DESIGN CONTEXT</w:t>
      </w:r>
    </w:p>
    <w:p>
      <w:pPr>
        <w:spacing w:line="480" w:lineRule="auto" w:after="0" w:before="0"/>
        <w:jc w:val="both"/>
      </w:pPr>
      <w:r>
        <w:rPr>
          <w:rFonts w:ascii="Times New Roman" w:hAnsi="Times New Roman" w:eastAsia="Times New Roman"/>
          <w:b w:val="0"/>
          <w:i w:val="0"/>
          <w:sz w:val="24"/>
        </w:rPr>
        <w:t>Conventional intruder alarm systems use a wired panel with dedicated zones. They are reliable but closed: adding a sensor type means new hardware, and the panel keeps little history beyond a short event log. Commercial IP camera systems solve the video problem but treat sensors as an afterthought, and typically send footage to a vendor cloud.</w:t>
      </w:r>
    </w:p>
    <w:p>
      <w:pPr>
        <w:spacing w:line="480" w:lineRule="auto" w:after="0" w:before="0"/>
        <w:jc w:val="both"/>
      </w:pPr>
      <w:r>
        <w:rPr>
          <w:rFonts w:ascii="Times New Roman" w:hAnsi="Times New Roman" w:eastAsia="Times New Roman"/>
          <w:b w:val="0"/>
          <w:i w:val="0"/>
          <w:sz w:val="24"/>
        </w:rPr>
        <w:t>The design adopted here follows the multi-agent pattern, in which several autonomous processes each handle one concern and communicate through a well-defined contract. This is the same reasoning behind microservice architectures, but applied at the sensing edge: each agent runs its own detection loop, holds its own credential, and can be restarted, replaced or moved without the hub being reconfigured.</w:t>
      </w:r>
    </w:p>
    <w:p>
      <w:pPr>
        <w:spacing w:line="480" w:lineRule="auto" w:after="0" w:before="0"/>
        <w:jc w:val="both"/>
      </w:pPr>
      <w:r>
        <w:rPr>
          <w:rFonts w:ascii="Times New Roman" w:hAnsi="Times New Roman" w:eastAsia="Times New Roman"/>
          <w:b w:val="0"/>
          <w:i w:val="0"/>
          <w:sz w:val="24"/>
        </w:rPr>
        <w:t>The contract between agent and hub is deliberately small — three HTTP requests — which is what allows the same protocol to be spoken by a Python process on a laptop, a Raspberry Pi, an ESP32 microcontroller running MicroPython, or a web browser publishing its own camera.</w:t>
      </w:r>
    </w:p>
    <w:p>
      <w:pPr>
        <w:spacing w:line="240" w:lineRule="auto" w:before="120" w:after="40"/>
        <w:jc w:val="center"/>
      </w:pPr>
      <w:r>
        <w:drawing>
          <wp:inline xmlns:a="http://schemas.openxmlformats.org/drawingml/2006/main" xmlns:pic="http://schemas.openxmlformats.org/drawingml/2006/picture">
            <wp:extent cx="5486400" cy="1490870"/>
            <wp:docPr id="2" name="Picture 2"/>
            <wp:cNvGraphicFramePr>
              <a:graphicFrameLocks noChangeAspect="1"/>
            </wp:cNvGraphicFramePr>
            <a:graphic>
              <a:graphicData uri="http://schemas.openxmlformats.org/drawingml/2006/picture">
                <pic:pic>
                  <pic:nvPicPr>
                    <pic:cNvPr id="0" name="fig02_event_flow.png"/>
                    <pic:cNvPicPr/>
                  </pic:nvPicPr>
                  <pic:blipFill>
                    <a:blip r:embed="rId10"/>
                    <a:stretch>
                      <a:fillRect/>
                    </a:stretch>
                  </pic:blipFill>
                  <pic:spPr>
                    <a:xfrm>
                      <a:off x="0" y="0"/>
                      <a:ext cx="5486400" cy="1490870"/>
                    </a:xfrm>
                    <a:prstGeom prst="rect"/>
                  </pic:spPr>
                </pic:pic>
              </a:graphicData>
            </a:graphic>
          </wp:inline>
        </w:drawing>
      </w:r>
    </w:p>
    <w:p>
      <w:pPr>
        <w:spacing w:line="240" w:lineRule="auto" w:after="240"/>
        <w:jc w:val="center"/>
      </w:pPr>
      <w:r>
        <w:rPr>
          <w:rFonts w:ascii="Times New Roman" w:hAnsi="Times New Roman" w:eastAsia="Times New Roman"/>
          <w:i/>
          <w:sz w:val="20"/>
        </w:rPr>
        <w:t>Figure 2: The path of a single observation, from sensor pin to operator display.</w:t>
      </w:r>
    </w:p>
    <w:p>
      <w:r>
        <w:br w:type="page"/>
      </w:r>
    </w:p>
    <w:p>
      <w:pPr>
        <w:pStyle w:val="Heading1"/>
        <w:spacing w:line="480" w:lineRule="auto" w:after="120" w:before="240"/>
      </w:pPr>
      <w:r>
        <w:rPr>
          <w:rFonts w:ascii="Times New Roman" w:hAnsi="Times New Roman" w:eastAsia="Times New Roman"/>
        </w:rPr>
        <w:t>3. SYSTEM DESIGN</w:t>
      </w:r>
    </w:p>
    <w:p>
      <w:pPr>
        <w:pStyle w:val="Heading2"/>
        <w:spacing w:line="480" w:lineRule="auto" w:after="120" w:before="240"/>
      </w:pPr>
      <w:r>
        <w:rPr>
          <w:rFonts w:ascii="Times New Roman" w:hAnsi="Times New Roman" w:eastAsia="Times New Roman"/>
        </w:rPr>
        <w:t>3.1 Components</w:t>
      </w:r>
    </w:p>
    <w:p>
      <w:pPr>
        <w:spacing w:line="480" w:lineRule="auto" w:after="0" w:before="0"/>
        <w:jc w:val="both"/>
      </w:pPr>
      <w:r>
        <w:rPr>
          <w:rFonts w:ascii="Times New Roman" w:hAnsi="Times New Roman" w:eastAsia="Times New Roman"/>
          <w:b w:val="0"/>
          <w:i w:val="0"/>
          <w:sz w:val="24"/>
        </w:rPr>
        <w:t>The project is organised as a monorepo with four workspaces so that the wire contract is shared rather than duplicated. A renamed field becomes a compile error instead of a silently dead panel.</w:t>
      </w:r>
    </w:p>
    <w:p>
      <w:pPr>
        <w:pStyle w:val="ListBullet"/>
        <w:spacing w:line="480" w:lineRule="auto" w:after="0" w:before="0"/>
      </w:pPr>
      <w:r>
        <w:rPr>
          <w:rFonts w:ascii="Times New Roman" w:hAnsi="Times New Roman" w:eastAsia="Times New Roman"/>
          <w:sz w:val="24"/>
        </w:rPr>
        <w:t>The HUB (10,556 lines of TypeScript) is a NestJS application backed by PostgreSQL through the Prisma ORM. It owns authentication, the alert rules, liveness detection, retention, auditing and the WebSocket broadcast.</w:t>
      </w:r>
    </w:p>
    <w:p>
      <w:pPr>
        <w:pStyle w:val="ListBullet"/>
        <w:spacing w:line="480" w:lineRule="auto" w:after="0" w:before="0"/>
      </w:pPr>
      <w:r>
        <w:rPr>
          <w:rFonts w:ascii="Times New Roman" w:hAnsi="Times New Roman" w:eastAsia="Times New Roman"/>
          <w:sz w:val="24"/>
        </w:rPr>
        <w:t>The DASHBOARD (7,165 lines) is a React single-page application. Server state is held in TanStack Query and client state in Zustand, so there is exactly one copy of every entity.</w:t>
      </w:r>
    </w:p>
    <w:p>
      <w:pPr>
        <w:pStyle w:val="ListBullet"/>
        <w:spacing w:line="480" w:lineRule="auto" w:after="0" w:before="0"/>
      </w:pPr>
      <w:r>
        <w:rPr>
          <w:rFonts w:ascii="Times New Roman" w:hAnsi="Times New Roman" w:eastAsia="Times New Roman"/>
          <w:sz w:val="24"/>
        </w:rPr>
        <w:t>The AGENTS (4,603 lines of Python) implement motion, door and camera collectors, each able to run in simulation or against real hardware.</w:t>
      </w:r>
    </w:p>
    <w:p>
      <w:pPr>
        <w:pStyle w:val="ListBullet"/>
        <w:spacing w:line="480" w:lineRule="auto" w:after="0" w:before="0"/>
      </w:pPr>
      <w:r>
        <w:rPr>
          <w:rFonts w:ascii="Times New Roman" w:hAnsi="Times New Roman" w:eastAsia="Times New Roman"/>
          <w:sz w:val="24"/>
        </w:rPr>
        <w:t>The CONTRACTS package (940 lines) holds the shared wire types and is the single source of truth for every string that crosses the network.</w:t>
      </w:r>
    </w:p>
    <w:p>
      <w:pPr>
        <w:spacing w:line="240" w:lineRule="auto" w:before="120" w:after="40"/>
        <w:jc w:val="center"/>
      </w:pPr>
      <w:r>
        <w:drawing>
          <wp:inline xmlns:a="http://schemas.openxmlformats.org/drawingml/2006/main" xmlns:pic="http://schemas.openxmlformats.org/drawingml/2006/picture">
            <wp:extent cx="5486400" cy="2385391"/>
            <wp:docPr id="3" name="Picture 3"/>
            <wp:cNvGraphicFramePr>
              <a:graphicFrameLocks noChangeAspect="1"/>
            </wp:cNvGraphicFramePr>
            <a:graphic>
              <a:graphicData uri="http://schemas.openxmlformats.org/drawingml/2006/picture">
                <pic:pic>
                  <pic:nvPicPr>
                    <pic:cNvPr id="0" name="fig07_deployment.png"/>
                    <pic:cNvPicPr/>
                  </pic:nvPicPr>
                  <pic:blipFill>
                    <a:blip r:embed="rId11"/>
                    <a:stretch>
                      <a:fillRect/>
                    </a:stretch>
                  </pic:blipFill>
                  <pic:spPr>
                    <a:xfrm>
                      <a:off x="0" y="0"/>
                      <a:ext cx="5486400" cy="2385391"/>
                    </a:xfrm>
                    <a:prstGeom prst="rect"/>
                  </pic:spPr>
                </pic:pic>
              </a:graphicData>
            </a:graphic>
          </wp:inline>
        </w:drawing>
      </w:r>
    </w:p>
    <w:p>
      <w:pPr>
        <w:spacing w:line="240" w:lineRule="auto" w:after="240"/>
        <w:jc w:val="center"/>
      </w:pPr>
      <w:r>
        <w:rPr>
          <w:rFonts w:ascii="Times New Roman" w:hAnsi="Times New Roman" w:eastAsia="Times New Roman"/>
          <w:i/>
          <w:sz w:val="20"/>
        </w:rPr>
        <w:t>Figure 3: Deployment topology under Docker Compose. Caddy serves the dashboard and proxies the API and WebSocket, so the whole system presents a single origin.</w:t>
      </w:r>
    </w:p>
    <w:p>
      <w:pPr>
        <w:pStyle w:val="Heading2"/>
        <w:spacing w:line="480" w:lineRule="auto" w:after="120" w:before="240"/>
      </w:pPr>
      <w:r>
        <w:rPr>
          <w:rFonts w:ascii="Times New Roman" w:hAnsi="Times New Roman" w:eastAsia="Times New Roman"/>
        </w:rPr>
        <w:t>3.2 Data Model</w:t>
      </w:r>
    </w:p>
    <w:p>
      <w:pPr>
        <w:spacing w:line="480" w:lineRule="auto" w:after="0" w:before="0"/>
        <w:jc w:val="both"/>
      </w:pPr>
      <w:r>
        <w:rPr>
          <w:rFonts w:ascii="Times New Roman" w:hAnsi="Times New Roman" w:eastAsia="Times New Roman"/>
          <w:b w:val="0"/>
          <w:i w:val="0"/>
          <w:sz w:val="24"/>
        </w:rPr>
        <w:t>The database contains 8 models and 12 enumerated types, evolved through 6 migrations. Two decisions are worth drawing out. First, an Event records the hub's own arrival time separately from the agent's reported time, so ordering survives a sensor with a wrong clock. Second, an Alert keeps its own message and severity rather than depending on the event that caused it, which is why deleting old events cannot destroy the record of a judgement.</w:t>
      </w:r>
    </w:p>
    <w:p>
      <w:pPr>
        <w:spacing w:line="240" w:lineRule="auto" w:before="120" w:after="40"/>
        <w:jc w:val="center"/>
      </w:pPr>
      <w:r>
        <w:drawing>
          <wp:inline xmlns:a="http://schemas.openxmlformats.org/drawingml/2006/main" xmlns:pic="http://schemas.openxmlformats.org/drawingml/2006/picture">
            <wp:extent cx="5486400" cy="3101009"/>
            <wp:docPr id="4" name="Picture 4"/>
            <wp:cNvGraphicFramePr>
              <a:graphicFrameLocks noChangeAspect="1"/>
            </wp:cNvGraphicFramePr>
            <a:graphic>
              <a:graphicData uri="http://schemas.openxmlformats.org/drawingml/2006/picture">
                <pic:pic>
                  <pic:nvPicPr>
                    <pic:cNvPr id="0" name="fig03_data_model.png"/>
                    <pic:cNvPicPr/>
                  </pic:nvPicPr>
                  <pic:blipFill>
                    <a:blip r:embed="rId12"/>
                    <a:stretch>
                      <a:fillRect/>
                    </a:stretch>
                  </pic:blipFill>
                  <pic:spPr>
                    <a:xfrm>
                      <a:off x="0" y="0"/>
                      <a:ext cx="5486400" cy="3101009"/>
                    </a:xfrm>
                    <a:prstGeom prst="rect"/>
                  </pic:spPr>
                </pic:pic>
              </a:graphicData>
            </a:graphic>
          </wp:inline>
        </w:drawing>
      </w:r>
    </w:p>
    <w:p>
      <w:pPr>
        <w:spacing w:line="240" w:lineRule="auto" w:after="240"/>
        <w:jc w:val="center"/>
      </w:pPr>
      <w:r>
        <w:rPr>
          <w:rFonts w:ascii="Times New Roman" w:hAnsi="Times New Roman" w:eastAsia="Times New Roman"/>
          <w:i/>
          <w:sz w:val="20"/>
        </w:rPr>
        <w:t>Figure 4: Entity relationships. Alerts survive the deletion of the events that produced them, and rollups survive both.</w:t>
      </w:r>
    </w:p>
    <w:p>
      <w:r>
        <w:br w:type="page"/>
      </w:r>
    </w:p>
    <w:p>
      <w:pPr>
        <w:pStyle w:val="Heading1"/>
        <w:spacing w:line="480" w:lineRule="auto" w:after="120" w:before="240"/>
      </w:pPr>
      <w:r>
        <w:rPr>
          <w:rFonts w:ascii="Times New Roman" w:hAnsi="Times New Roman" w:eastAsia="Times New Roman"/>
        </w:rPr>
        <w:t>4. SECURITY MODEL</w:t>
      </w:r>
    </w:p>
    <w:p>
      <w:pPr>
        <w:spacing w:line="480" w:lineRule="auto" w:after="0" w:before="0"/>
        <w:jc w:val="both"/>
      </w:pPr>
      <w:r>
        <w:rPr>
          <w:rFonts w:ascii="Times New Roman" w:hAnsi="Times New Roman" w:eastAsia="Times New Roman"/>
          <w:b w:val="0"/>
          <w:i w:val="0"/>
          <w:sz w:val="24"/>
        </w:rPr>
        <w:t>Security was treated as a design constraint rather than a feature. The system began with a single shared key, under which any holder could forge an event as any sensor, disarm the building and clear the resulting alerts. That was replaced with per-role credentials and per-agent tokens.</w:t>
      </w:r>
    </w:p>
    <w:p>
      <w:pPr>
        <w:pStyle w:val="Heading2"/>
        <w:spacing w:line="480" w:lineRule="auto" w:after="120" w:before="240"/>
      </w:pPr>
      <w:r>
        <w:rPr>
          <w:rFonts w:ascii="Times New Roman" w:hAnsi="Times New Roman" w:eastAsia="Times New Roman"/>
        </w:rPr>
        <w:t>4.1 Roles and Permissions</w:t>
      </w:r>
    </w:p>
    <w:p>
      <w:pPr>
        <w:spacing w:line="480" w:lineRule="auto" w:after="0" w:before="0"/>
        <w:jc w:val="both"/>
      </w:pPr>
      <w:r>
        <w:rPr>
          <w:rFonts w:ascii="Times New Roman" w:hAnsi="Times New Roman" w:eastAsia="Times New Roman"/>
          <w:b w:val="0"/>
          <w:i w:val="0"/>
          <w:sz w:val="24"/>
        </w:rPr>
        <w:t>Routes are guarded on PERMISSIONS rather than on roles, so changing what a role may do never means editing a controller. A route that declares no permission is denied to everyone, meaning a forgotten decorator fails closed rather than open. There are 17 permissions across five roles.</w:t>
      </w:r>
    </w:p>
    <w:p>
      <w:pPr>
        <w:spacing w:line="240" w:lineRule="auto" w:before="120" w:after="40"/>
        <w:jc w:val="center"/>
      </w:pPr>
      <w:r>
        <w:drawing>
          <wp:inline xmlns:a="http://schemas.openxmlformats.org/drawingml/2006/main" xmlns:pic="http://schemas.openxmlformats.org/drawingml/2006/picture">
            <wp:extent cx="5486400" cy="2683565"/>
            <wp:docPr id="5" name="Picture 5"/>
            <wp:cNvGraphicFramePr>
              <a:graphicFrameLocks noChangeAspect="1"/>
            </wp:cNvGraphicFramePr>
            <a:graphic>
              <a:graphicData uri="http://schemas.openxmlformats.org/drawingml/2006/picture">
                <pic:pic>
                  <pic:nvPicPr>
                    <pic:cNvPr id="0" name="fig04_permissions.png"/>
                    <pic:cNvPicPr/>
                  </pic:nvPicPr>
                  <pic:blipFill>
                    <a:blip r:embed="rId13"/>
                    <a:stretch>
                      <a:fillRect/>
                    </a:stretch>
                  </pic:blipFill>
                  <pic:spPr>
                    <a:xfrm>
                      <a:off x="0" y="0"/>
                      <a:ext cx="5486400" cy="2683565"/>
                    </a:xfrm>
                    <a:prstGeom prst="rect"/>
                  </pic:spPr>
                </pic:pic>
              </a:graphicData>
            </a:graphic>
          </wp:inline>
        </w:drawing>
      </w:r>
    </w:p>
    <w:p>
      <w:pPr>
        <w:spacing w:line="240" w:lineRule="auto" w:after="240"/>
        <w:jc w:val="center"/>
      </w:pPr>
      <w:r>
        <w:rPr>
          <w:rFonts w:ascii="Times New Roman" w:hAnsi="Times New Roman" w:eastAsia="Times New Roman"/>
          <w:i/>
          <w:sz w:val="20"/>
        </w:rPr>
        <w:t>Figure 5: The role to permission mapping. A sensor token holds only what a sensor needs, and never the ability to acknowledge the alert its own tampering raised.</w:t>
      </w:r>
    </w:p>
    <w:p>
      <w:pPr>
        <w:spacing w:line="480" w:lineRule="auto" w:after="0" w:before="0"/>
        <w:jc w:val="both"/>
      </w:pPr>
      <w:r>
        <w:rPr>
          <w:rFonts w:ascii="Times New Roman" w:hAnsi="Times New Roman" w:eastAsia="Times New Roman"/>
          <w:b w:val="0"/>
          <w:i w:val="0"/>
          <w:sz w:val="24"/>
        </w:rPr>
        <w:t>Each agent receives its own bearer token at enrolment. Only a SHA-256 hash of that token is stored, so a database dump yields no working credentials, and a lost token can be rotated but never recovered. The guard additionally enforces that an agent token may act only as its own agent, which prevents a single compromised sensor from injecting a door-closed event to mask an intrusion elsewhere.</w:t>
      </w:r>
    </w:p>
    <w:p>
      <w:pPr>
        <w:pStyle w:val="Heading2"/>
        <w:spacing w:line="480" w:lineRule="auto" w:after="120" w:before="240"/>
      </w:pPr>
      <w:r>
        <w:rPr>
          <w:rFonts w:ascii="Times New Roman" w:hAnsi="Times New Roman" w:eastAsia="Times New Roman"/>
        </w:rPr>
        <w:t>4.2 Attribute-Based Rules</w:t>
      </w:r>
    </w:p>
    <w:p>
      <w:pPr>
        <w:spacing w:line="480" w:lineRule="auto" w:after="0" w:before="0"/>
        <w:jc w:val="both"/>
      </w:pPr>
      <w:r>
        <w:rPr>
          <w:rFonts w:ascii="Times New Roman" w:hAnsi="Times New Roman" w:eastAsia="Times New Roman"/>
          <w:b w:val="0"/>
          <w:i w:val="0"/>
          <w:sz w:val="24"/>
        </w:rPr>
        <w:t>Roles answer what a kind of user may do; policies answer whether they may do it right now, to this thing. The headline rule is that DISARMING WHILE A CRITICAL ALERT IS UNACKNOWLEDGED REQUIRES AN ADMINISTRATOR. The failure this prevents is entirely realistic: an alarm is sounding and the fastest way to stop it is to disarm rather than investigate, which is exactly what an intruder who reached the panel would do. Acknowledging first is the intended path, and it unlocks disarming.</w:t>
      </w:r>
    </w:p>
    <w:p>
      <w:pPr>
        <w:spacing w:line="240" w:lineRule="auto" w:before="120" w:after="40"/>
        <w:jc w:val="center"/>
      </w:pPr>
      <w:r>
        <w:drawing>
          <wp:inline xmlns:a="http://schemas.openxmlformats.org/drawingml/2006/main" xmlns:pic="http://schemas.openxmlformats.org/drawingml/2006/picture">
            <wp:extent cx="5486400" cy="512545"/>
            <wp:docPr id="6" name="Picture 6"/>
            <wp:cNvGraphicFramePr>
              <a:graphicFrameLocks noChangeAspect="1"/>
            </wp:cNvGraphicFramePr>
            <a:graphic>
              <a:graphicData uri="http://schemas.openxmlformats.org/drawingml/2006/picture">
                <pic:pic>
                  <pic:nvPicPr>
                    <pic:cNvPr id="0" name="shot03_mode_control.png"/>
                    <pic:cNvPicPr/>
                  </pic:nvPicPr>
                  <pic:blipFill>
                    <a:blip r:embed="rId14"/>
                    <a:stretch>
                      <a:fillRect/>
                    </a:stretch>
                  </pic:blipFill>
                  <pic:spPr>
                    <a:xfrm>
                      <a:off x="0" y="0"/>
                      <a:ext cx="5486400" cy="512545"/>
                    </a:xfrm>
                    <a:prstGeom prst="rect"/>
                  </pic:spPr>
                </pic:pic>
              </a:graphicData>
            </a:graphic>
          </wp:inline>
        </w:drawing>
      </w:r>
    </w:p>
    <w:p>
      <w:pPr>
        <w:spacing w:line="240" w:lineRule="auto" w:after="240"/>
        <w:jc w:val="center"/>
      </w:pPr>
      <w:r>
        <w:rPr>
          <w:rFonts w:ascii="Times New Roman" w:hAnsi="Times New Roman" w:eastAsia="Times New Roman"/>
          <w:i/>
          <w:sz w:val="20"/>
        </w:rPr>
        <w:t>Figure 6: The arm control refusing a disarm, and explaining why in words the operator can act on rather than returning a bare error.</w:t>
      </w:r>
    </w:p>
    <w:p>
      <w:r>
        <w:br w:type="page"/>
      </w:r>
    </w:p>
    <w:p>
      <w:pPr>
        <w:pStyle w:val="Heading1"/>
        <w:spacing w:line="480" w:lineRule="auto" w:after="120" w:before="240"/>
      </w:pPr>
      <w:r>
        <w:rPr>
          <w:rFonts w:ascii="Times New Roman" w:hAnsi="Times New Roman" w:eastAsia="Times New Roman"/>
        </w:rPr>
        <w:t>5. IMPLEMENTATION</w:t>
      </w:r>
    </w:p>
    <w:p>
      <w:pPr>
        <w:pStyle w:val="Heading2"/>
        <w:spacing w:line="480" w:lineRule="auto" w:after="120" w:before="240"/>
      </w:pPr>
      <w:r>
        <w:rPr>
          <w:rFonts w:ascii="Times New Roman" w:hAnsi="Times New Roman" w:eastAsia="Times New Roman"/>
        </w:rPr>
        <w:t>5.1 The Operator Dashboard</w:t>
      </w:r>
    </w:p>
    <w:p>
      <w:pPr>
        <w:spacing w:line="480" w:lineRule="auto" w:after="0" w:before="0"/>
        <w:jc w:val="both"/>
      </w:pPr>
      <w:r>
        <w:rPr>
          <w:rFonts w:ascii="Times New Roman" w:hAnsi="Times New Roman" w:eastAsia="Times New Roman"/>
          <w:b w:val="0"/>
          <w:i w:val="0"/>
          <w:sz w:val="24"/>
        </w:rPr>
        <w:t>The dashboard is the system's only human interface. It renders entirely from the permissions the hub reports, so a policy change on the server takes effect in the browser without a redeployment and a stale client cannot grant itself anything.</w:t>
      </w:r>
    </w:p>
    <w:p>
      <w:pPr>
        <w:spacing w:line="240" w:lineRule="auto" w:before="120" w:after="40"/>
        <w:jc w:val="center"/>
      </w:pPr>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shot01_signin.png"/>
                    <pic:cNvPicPr/>
                  </pic:nvPicPr>
                  <pic:blipFill>
                    <a:blip r:embed="rId15"/>
                    <a:stretch>
                      <a:fillRect/>
                    </a:stretch>
                  </pic:blipFill>
                  <pic:spPr>
                    <a:xfrm>
                      <a:off x="0" y="0"/>
                      <a:ext cx="5486400" cy="3429000"/>
                    </a:xfrm>
                    <a:prstGeom prst="rect"/>
                  </pic:spPr>
                </pic:pic>
              </a:graphicData>
            </a:graphic>
          </wp:inline>
        </w:drawing>
      </w:r>
    </w:p>
    <w:p>
      <w:pPr>
        <w:spacing w:line="240" w:lineRule="auto" w:after="240"/>
        <w:jc w:val="center"/>
      </w:pPr>
      <w:r>
        <w:rPr>
          <w:rFonts w:ascii="Times New Roman" w:hAnsi="Times New Roman" w:eastAsia="Times New Roman"/>
          <w:i/>
          <w:sz w:val="20"/>
        </w:rPr>
        <w:t>Figure 7: Sign-in. The credential determines the role; the optional name is recorded as an unverified claim, and the form says so.</w:t>
      </w:r>
    </w:p>
    <w:p>
      <w:pPr>
        <w:spacing w:line="240" w:lineRule="auto" w:before="120" w:after="40"/>
        <w:jc w:val="center"/>
      </w:pP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shot02_overview.png"/>
                    <pic:cNvPicPr/>
                  </pic:nvPicPr>
                  <pic:blipFill>
                    <a:blip r:embed="rId16"/>
                    <a:stretch>
                      <a:fillRect/>
                    </a:stretch>
                  </pic:blipFill>
                  <pic:spPr>
                    <a:xfrm>
                      <a:off x="0" y="0"/>
                      <a:ext cx="5486400" cy="3429000"/>
                    </a:xfrm>
                    <a:prstGeom prst="rect"/>
                  </pic:spPr>
                </pic:pic>
              </a:graphicData>
            </a:graphic>
          </wp:inline>
        </w:drawing>
      </w:r>
    </w:p>
    <w:p>
      <w:pPr>
        <w:spacing w:line="240" w:lineRule="auto" w:after="240"/>
        <w:jc w:val="center"/>
      </w:pPr>
      <w:r>
        <w:rPr>
          <w:rFonts w:ascii="Times New Roman" w:hAnsi="Times New Roman" w:eastAsia="Times New Roman"/>
          <w:i/>
          <w:sz w:val="20"/>
        </w:rPr>
        <w:t>Figure 8: The operator overview: arm state, counters, live camera view and the alert queue on one screen.</w:t>
      </w:r>
    </w:p>
    <w:p>
      <w:pPr>
        <w:spacing w:line="240" w:lineRule="auto" w:before="120" w:after="40"/>
        <w:jc w:val="center"/>
      </w:pPr>
      <w:r>
        <w:drawing>
          <wp:inline xmlns:a="http://schemas.openxmlformats.org/drawingml/2006/main" xmlns:pic="http://schemas.openxmlformats.org/drawingml/2006/picture">
            <wp:extent cx="5486400" cy="433137"/>
            <wp:docPr id="9" name="Picture 9"/>
            <wp:cNvGraphicFramePr>
              <a:graphicFrameLocks noChangeAspect="1"/>
            </wp:cNvGraphicFramePr>
            <a:graphic>
              <a:graphicData uri="http://schemas.openxmlformats.org/drawingml/2006/picture">
                <pic:pic>
                  <pic:nvPicPr>
                    <pic:cNvPr id="0" name="shot05_stats.png"/>
                    <pic:cNvPicPr/>
                  </pic:nvPicPr>
                  <pic:blipFill>
                    <a:blip r:embed="rId17"/>
                    <a:stretch>
                      <a:fillRect/>
                    </a:stretch>
                  </pic:blipFill>
                  <pic:spPr>
                    <a:xfrm>
                      <a:off x="0" y="0"/>
                      <a:ext cx="5486400" cy="433137"/>
                    </a:xfrm>
                    <a:prstGeom prst="rect"/>
                  </pic:spPr>
                </pic:pic>
              </a:graphicData>
            </a:graphic>
          </wp:inline>
        </w:drawing>
      </w:r>
    </w:p>
    <w:p>
      <w:pPr>
        <w:spacing w:line="240" w:lineRule="auto" w:after="240"/>
        <w:jc w:val="center"/>
      </w:pPr>
      <w:r>
        <w:rPr>
          <w:rFonts w:ascii="Times New Roman" w:hAnsi="Times New Roman" w:eastAsia="Times New Roman"/>
          <w:i/>
          <w:sz w:val="20"/>
        </w:rPr>
        <w:t>Figure 9: At-a-glance counters. Colour marks exceptions only, so a nominal system is visually quiet.</w:t>
      </w:r>
    </w:p>
    <w:p>
      <w:pPr>
        <w:pStyle w:val="Heading2"/>
        <w:spacing w:line="480" w:lineRule="auto" w:after="120" w:before="240"/>
      </w:pPr>
      <w:r>
        <w:rPr>
          <w:rFonts w:ascii="Times New Roman" w:hAnsi="Times New Roman" w:eastAsia="Times New Roman"/>
        </w:rPr>
        <w:t>5.2 Alert Rules and Clustering</w:t>
      </w:r>
    </w:p>
    <w:p>
      <w:pPr>
        <w:spacing w:line="480" w:lineRule="auto" w:after="0" w:before="0"/>
        <w:jc w:val="both"/>
      </w:pPr>
      <w:r>
        <w:rPr>
          <w:rFonts w:ascii="Times New Roman" w:hAnsi="Times New Roman" w:eastAsia="Times New Roman"/>
          <w:b w:val="0"/>
          <w:i w:val="0"/>
          <w:sz w:val="24"/>
        </w:rPr>
        <w:t>Whether an event becomes an alert depends on the arm mode. In DISARMED nothing is raised; in HOME only perimeter sensors are armed; in AWAY every sensor is. A duplicate of the same type from the same agent is suppressed while an earlier matching alert is still unacknowledged.</w:t>
      </w:r>
    </w:p>
    <w:p>
      <w:pPr>
        <w:spacing w:line="240" w:lineRule="auto" w:before="120" w:after="40"/>
        <w:jc w:val="center"/>
      </w:pPr>
      <w:r>
        <w:drawing>
          <wp:inline xmlns:a="http://schemas.openxmlformats.org/drawingml/2006/main" xmlns:pic="http://schemas.openxmlformats.org/drawingml/2006/picture">
            <wp:extent cx="5486400" cy="2385391"/>
            <wp:docPr id="10" name="Picture 10"/>
            <wp:cNvGraphicFramePr>
              <a:graphicFrameLocks noChangeAspect="1"/>
            </wp:cNvGraphicFramePr>
            <a:graphic>
              <a:graphicData uri="http://schemas.openxmlformats.org/drawingml/2006/picture">
                <pic:pic>
                  <pic:nvPicPr>
                    <pic:cNvPr id="0" name="fig05_alert_rules.png"/>
                    <pic:cNvPicPr/>
                  </pic:nvPicPr>
                  <pic:blipFill>
                    <a:blip r:embed="rId18"/>
                    <a:stretch>
                      <a:fillRect/>
                    </a:stretch>
                  </pic:blipFill>
                  <pic:spPr>
                    <a:xfrm>
                      <a:off x="0" y="0"/>
                      <a:ext cx="5486400" cy="2385391"/>
                    </a:xfrm>
                    <a:prstGeom prst="rect"/>
                  </pic:spPr>
                </pic:pic>
              </a:graphicData>
            </a:graphic>
          </wp:inline>
        </w:drawing>
      </w:r>
    </w:p>
    <w:p>
      <w:pPr>
        <w:spacing w:line="240" w:lineRule="auto" w:after="240"/>
        <w:jc w:val="center"/>
      </w:pPr>
      <w:r>
        <w:rPr>
          <w:rFonts w:ascii="Times New Roman" w:hAnsi="Times New Roman" w:eastAsia="Times New Roman"/>
          <w:i/>
          <w:sz w:val="20"/>
        </w:rPr>
        <w:t>Figure 10: Alert rule evaluation. The arm mode at the moment of the event is recorded on the alert, so the reason it exists is never lost.</w:t>
      </w:r>
    </w:p>
    <w:p>
      <w:pPr>
        <w:spacing w:line="480" w:lineRule="auto" w:after="0" w:before="0"/>
        <w:jc w:val="both"/>
      </w:pPr>
      <w:r>
        <w:rPr>
          <w:rFonts w:ascii="Times New Roman" w:hAnsi="Times New Roman" w:eastAsia="Times New Roman"/>
          <w:b w:val="0"/>
          <w:i w:val="0"/>
          <w:sz w:val="24"/>
        </w:rPr>
        <w:t>A motion sensor tripping repeatedly produces many near-identical alerts. Listed individually they bury everything else, so the dashboard groups them by type and agent, showing a count and allowing one acknowledgement to clear the whole cluster. Twenty repeats of one problem are one decision for the operator.</w:t>
      </w:r>
    </w:p>
    <w:p>
      <w:pPr>
        <w:spacing w:line="240" w:lineRule="auto" w:before="120" w:after="40"/>
        <w:jc w:val="center"/>
      </w:pPr>
      <w:r>
        <w:drawing>
          <wp:inline xmlns:a="http://schemas.openxmlformats.org/drawingml/2006/main" xmlns:pic="http://schemas.openxmlformats.org/drawingml/2006/picture">
            <wp:extent cx="5486400" cy="5302876"/>
            <wp:docPr id="11" name="Picture 11"/>
            <wp:cNvGraphicFramePr>
              <a:graphicFrameLocks noChangeAspect="1"/>
            </wp:cNvGraphicFramePr>
            <a:graphic>
              <a:graphicData uri="http://schemas.openxmlformats.org/drawingml/2006/picture">
                <pic:pic>
                  <pic:nvPicPr>
                    <pic:cNvPr id="0" name="shot04_alerts.png"/>
                    <pic:cNvPicPr/>
                  </pic:nvPicPr>
                  <pic:blipFill>
                    <a:blip r:embed="rId19"/>
                    <a:stretch>
                      <a:fillRect/>
                    </a:stretch>
                  </pic:blipFill>
                  <pic:spPr>
                    <a:xfrm>
                      <a:off x="0" y="0"/>
                      <a:ext cx="5486400" cy="5302876"/>
                    </a:xfrm>
                    <a:prstGeom prst="rect"/>
                  </pic:spPr>
                </pic:pic>
              </a:graphicData>
            </a:graphic>
          </wp:inline>
        </w:drawing>
      </w:r>
    </w:p>
    <w:p>
      <w:pPr>
        <w:spacing w:line="240" w:lineRule="auto" w:after="240"/>
        <w:jc w:val="center"/>
      </w:pPr>
      <w:r>
        <w:rPr>
          <w:rFonts w:ascii="Times New Roman" w:hAnsi="Times New Roman" w:eastAsia="Times New Roman"/>
          <w:i/>
          <w:sz w:val="20"/>
        </w:rPr>
        <w:t>Figure 11: The alert panel. Repeats are collapsed into counted clusters that can be acknowledged together.</w:t>
      </w:r>
    </w:p>
    <w:p>
      <w:pPr>
        <w:pStyle w:val="Heading2"/>
        <w:spacing w:line="480" w:lineRule="auto" w:after="120" w:before="240"/>
      </w:pPr>
      <w:r>
        <w:rPr>
          <w:rFonts w:ascii="Times New Roman" w:hAnsi="Times New Roman" w:eastAsia="Times New Roman"/>
        </w:rPr>
        <w:t>5.3 Liveness and Tamper Detection</w:t>
      </w:r>
    </w:p>
    <w:p>
      <w:pPr>
        <w:spacing w:line="480" w:lineRule="auto" w:after="0" w:before="0"/>
        <w:jc w:val="both"/>
      </w:pPr>
      <w:r>
        <w:rPr>
          <w:rFonts w:ascii="Times New Roman" w:hAnsi="Times New Roman" w:eastAsia="Times New Roman"/>
          <w:b w:val="0"/>
          <w:i w:val="0"/>
          <w:sz w:val="24"/>
        </w:rPr>
        <w:t>An agent cannot report its own failure: a sensor that has been unplugged or disabled does not get to send a going-offline message. The hub therefore decides liveness itself, sweeping for agents that have stopped sending heartbeats and raising an alert on their behalf. A startup grace period prevents a hub restart from declaring the entire healthy fleet tampered with.</w:t>
      </w:r>
    </w:p>
    <w:p>
      <w:pPr>
        <w:spacing w:line="240" w:lineRule="auto" w:before="120" w:after="40"/>
        <w:jc w:val="center"/>
      </w:pPr>
      <w:r>
        <w:drawing>
          <wp:inline xmlns:a="http://schemas.openxmlformats.org/drawingml/2006/main" xmlns:pic="http://schemas.openxmlformats.org/drawingml/2006/picture">
            <wp:extent cx="5486400" cy="1789043"/>
            <wp:docPr id="12" name="Picture 12"/>
            <wp:cNvGraphicFramePr>
              <a:graphicFrameLocks noChangeAspect="1"/>
            </wp:cNvGraphicFramePr>
            <a:graphic>
              <a:graphicData uri="http://schemas.openxmlformats.org/drawingml/2006/picture">
                <pic:pic>
                  <pic:nvPicPr>
                    <pic:cNvPr id="0" name="fig08_liveness.png"/>
                    <pic:cNvPicPr/>
                  </pic:nvPicPr>
                  <pic:blipFill>
                    <a:blip r:embed="rId20"/>
                    <a:stretch>
                      <a:fillRect/>
                    </a:stretch>
                  </pic:blipFill>
                  <pic:spPr>
                    <a:xfrm>
                      <a:off x="0" y="0"/>
                      <a:ext cx="5486400" cy="1789043"/>
                    </a:xfrm>
                    <a:prstGeom prst="rect"/>
                  </pic:spPr>
                </pic:pic>
              </a:graphicData>
            </a:graphic>
          </wp:inline>
        </w:drawing>
      </w:r>
    </w:p>
    <w:p>
      <w:pPr>
        <w:spacing w:line="240" w:lineRule="auto" w:after="240"/>
        <w:jc w:val="center"/>
      </w:pPr>
      <w:r>
        <w:rPr>
          <w:rFonts w:ascii="Times New Roman" w:hAnsi="Times New Roman" w:eastAsia="Times New Roman"/>
          <w:i/>
          <w:sz w:val="20"/>
        </w:rPr>
        <w:t>Figure 12: Liveness state transitions. Silence is treated as evidence, because it is the only signal a disabled sensor can produce.</w:t>
      </w:r>
    </w:p>
    <w:p>
      <w:pPr>
        <w:spacing w:line="240" w:lineRule="auto" w:before="120" w:after="40"/>
        <w:jc w:val="center"/>
      </w:pPr>
      <w:r>
        <w:drawing>
          <wp:inline xmlns:a="http://schemas.openxmlformats.org/drawingml/2006/main" xmlns:pic="http://schemas.openxmlformats.org/drawingml/2006/picture">
            <wp:extent cx="5486400" cy="4651283"/>
            <wp:docPr id="13" name="Picture 13"/>
            <wp:cNvGraphicFramePr>
              <a:graphicFrameLocks noChangeAspect="1"/>
            </wp:cNvGraphicFramePr>
            <a:graphic>
              <a:graphicData uri="http://schemas.openxmlformats.org/drawingml/2006/picture">
                <pic:pic>
                  <pic:nvPicPr>
                    <pic:cNvPr id="0" name="shot06_agents.png"/>
                    <pic:cNvPicPr/>
                  </pic:nvPicPr>
                  <pic:blipFill>
                    <a:blip r:embed="rId21"/>
                    <a:stretch>
                      <a:fillRect/>
                    </a:stretch>
                  </pic:blipFill>
                  <pic:spPr>
                    <a:xfrm>
                      <a:off x="0" y="0"/>
                      <a:ext cx="5486400" cy="4651283"/>
                    </a:xfrm>
                    <a:prstGeom prst="rect"/>
                  </pic:spPr>
                </pic:pic>
              </a:graphicData>
            </a:graphic>
          </wp:inline>
        </w:drawing>
      </w:r>
    </w:p>
    <w:p>
      <w:pPr>
        <w:spacing w:line="240" w:lineRule="auto" w:after="240"/>
        <w:jc w:val="center"/>
      </w:pPr>
      <w:r>
        <w:rPr>
          <w:rFonts w:ascii="Times New Roman" w:hAnsi="Times New Roman" w:eastAsia="Times New Roman"/>
          <w:i/>
          <w:sz w:val="20"/>
        </w:rPr>
        <w:t>Figure 13: The agent fleet, showing type, location, status and time since last contact.</w:t>
      </w:r>
    </w:p>
    <w:p>
      <w:pPr>
        <w:pStyle w:val="Heading2"/>
        <w:spacing w:line="480" w:lineRule="auto" w:after="120" w:before="240"/>
      </w:pPr>
      <w:r>
        <w:rPr>
          <w:rFonts w:ascii="Times New Roman" w:hAnsi="Times New Roman" w:eastAsia="Times New Roman"/>
        </w:rPr>
        <w:t>5.4 Live Camera View</w:t>
      </w:r>
    </w:p>
    <w:p>
      <w:pPr>
        <w:spacing w:line="480" w:lineRule="auto" w:after="0" w:before="0"/>
        <w:jc w:val="both"/>
      </w:pPr>
      <w:r>
        <w:rPr>
          <w:rFonts w:ascii="Times New Roman" w:hAnsi="Times New Roman" w:eastAsia="Times New Roman"/>
          <w:b w:val="0"/>
          <w:i w:val="0"/>
          <w:sz w:val="24"/>
        </w:rPr>
        <w:t>Cameras publish JPEG frames to the hub, which holds only the newest frame per camera in memory and re-serves them as an MJPEG stream. Frames are never written to the database: they are worthless a second later, and a database is the wrong place for them. Because an image tag cannot send an authorisation header, the dashboard exchanges its credential for a single-use ticket that expires in seconds and grants exactly one thing — watching one camera.</w:t>
      </w:r>
    </w:p>
    <w:p>
      <w:pPr>
        <w:spacing w:line="240" w:lineRule="auto" w:before="120" w:after="40"/>
        <w:jc w:val="center"/>
      </w:pPr>
      <w:r>
        <w:drawing>
          <wp:inline xmlns:a="http://schemas.openxmlformats.org/drawingml/2006/main" xmlns:pic="http://schemas.openxmlformats.org/drawingml/2006/picture">
            <wp:extent cx="5486400" cy="3429000"/>
            <wp:docPr id="14" name="Picture 14"/>
            <wp:cNvGraphicFramePr>
              <a:graphicFrameLocks noChangeAspect="1"/>
            </wp:cNvGraphicFramePr>
            <a:graphic>
              <a:graphicData uri="http://schemas.openxmlformats.org/drawingml/2006/picture">
                <pic:pic>
                  <pic:nvPicPr>
                    <pic:cNvPr id="0" name="shot08_cameras.png"/>
                    <pic:cNvPicPr/>
                  </pic:nvPicPr>
                  <pic:blipFill>
                    <a:blip r:embed="rId22"/>
                    <a:stretch>
                      <a:fillRect/>
                    </a:stretch>
                  </pic:blipFill>
                  <pic:spPr>
                    <a:xfrm>
                      <a:off x="0" y="0"/>
                      <a:ext cx="5486400" cy="3429000"/>
                    </a:xfrm>
                    <a:prstGeom prst="rect"/>
                  </pic:spPr>
                </pic:pic>
              </a:graphicData>
            </a:graphic>
          </wp:inline>
        </w:drawing>
      </w:r>
    </w:p>
    <w:p>
      <w:pPr>
        <w:spacing w:line="240" w:lineRule="auto" w:after="240"/>
        <w:jc w:val="center"/>
      </w:pPr>
      <w:r>
        <w:rPr>
          <w:rFonts w:ascii="Times New Roman" w:hAnsi="Times New Roman" w:eastAsia="Times New Roman"/>
          <w:i/>
          <w:sz w:val="20"/>
        </w:rPr>
        <w:t>Figure 14: The camera wall. Feeds start automatically and are capped, because each open stream holds a connection for its whole life.</w:t>
      </w:r>
    </w:p>
    <w:p>
      <w:pPr>
        <w:spacing w:line="240" w:lineRule="auto" w:before="120" w:after="40"/>
        <w:jc w:val="center"/>
      </w:pPr>
      <w:r>
        <w:drawing>
          <wp:inline xmlns:a="http://schemas.openxmlformats.org/drawingml/2006/main" xmlns:pic="http://schemas.openxmlformats.org/drawingml/2006/picture">
            <wp:extent cx="5486400" cy="4685355"/>
            <wp:docPr id="15" name="Picture 15"/>
            <wp:cNvGraphicFramePr>
              <a:graphicFrameLocks noChangeAspect="1"/>
            </wp:cNvGraphicFramePr>
            <a:graphic>
              <a:graphicData uri="http://schemas.openxmlformats.org/drawingml/2006/picture">
                <pic:pic>
                  <pic:nvPicPr>
                    <pic:cNvPr id="0" name="shot09_camera_tile.png"/>
                    <pic:cNvPicPr/>
                  </pic:nvPicPr>
                  <pic:blipFill>
                    <a:blip r:embed="rId23"/>
                    <a:stretch>
                      <a:fillRect/>
                    </a:stretch>
                  </pic:blipFill>
                  <pic:spPr>
                    <a:xfrm>
                      <a:off x="0" y="0"/>
                      <a:ext cx="5486400" cy="4685355"/>
                    </a:xfrm>
                    <a:prstGeom prst="rect"/>
                  </pic:spPr>
                </pic:pic>
              </a:graphicData>
            </a:graphic>
          </wp:inline>
        </w:drawing>
      </w:r>
    </w:p>
    <w:p>
      <w:pPr>
        <w:spacing w:line="240" w:lineRule="auto" w:after="240"/>
        <w:jc w:val="center"/>
      </w:pPr>
      <w:r>
        <w:rPr>
          <w:rFonts w:ascii="Times New Roman" w:hAnsi="Times New Roman" w:eastAsia="Times New Roman"/>
          <w:i/>
          <w:sz w:val="20"/>
        </w:rPr>
        <w:t>Figure 15: A single tile showing the MEASURED frame rate and resolution, which is what makes a slow feed diagnosable rather than a matter of impression.</w:t>
      </w:r>
    </w:p>
    <w:p>
      <w:pPr>
        <w:pStyle w:val="Heading2"/>
        <w:spacing w:line="480" w:lineRule="auto" w:after="120" w:before="240"/>
      </w:pPr>
      <w:r>
        <w:rPr>
          <w:rFonts w:ascii="Times New Roman" w:hAnsi="Times New Roman" w:eastAsia="Times New Roman"/>
        </w:rPr>
        <w:t>5.5 Event Stream and Reporting</w:t>
      </w:r>
    </w:p>
    <w:p>
      <w:pPr>
        <w:spacing w:line="240" w:lineRule="auto" w:before="120" w:after="40"/>
        <w:jc w:val="center"/>
      </w:pPr>
      <w:r>
        <w:drawing>
          <wp:inline xmlns:a="http://schemas.openxmlformats.org/drawingml/2006/main" xmlns:pic="http://schemas.openxmlformats.org/drawingml/2006/picture">
            <wp:extent cx="5486400" cy="2370392"/>
            <wp:docPr id="16" name="Picture 16"/>
            <wp:cNvGraphicFramePr>
              <a:graphicFrameLocks noChangeAspect="1"/>
            </wp:cNvGraphicFramePr>
            <a:graphic>
              <a:graphicData uri="http://schemas.openxmlformats.org/drawingml/2006/picture">
                <pic:pic>
                  <pic:nvPicPr>
                    <pic:cNvPr id="0" name="shot07_events.png"/>
                    <pic:cNvPicPr/>
                  </pic:nvPicPr>
                  <pic:blipFill>
                    <a:blip r:embed="rId24"/>
                    <a:stretch>
                      <a:fillRect/>
                    </a:stretch>
                  </pic:blipFill>
                  <pic:spPr>
                    <a:xfrm>
                      <a:off x="0" y="0"/>
                      <a:ext cx="5486400" cy="2370392"/>
                    </a:xfrm>
                    <a:prstGeom prst="rect"/>
                  </pic:spPr>
                </pic:pic>
              </a:graphicData>
            </a:graphic>
          </wp:inline>
        </w:drawing>
      </w:r>
    </w:p>
    <w:p>
      <w:pPr>
        <w:spacing w:line="240" w:lineRule="auto" w:after="240"/>
        <w:jc w:val="center"/>
      </w:pPr>
      <w:r>
        <w:rPr>
          <w:rFonts w:ascii="Times New Roman" w:hAnsi="Times New Roman" w:eastAsia="Times New Roman"/>
          <w:i/>
          <w:sz w:val="20"/>
        </w:rPr>
        <w:t>Figure 16: The raw event stream, filterable to a single agent.</w:t>
      </w:r>
    </w:p>
    <w:p>
      <w:pPr>
        <w:spacing w:line="480" w:lineRule="auto" w:after="0" w:before="0"/>
        <w:jc w:val="both"/>
      </w:pPr>
      <w:r>
        <w:rPr>
          <w:rFonts w:ascii="Times New Roman" w:hAnsi="Times New Roman" w:eastAsia="Times New Roman"/>
          <w:b w:val="0"/>
          <w:i w:val="0"/>
          <w:sz w:val="24"/>
        </w:rPr>
        <w:t>Historical reporting reads from hourly rollups where they exist and from raw rows for the most recent hours, so the page continues to work on periods whose individual events have long been deleted.</w:t>
      </w:r>
    </w:p>
    <w:p>
      <w:pPr>
        <w:spacing w:line="240" w:lineRule="auto" w:before="120" w:after="40"/>
        <w:jc w:val="center"/>
      </w:pPr>
      <w:r>
        <w:drawing>
          <wp:inline xmlns:a="http://schemas.openxmlformats.org/drawingml/2006/main" xmlns:pic="http://schemas.openxmlformats.org/drawingml/2006/picture">
            <wp:extent cx="5486400" cy="3429000"/>
            <wp:docPr id="17" name="Picture 17"/>
            <wp:cNvGraphicFramePr>
              <a:graphicFrameLocks noChangeAspect="1"/>
            </wp:cNvGraphicFramePr>
            <a:graphic>
              <a:graphicData uri="http://schemas.openxmlformats.org/drawingml/2006/picture">
                <pic:pic>
                  <pic:nvPicPr>
                    <pic:cNvPr id="0" name="shot10_reports.png"/>
                    <pic:cNvPicPr/>
                  </pic:nvPicPr>
                  <pic:blipFill>
                    <a:blip r:embed="rId25"/>
                    <a:stretch>
                      <a:fillRect/>
                    </a:stretch>
                  </pic:blipFill>
                  <pic:spPr>
                    <a:xfrm>
                      <a:off x="0" y="0"/>
                      <a:ext cx="5486400" cy="3429000"/>
                    </a:xfrm>
                    <a:prstGeom prst="rect"/>
                  </pic:spPr>
                </pic:pic>
              </a:graphicData>
            </a:graphic>
          </wp:inline>
        </w:drawing>
      </w:r>
    </w:p>
    <w:p>
      <w:pPr>
        <w:spacing w:line="240" w:lineRule="auto" w:after="240"/>
        <w:jc w:val="center"/>
      </w:pPr>
      <w:r>
        <w:rPr>
          <w:rFonts w:ascii="Times New Roman" w:hAnsi="Times New Roman" w:eastAsia="Times New Roman"/>
          <w:i/>
          <w:sz w:val="20"/>
        </w:rPr>
        <w:t>Figure 17: Aggregated history over a thirty-day window, broken down by agent, by event type and by alert severity.</w:t>
      </w:r>
    </w:p>
    <w:p>
      <w:pPr>
        <w:spacing w:line="240" w:lineRule="auto" w:before="120" w:after="40"/>
        <w:jc w:val="center"/>
      </w:pPr>
      <w:r>
        <w:drawing>
          <wp:inline xmlns:a="http://schemas.openxmlformats.org/drawingml/2006/main" xmlns:pic="http://schemas.openxmlformats.org/drawingml/2006/picture">
            <wp:extent cx="5486400" cy="594422"/>
            <wp:docPr id="18" name="Picture 18"/>
            <wp:cNvGraphicFramePr>
              <a:graphicFrameLocks noChangeAspect="1"/>
            </wp:cNvGraphicFramePr>
            <a:graphic>
              <a:graphicData uri="http://schemas.openxmlformats.org/drawingml/2006/picture">
                <pic:pic>
                  <pic:nvPicPr>
                    <pic:cNvPr id="0" name="shot11_activity_chart.png"/>
                    <pic:cNvPicPr/>
                  </pic:nvPicPr>
                  <pic:blipFill>
                    <a:blip r:embed="rId26"/>
                    <a:stretch>
                      <a:fillRect/>
                    </a:stretch>
                  </pic:blipFill>
                  <pic:spPr>
                    <a:xfrm>
                      <a:off x="0" y="0"/>
                      <a:ext cx="5486400" cy="594422"/>
                    </a:xfrm>
                    <a:prstGeom prst="rect"/>
                  </pic:spPr>
                </pic:pic>
              </a:graphicData>
            </a:graphic>
          </wp:inline>
        </w:drawing>
      </w:r>
    </w:p>
    <w:p>
      <w:pPr>
        <w:spacing w:line="240" w:lineRule="auto" w:after="240"/>
        <w:jc w:val="center"/>
      </w:pPr>
      <w:r>
        <w:rPr>
          <w:rFonts w:ascii="Times New Roman" w:hAnsi="Times New Roman" w:eastAsia="Times New Roman"/>
          <w:i/>
          <w:sz w:val="20"/>
        </w:rPr>
        <w:t>Figure 18: Daily activity. Alerts are overlaid on events rather than charted separately, because the question is always whether activity became alarm.</w:t>
      </w:r>
    </w:p>
    <w:p>
      <w:r>
        <w:br w:type="page"/>
      </w:r>
    </w:p>
    <w:p>
      <w:pPr>
        <w:pStyle w:val="Heading1"/>
        <w:spacing w:line="480" w:lineRule="auto" w:after="120" w:before="240"/>
      </w:pPr>
      <w:r>
        <w:rPr>
          <w:rFonts w:ascii="Times New Roman" w:hAnsi="Times New Roman" w:eastAsia="Times New Roman"/>
        </w:rPr>
        <w:t>6. DATA RETENTION, AUDIT AND SCHEDULING</w:t>
      </w:r>
    </w:p>
    <w:p>
      <w:pPr>
        <w:pStyle w:val="Heading2"/>
        <w:spacing w:line="480" w:lineRule="auto" w:after="120" w:before="240"/>
      </w:pPr>
      <w:r>
        <w:rPr>
          <w:rFonts w:ascii="Times New Roman" w:hAnsi="Times New Roman" w:eastAsia="Times New Roman"/>
        </w:rPr>
        <w:t>6.1 Retention and Rollups</w:t>
      </w:r>
    </w:p>
    <w:p>
      <w:pPr>
        <w:spacing w:line="480" w:lineRule="auto" w:after="0" w:before="0"/>
        <w:jc w:val="both"/>
      </w:pPr>
      <w:r>
        <w:rPr>
          <w:rFonts w:ascii="Times New Roman" w:hAnsi="Times New Roman" w:eastAsia="Times New Roman"/>
          <w:b w:val="0"/>
          <w:i w:val="0"/>
          <w:sz w:val="24"/>
        </w:rPr>
        <w:t>Nothing in the system deleted a row until retention was added, so the event table grew without bound. Rather than simply deleting history, each hour of events is first summarised into a count per agent and per event type. On measured data this achieved a 137:1 reduction — 9,727 events became 71 rows — while remaining exact for the question historical views actually ask.</w:t>
      </w:r>
    </w:p>
    <w:p>
      <w:pPr>
        <w:spacing w:line="240" w:lineRule="auto" w:before="120" w:after="40"/>
        <w:jc w:val="center"/>
      </w:pPr>
      <w:r>
        <w:drawing>
          <wp:inline xmlns:a="http://schemas.openxmlformats.org/drawingml/2006/main" xmlns:pic="http://schemas.openxmlformats.org/drawingml/2006/picture">
            <wp:extent cx="5486400" cy="1967947"/>
            <wp:docPr id="19" name="Picture 19"/>
            <wp:cNvGraphicFramePr>
              <a:graphicFrameLocks noChangeAspect="1"/>
            </wp:cNvGraphicFramePr>
            <a:graphic>
              <a:graphicData uri="http://schemas.openxmlformats.org/drawingml/2006/picture">
                <pic:pic>
                  <pic:nvPicPr>
                    <pic:cNvPr id="0" name="fig06_retention.png"/>
                    <pic:cNvPicPr/>
                  </pic:nvPicPr>
                  <pic:blipFill>
                    <a:blip r:embed="rId27"/>
                    <a:stretch>
                      <a:fillRect/>
                    </a:stretch>
                  </pic:blipFill>
                  <pic:spPr>
                    <a:xfrm>
                      <a:off x="0" y="0"/>
                      <a:ext cx="5486400" cy="1967947"/>
                    </a:xfrm>
                    <a:prstGeom prst="rect"/>
                  </pic:spPr>
                </pic:pic>
              </a:graphicData>
            </a:graphic>
          </wp:inline>
        </w:drawing>
      </w:r>
    </w:p>
    <w:p>
      <w:pPr>
        <w:spacing w:line="240" w:lineRule="auto" w:after="240"/>
        <w:jc w:val="center"/>
      </w:pPr>
      <w:r>
        <w:rPr>
          <w:rFonts w:ascii="Times New Roman" w:hAnsi="Times New Roman" w:eastAsia="Times New Roman"/>
          <w:i/>
          <w:sz w:val="20"/>
        </w:rPr>
        <w:t>Figure 19: Retention with rollups. An event is never deleted before its hour has been counted, and an unacknowledged alert is never deleted at any age.</w:t>
      </w:r>
    </w:p>
    <w:p>
      <w:pPr>
        <w:spacing w:line="480" w:lineRule="auto" w:after="0" w:before="0"/>
        <w:jc w:val="both"/>
      </w:pPr>
      <w:r>
        <w:rPr>
          <w:rFonts w:ascii="Times New Roman" w:hAnsi="Times New Roman" w:eastAsia="Times New Roman"/>
          <w:b w:val="0"/>
          <w:i w:val="0"/>
          <w:sz w:val="24"/>
        </w:rPr>
        <w:t>Every retention window ships disabled, meaning keep forever. Deleting evidence is something an operator opts into deliberately; an upgrade must never begin destroying records on its own.</w:t>
      </w:r>
    </w:p>
    <w:p>
      <w:pPr>
        <w:pStyle w:val="Heading2"/>
        <w:spacing w:line="480" w:lineRule="auto" w:after="120" w:before="240"/>
      </w:pPr>
      <w:r>
        <w:rPr>
          <w:rFonts w:ascii="Times New Roman" w:hAnsi="Times New Roman" w:eastAsia="Times New Roman"/>
        </w:rPr>
        <w:t>6.2 The Audit Trail</w:t>
      </w:r>
    </w:p>
    <w:p>
      <w:pPr>
        <w:spacing w:line="480" w:lineRule="auto" w:after="0" w:before="0"/>
        <w:jc w:val="both"/>
      </w:pPr>
      <w:r>
        <w:rPr>
          <w:rFonts w:ascii="Times New Roman" w:hAnsi="Times New Roman" w:eastAsia="Times New Roman"/>
          <w:b w:val="0"/>
          <w:i w:val="0"/>
          <w:sz w:val="24"/>
        </w:rPr>
        <w:t>The system records who changed the arm mode, who acknowledged an alert, who enrolled an agent and who was REFUSED. Denials are recorded as well as successes, because a refused disarm during an active incident is the most interesting line the trail will ever hold.</w:t>
      </w:r>
    </w:p>
    <w:p>
      <w:pPr>
        <w:spacing w:line="480" w:lineRule="auto" w:after="0" w:before="0"/>
        <w:jc w:val="both"/>
      </w:pPr>
      <w:r>
        <w:rPr>
          <w:rFonts w:ascii="Times New Roman" w:hAnsi="Times New Roman" w:eastAsia="Times New Roman"/>
          <w:b w:val="0"/>
          <w:i w:val="0"/>
          <w:sz w:val="24"/>
        </w:rPr>
        <w:t>The trail is honest about what it can prove. Because credentials are shared per role, the hub knows the ROLE that acted but not the PERSON. An optional name typed at sign-in is stored and displayed as a CLAIM, visually separated from the verified role, and the interface says plainly that it is not checked. The table deliberately holds no credential material, not even a hash.</w:t>
      </w:r>
    </w:p>
    <w:p>
      <w:pPr>
        <w:spacing w:line="240" w:lineRule="auto" w:before="120" w:after="40"/>
        <w:jc w:val="center"/>
      </w:pPr>
      <w:r>
        <w:drawing>
          <wp:inline xmlns:a="http://schemas.openxmlformats.org/drawingml/2006/main" xmlns:pic="http://schemas.openxmlformats.org/drawingml/2006/picture">
            <wp:extent cx="5486400" cy="13701543"/>
            <wp:docPr id="20" name="Picture 20"/>
            <wp:cNvGraphicFramePr>
              <a:graphicFrameLocks noChangeAspect="1"/>
            </wp:cNvGraphicFramePr>
            <a:graphic>
              <a:graphicData uri="http://schemas.openxmlformats.org/drawingml/2006/picture">
                <pic:pic>
                  <pic:nvPicPr>
                    <pic:cNvPr id="0" name="shot16_audit.png"/>
                    <pic:cNvPicPr/>
                  </pic:nvPicPr>
                  <pic:blipFill>
                    <a:blip r:embed="rId28"/>
                    <a:stretch>
                      <a:fillRect/>
                    </a:stretch>
                  </pic:blipFill>
                  <pic:spPr>
                    <a:xfrm>
                      <a:off x="0" y="0"/>
                      <a:ext cx="5486400" cy="13701543"/>
                    </a:xfrm>
                    <a:prstGeom prst="rect"/>
                  </pic:spPr>
                </pic:pic>
              </a:graphicData>
            </a:graphic>
          </wp:inline>
        </w:drawing>
      </w:r>
    </w:p>
    <w:p>
      <w:pPr>
        <w:spacing w:line="240" w:lineRule="auto" w:after="240"/>
        <w:jc w:val="center"/>
      </w:pPr>
      <w:r>
        <w:rPr>
          <w:rFonts w:ascii="Times New Roman" w:hAnsi="Times New Roman" w:eastAsia="Times New Roman"/>
          <w:i/>
          <w:sz w:val="20"/>
        </w:rPr>
        <w:t>Figure 20: The audit trail. The verified role and the self-asserted name are presented differently, because they are different kinds of fact.</w:t>
      </w:r>
    </w:p>
    <w:p>
      <w:pPr>
        <w:pStyle w:val="Heading2"/>
        <w:spacing w:line="480" w:lineRule="auto" w:after="120" w:before="240"/>
      </w:pPr>
      <w:r>
        <w:rPr>
          <w:rFonts w:ascii="Times New Roman" w:hAnsi="Times New Roman" w:eastAsia="Times New Roman"/>
        </w:rPr>
        <w:t>6.3 Scheduled Arming</w:t>
      </w:r>
    </w:p>
    <w:p>
      <w:pPr>
        <w:spacing w:line="480" w:lineRule="auto" w:after="0" w:before="0"/>
        <w:jc w:val="both"/>
      </w:pPr>
      <w:r>
        <w:rPr>
          <w:rFonts w:ascii="Times New Roman" w:hAnsi="Times New Roman" w:eastAsia="Times New Roman"/>
          <w:b w:val="0"/>
          <w:i w:val="0"/>
          <w:sz w:val="24"/>
        </w:rPr>
        <w:t>A schedule is a TRANSITION, not a continuously enforced state: it fires once when its boundary passes and then leaves the system alone. Re-asserting the mode every minute would fight an operator who deliberately disarmed. A manual change is therefore respected until the next boundary, and that boundary still fires — because the usual reason a building is left unarmed is that somebody forgot.</w:t>
      </w:r>
    </w:p>
    <w:p>
      <w:pPr>
        <w:spacing w:line="480" w:lineRule="auto" w:after="0" w:before="0"/>
        <w:jc w:val="both"/>
      </w:pPr>
      <w:r>
        <w:rPr>
          <w:rFonts w:ascii="Times New Roman" w:hAnsi="Times New Roman" w:eastAsia="Times New Roman"/>
          <w:b w:val="0"/>
          <w:i w:val="0"/>
          <w:sz w:val="24"/>
        </w:rPr>
        <w:t>A scheduled disarm obeys the same critical-alert rule a human does, with no administrator override. That override exists so that a named person can take responsibility for silencing an active incident, and a timer cannot take responsibility for anything.</w:t>
      </w:r>
    </w:p>
    <w:p>
      <w:pPr>
        <w:spacing w:line="240" w:lineRule="auto" w:before="120" w:after="40"/>
        <w:jc w:val="center"/>
      </w:pPr>
      <w:r>
        <w:drawing>
          <wp:inline xmlns:a="http://schemas.openxmlformats.org/drawingml/2006/main" xmlns:pic="http://schemas.openxmlformats.org/drawingml/2006/picture">
            <wp:extent cx="5486400" cy="299057"/>
            <wp:docPr id="21" name="Picture 21"/>
            <wp:cNvGraphicFramePr>
              <a:graphicFrameLocks noChangeAspect="1"/>
            </wp:cNvGraphicFramePr>
            <a:graphic>
              <a:graphicData uri="http://schemas.openxmlformats.org/drawingml/2006/picture">
                <pic:pic>
                  <pic:nvPicPr>
                    <pic:cNvPr id="0" name="shot13_schedules.png"/>
                    <pic:cNvPicPr/>
                  </pic:nvPicPr>
                  <pic:blipFill>
                    <a:blip r:embed="rId29"/>
                    <a:stretch>
                      <a:fillRect/>
                    </a:stretch>
                  </pic:blipFill>
                  <pic:spPr>
                    <a:xfrm>
                      <a:off x="0" y="0"/>
                      <a:ext cx="5486400" cy="299057"/>
                    </a:xfrm>
                    <a:prstGeom prst="rect"/>
                  </pic:spPr>
                </pic:pic>
              </a:graphicData>
            </a:graphic>
          </wp:inline>
        </w:drawing>
      </w:r>
    </w:p>
    <w:p>
      <w:pPr>
        <w:spacing w:line="240" w:lineRule="auto" w:after="240"/>
        <w:jc w:val="center"/>
      </w:pPr>
      <w:r>
        <w:rPr>
          <w:rFonts w:ascii="Times New Roman" w:hAnsi="Times New Roman" w:eastAsia="Times New Roman"/>
          <w:i/>
          <w:sz w:val="20"/>
        </w:rPr>
        <w:t>Figure 21: Schedule management. Each schedule stores its own time zone, so it stays correct across daylight-saving changes.</w:t>
      </w:r>
    </w:p>
    <w:p>
      <w:r>
        <w:br w:type="page"/>
      </w:r>
    </w:p>
    <w:p>
      <w:pPr>
        <w:pStyle w:val="Heading1"/>
        <w:spacing w:line="480" w:lineRule="auto" w:after="120" w:before="240"/>
      </w:pPr>
      <w:r>
        <w:rPr>
          <w:rFonts w:ascii="Times New Roman" w:hAnsi="Times New Roman" w:eastAsia="Times New Roman"/>
        </w:rPr>
        <w:t>7. ACCESS CONTROL IN PRACTICE</w:t>
      </w:r>
    </w:p>
    <w:p>
      <w:pPr>
        <w:spacing w:line="480" w:lineRule="auto" w:after="0" w:before="0"/>
        <w:jc w:val="both"/>
      </w:pPr>
      <w:r>
        <w:rPr>
          <w:rFonts w:ascii="Times New Roman" w:hAnsi="Times New Roman" w:eastAsia="Times New Roman"/>
          <w:b w:val="0"/>
          <w:i w:val="0"/>
          <w:sz w:val="24"/>
        </w:rPr>
        <w:t>The clearest demonstration of the security model is to view the same system through different credentials. The interface is not merely hiding buttons: every rule shown here is independently enforced by the hub, and calling the API directly produces the same refusal.</w:t>
      </w:r>
    </w:p>
    <w:p>
      <w:pPr>
        <w:spacing w:line="240" w:lineRule="auto" w:before="120" w:after="40"/>
        <w:jc w:val="center"/>
      </w:pPr>
      <w:r>
        <w:drawing>
          <wp:inline xmlns:a="http://schemas.openxmlformats.org/drawingml/2006/main" xmlns:pic="http://schemas.openxmlformats.org/drawingml/2006/picture">
            <wp:extent cx="5486400" cy="3429000"/>
            <wp:docPr id="22" name="Picture 22"/>
            <wp:cNvGraphicFramePr>
              <a:graphicFrameLocks noChangeAspect="1"/>
            </wp:cNvGraphicFramePr>
            <a:graphic>
              <a:graphicData uri="http://schemas.openxmlformats.org/drawingml/2006/picture">
                <pic:pic>
                  <pic:nvPicPr>
                    <pic:cNvPr id="0" name="shot18_viewer_overview.png"/>
                    <pic:cNvPicPr/>
                  </pic:nvPicPr>
                  <pic:blipFill>
                    <a:blip r:embed="rId30"/>
                    <a:stretch>
                      <a:fillRect/>
                    </a:stretch>
                  </pic:blipFill>
                  <pic:spPr>
                    <a:xfrm>
                      <a:off x="0" y="0"/>
                      <a:ext cx="5486400" cy="3429000"/>
                    </a:xfrm>
                    <a:prstGeom prst="rect"/>
                  </pic:spPr>
                </pic:pic>
              </a:graphicData>
            </a:graphic>
          </wp:inline>
        </w:drawing>
      </w:r>
    </w:p>
    <w:p>
      <w:pPr>
        <w:spacing w:line="240" w:lineRule="auto" w:after="240"/>
        <w:jc w:val="center"/>
      </w:pPr>
      <w:r>
        <w:rPr>
          <w:rFonts w:ascii="Times New Roman" w:hAnsi="Times New Roman" w:eastAsia="Times New Roman"/>
          <w:i/>
          <w:sz w:val="20"/>
        </w:rPr>
        <w:t>Figure 22: The same overview seen by a read-only viewer. The arm controls and acknowledgement actions are absent.</w:t>
      </w:r>
    </w:p>
    <w:p>
      <w:pPr>
        <w:spacing w:line="240" w:lineRule="auto" w:before="120" w:after="40"/>
        <w:jc w:val="center"/>
      </w:pPr>
      <w:r>
        <w:drawing>
          <wp:inline xmlns:a="http://schemas.openxmlformats.org/drawingml/2006/main" xmlns:pic="http://schemas.openxmlformats.org/drawingml/2006/picture">
            <wp:extent cx="5486400" cy="3429000"/>
            <wp:docPr id="23" name="Picture 23"/>
            <wp:cNvGraphicFramePr>
              <a:graphicFrameLocks noChangeAspect="1"/>
            </wp:cNvGraphicFramePr>
            <a:graphic>
              <a:graphicData uri="http://schemas.openxmlformats.org/drawingml/2006/picture">
                <pic:pic>
                  <pic:nvPicPr>
                    <pic:cNvPr id="0" name="shot19_viewer_settings.png"/>
                    <pic:cNvPicPr/>
                  </pic:nvPicPr>
                  <pic:blipFill>
                    <a:blip r:embed="rId31"/>
                    <a:stretch>
                      <a:fillRect/>
                    </a:stretch>
                  </pic:blipFill>
                  <pic:spPr>
                    <a:xfrm>
                      <a:off x="0" y="0"/>
                      <a:ext cx="5486400" cy="3429000"/>
                    </a:xfrm>
                    <a:prstGeom prst="rect"/>
                  </pic:spPr>
                </pic:pic>
              </a:graphicData>
            </a:graphic>
          </wp:inline>
        </w:drawing>
      </w:r>
    </w:p>
    <w:p>
      <w:pPr>
        <w:spacing w:line="240" w:lineRule="auto" w:after="240"/>
        <w:jc w:val="center"/>
      </w:pPr>
      <w:r>
        <w:rPr>
          <w:rFonts w:ascii="Times New Roman" w:hAnsi="Times New Roman" w:eastAsia="Times New Roman"/>
          <w:i/>
          <w:sz w:val="20"/>
        </w:rPr>
        <w:t>Figure 23: Settings as a viewer. The audit trail is described but withheld, rather than hidden entirely — an operator who cannot find it should not conclude the system has none.</w:t>
      </w:r>
    </w:p>
    <w:p>
      <w:pPr>
        <w:spacing w:line="240" w:lineRule="auto" w:before="120" w:after="40"/>
        <w:jc w:val="center"/>
      </w:pPr>
      <w:r>
        <w:drawing>
          <wp:inline xmlns:a="http://schemas.openxmlformats.org/drawingml/2006/main" xmlns:pic="http://schemas.openxmlformats.org/drawingml/2006/picture">
            <wp:extent cx="5486400" cy="3429000"/>
            <wp:docPr id="24" name="Picture 24"/>
            <wp:cNvGraphicFramePr>
              <a:graphicFrameLocks noChangeAspect="1"/>
            </wp:cNvGraphicFramePr>
            <a:graphic>
              <a:graphicData uri="http://schemas.openxmlformats.org/drawingml/2006/picture">
                <pic:pic>
                  <pic:nvPicPr>
                    <pic:cNvPr id="0" name="shot15_settings_admin.png"/>
                    <pic:cNvPicPr/>
                  </pic:nvPicPr>
                  <pic:blipFill>
                    <a:blip r:embed="rId32"/>
                    <a:stretch>
                      <a:fillRect/>
                    </a:stretch>
                  </pic:blipFill>
                  <pic:spPr>
                    <a:xfrm>
                      <a:off x="0" y="0"/>
                      <a:ext cx="5486400" cy="3429000"/>
                    </a:xfrm>
                    <a:prstGeom prst="rect"/>
                  </pic:spPr>
                </pic:pic>
              </a:graphicData>
            </a:graphic>
          </wp:inline>
        </w:drawing>
      </w:r>
    </w:p>
    <w:p>
      <w:pPr>
        <w:spacing w:line="240" w:lineRule="auto" w:after="240"/>
        <w:jc w:val="center"/>
      </w:pPr>
      <w:r>
        <w:rPr>
          <w:rFonts w:ascii="Times New Roman" w:hAnsi="Times New Roman" w:eastAsia="Times New Roman"/>
          <w:i/>
          <w:sz w:val="20"/>
        </w:rPr>
        <w:t>Figure 24: Settings as an administrator, with the audit trail available.</w:t>
      </w:r>
    </w:p>
    <w:p>
      <w:pPr>
        <w:spacing w:line="240" w:lineRule="auto" w:before="120" w:after="40"/>
        <w:jc w:val="center"/>
      </w:pPr>
      <w:r>
        <w:drawing>
          <wp:inline xmlns:a="http://schemas.openxmlformats.org/drawingml/2006/main" xmlns:pic="http://schemas.openxmlformats.org/drawingml/2006/picture">
            <wp:extent cx="5486400" cy="3429000"/>
            <wp:docPr id="25" name="Picture 25"/>
            <wp:cNvGraphicFramePr>
              <a:graphicFrameLocks noChangeAspect="1"/>
            </wp:cNvGraphicFramePr>
            <a:graphic>
              <a:graphicData uri="http://schemas.openxmlformats.org/drawingml/2006/picture">
                <pic:pic>
                  <pic:nvPicPr>
                    <pic:cNvPr id="0" name="shot17_cameras_admin.png"/>
                    <pic:cNvPicPr/>
                  </pic:nvPicPr>
                  <pic:blipFill>
                    <a:blip r:embed="rId33"/>
                    <a:stretch>
                      <a:fillRect/>
                    </a:stretch>
                  </pic:blipFill>
                  <pic:spPr>
                    <a:xfrm>
                      <a:off x="0" y="0"/>
                      <a:ext cx="5486400" cy="3429000"/>
                    </a:xfrm>
                    <a:prstGeom prst="rect"/>
                  </pic:spPr>
                </pic:pic>
              </a:graphicData>
            </a:graphic>
          </wp:inline>
        </w:drawing>
      </w:r>
    </w:p>
    <w:p>
      <w:pPr>
        <w:spacing w:line="240" w:lineRule="auto" w:after="240"/>
        <w:jc w:val="center"/>
      </w:pPr>
      <w:r>
        <w:rPr>
          <w:rFonts w:ascii="Times New Roman" w:hAnsi="Times New Roman" w:eastAsia="Times New Roman"/>
          <w:i/>
          <w:sz w:val="20"/>
        </w:rPr>
        <w:t>Figure 25: Camera management. Provisioning a browser camera is an administrator action, because it mints a credential capable of publishing video.</w:t>
      </w:r>
    </w:p>
    <w:p>
      <w:r>
        <w:br w:type="page"/>
      </w:r>
    </w:p>
    <w:p>
      <w:pPr>
        <w:pStyle w:val="Heading1"/>
        <w:spacing w:line="480" w:lineRule="auto" w:after="120" w:before="240"/>
      </w:pPr>
      <w:r>
        <w:rPr>
          <w:rFonts w:ascii="Times New Roman" w:hAnsi="Times New Roman" w:eastAsia="Times New Roman"/>
        </w:rPr>
        <w:t>8. TESTING AND VERIFICATION</w:t>
      </w:r>
    </w:p>
    <w:p>
      <w:pPr>
        <w:spacing w:line="480" w:lineRule="auto" w:after="0" w:before="0"/>
        <w:jc w:val="both"/>
      </w:pPr>
      <w:r>
        <w:rPr>
          <w:rFonts w:ascii="Times New Roman" w:hAnsi="Times New Roman" w:eastAsia="Times New Roman"/>
          <w:b w:val="0"/>
          <w:i w:val="0"/>
          <w:sz w:val="24"/>
        </w:rPr>
        <w:t>The system carries 355 hub tests, 136 dashboard tests and 90 agent tests, all passing. Unit tests alone were not treated as sufficient: they mock the database, so they prove that the code issues the right instructions but not that PostgreSQL accepts them.</w:t>
      </w:r>
    </w:p>
    <w:p>
      <w:pPr>
        <w:spacing w:line="480" w:lineRule="auto" w:after="0" w:before="0"/>
        <w:jc w:val="both"/>
      </w:pPr>
      <w:r>
        <w:rPr>
          <w:rFonts w:ascii="Times New Roman" w:hAnsi="Times New Roman" w:eastAsia="Times New Roman"/>
          <w:b w:val="0"/>
          <w:i w:val="0"/>
          <w:sz w:val="24"/>
        </w:rPr>
        <w:t>Four verification scripts therefore exercise the real service against the real database and the real HTTP surface. They confirm, among other things, that an unacknowledged alert survives retention at any age; that a refused disarm is recorded with its reason; that a schedule fires exactly once and is held during an open incident; and that a browser-published camera cannot be named to impersonate hardware.</w:t>
      </w:r>
    </w:p>
    <w:p>
      <w:pPr>
        <w:spacing w:line="480" w:lineRule="auto" w:after="0" w:before="0"/>
        <w:jc w:val="both"/>
      </w:pPr>
      <w:r>
        <w:rPr>
          <w:rFonts w:ascii="Times New Roman" w:hAnsi="Times New Roman" w:eastAsia="Times New Roman"/>
          <w:b w:val="0"/>
          <w:i w:val="0"/>
          <w:sz w:val="24"/>
        </w:rPr>
        <w:t>This approach found defects that unit tests could not. One example: the scheduled arming feature passed all of its unit tests while being completely inert, because the database query used to claim a schedule excluded rows whose value was null — which is every schedule that has never fired. In SQL, a comparison against null is not true, and a mocked database cannot reproduce that. Only running it against PostgreSQL revealed that no schedule would ever have fired.</w:t>
      </w:r>
    </w:p>
    <w:p>
      <w:pPr>
        <w:pStyle w:val="Heading2"/>
        <w:spacing w:line="480" w:lineRule="auto" w:after="120" w:before="240"/>
      </w:pPr>
      <w:r>
        <w:rPr>
          <w:rFonts w:ascii="Times New Roman" w:hAnsi="Times New Roman" w:eastAsia="Times New Roman"/>
        </w:rPr>
        <w:t>8.1 Known Limitations</w:t>
      </w:r>
    </w:p>
    <w:p>
      <w:pPr>
        <w:spacing w:line="480" w:lineRule="auto" w:after="0" w:before="0"/>
        <w:jc w:val="both"/>
      </w:pPr>
      <w:r>
        <w:rPr>
          <w:rFonts w:ascii="Times New Roman" w:hAnsi="Times New Roman" w:eastAsia="Times New Roman"/>
          <w:b w:val="0"/>
          <w:i w:val="0"/>
          <w:sz w:val="24"/>
        </w:rPr>
        <w:t>Stated plainly, because a report that omits them is less useful:</w:t>
      </w:r>
    </w:p>
    <w:p>
      <w:pPr>
        <w:pStyle w:val="ListBullet"/>
        <w:spacing w:line="480" w:lineRule="auto" w:after="0" w:before="0"/>
      </w:pPr>
      <w:r>
        <w:rPr>
          <w:rFonts w:ascii="Times New Roman" w:hAnsi="Times New Roman" w:eastAsia="Times New Roman"/>
          <w:sz w:val="24"/>
        </w:rPr>
        <w:t>The GPIO readers for physical PIR and reed sensors on a Raspberry Pi are documented stubs. The camera hardware path is complete and tested; the two sensor hardware paths raise an explicit not-implemented error and require the commented driver calls to be enabled.</w:t>
      </w:r>
    </w:p>
    <w:p>
      <w:pPr>
        <w:pStyle w:val="ListBullet"/>
        <w:spacing w:line="480" w:lineRule="auto" w:after="0" w:before="0"/>
      </w:pPr>
      <w:r>
        <w:rPr>
          <w:rFonts w:ascii="Times New Roman" w:hAnsi="Times New Roman" w:eastAsia="Times New Roman"/>
          <w:sz w:val="24"/>
        </w:rPr>
        <w:t>Credentials are shared per role rather than per person, so the audit trail can attribute an action to a role but not to an individual. A users table is the documented next step.</w:t>
      </w:r>
    </w:p>
    <w:p>
      <w:pPr>
        <w:pStyle w:val="ListBullet"/>
        <w:spacing w:line="480" w:lineRule="auto" w:after="0" w:before="0"/>
      </w:pPr>
      <w:r>
        <w:rPr>
          <w:rFonts w:ascii="Times New Roman" w:hAnsi="Times New Roman" w:eastAsia="Times New Roman"/>
          <w:sz w:val="24"/>
        </w:rPr>
        <w:t>The ESP32 firmware has been written and its logic unit-tested in CPython, but the on-device paths remain unverified pending hardware.</w:t>
      </w:r>
    </w:p>
    <w:p>
      <w:r>
        <w:br w:type="page"/>
      </w:r>
    </w:p>
    <w:p>
      <w:pPr>
        <w:pStyle w:val="Heading1"/>
        <w:spacing w:line="480" w:lineRule="auto" w:after="120" w:before="240"/>
      </w:pPr>
      <w:r>
        <w:rPr>
          <w:rFonts w:ascii="Times New Roman" w:hAnsi="Times New Roman" w:eastAsia="Times New Roman"/>
        </w:rPr>
        <w:t>9. CONCLUSION</w:t>
      </w:r>
    </w:p>
    <w:p>
      <w:pPr>
        <w:spacing w:line="480" w:lineRule="auto" w:after="0" w:before="0"/>
        <w:jc w:val="both"/>
      </w:pPr>
      <w:r>
        <w:rPr>
          <w:rFonts w:ascii="Times New Roman" w:hAnsi="Times New Roman" w:eastAsia="Times New Roman"/>
          <w:b w:val="0"/>
          <w:i w:val="0"/>
          <w:sz w:val="24"/>
        </w:rPr>
        <w:t>The project delivers a working multi-agent security system rather than a prototype of one. Sensor agents report facts; the hub judges them against the current arm state, raises and de-duplicates alerts, notices sensors that have gone silent, records who did what, and presents all of it through an interface that explains its refusals.</w:t>
      </w:r>
    </w:p>
    <w:p>
      <w:pPr>
        <w:spacing w:line="480" w:lineRule="auto" w:after="0" w:before="0"/>
        <w:jc w:val="both"/>
      </w:pPr>
      <w:r>
        <w:rPr>
          <w:rFonts w:ascii="Times New Roman" w:hAnsi="Times New Roman" w:eastAsia="Times New Roman"/>
          <w:b w:val="0"/>
          <w:i w:val="0"/>
          <w:sz w:val="24"/>
        </w:rPr>
        <w:t>The most valuable lessons were not about any single technology. They were that a system should refuse dangerous actions rather than merely discourage them; that silence from a sensor is itself information; that a record is only worth keeping if it is honest about what it can and cannot prove; and that software which passes its tests can still be entirely inert, which is why verification against real infrastructure earned its place.</w:t>
      </w:r>
    </w:p>
    <w:p>
      <w:pPr>
        <w:spacing w:line="480" w:lineRule="auto" w:after="0" w:before="0"/>
        <w:jc w:val="both"/>
      </w:pPr>
      <w:r>
        <w:rPr>
          <w:rFonts w:ascii="Times New Roman" w:hAnsi="Times New Roman" w:eastAsia="Times New Roman"/>
          <w:b w:val="0"/>
          <w:i w:val="0"/>
          <w:sz w:val="24"/>
        </w:rPr>
        <w:t>Future work follows directly from the limitations in Section 8.1: completing the GPIO sensor drivers, introducing per-user credentials so the audit trail can name individuals, and flashing the ESP32 firmware onto hardware so that a complete sensor node costs a few dollars rather than the price of a single-board computer.</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