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583"/>
        <w:gridCol w:w="2466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BE2307" w:rsidR="00BE2307" w:rsidP="00BE2307" w:rsidRDefault="00C40B78">
            <w:pPr>
              <w:rPr>
                <w:rFonts w:ascii="Arial" w:hAnsi="Arial"/>
                <w:b/>
                <w:bCs/>
                <w:rtl/>
              </w:rPr>
            </w:pPr>
            <w:r w:rsidRPr="00BE2307">
              <w:rPr>
                <w:rFonts w:hint="cs" w:ascii="Arial" w:hAnsi="Arial"/>
                <w:b/>
                <w:bCs/>
                <w:rtl/>
              </w:rPr>
              <w:t>ל</w:t>
            </w:r>
            <w:r w:rsidRPr="00BE2307" w:rsidR="00621052">
              <w:rPr>
                <w:rFonts w:ascii="Arial" w:hAnsi="Arial"/>
                <w:b/>
                <w:bCs/>
                <w:rtl/>
              </w:rPr>
              <w:t>פני</w:t>
            </w:r>
            <w:r w:rsidRPr="00BE2307" w:rsidR="00621052">
              <w:rPr>
                <w:rFonts w:hint="cs" w:ascii="Arial" w:hAnsi="Arial"/>
                <w:b/>
                <w:bCs/>
                <w:rtl/>
              </w:rPr>
              <w:t>:</w:t>
            </w:r>
            <w:r w:rsidRPr="00BE2307" w:rsidR="00BE2307">
              <w:rPr>
                <w:rFonts w:hint="cs" w:ascii="Arial" w:hAnsi="Arial"/>
                <w:b/>
                <w:bCs/>
                <w:rtl/>
              </w:rPr>
              <w:t xml:space="preserve"> כב' ה</w:t>
            </w:r>
            <w:sdt>
              <w:sdtPr>
                <w:rPr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 w:rsidRPr="00BE2307" w:rsidR="00BE2307"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Pr="00BE2307" w:rsidR="00BE2307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 w:rsidRPr="00BE2307" w:rsidR="00BE2307">
                  <w:rPr>
                    <w:rFonts w:ascii="Arial" w:hAnsi="Arial"/>
                    <w:b/>
                    <w:bCs/>
                    <w:rtl/>
                  </w:rPr>
                  <w:t>קרן כהן</w:t>
                </w:r>
              </w:sdtContent>
            </w:sdt>
          </w:p>
          <w:p w:rsidRPr="00BE2307" w:rsidR="00BE2307" w:rsidP="00BE2307" w:rsidRDefault="00BE230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</w:t>
            </w:r>
            <w:r w:rsidRPr="00BE2307">
              <w:rPr>
                <w:b/>
                <w:bCs/>
                <w:rtl/>
              </w:rPr>
              <w:t>נציג  ציבור (עובדים) מר</w:t>
            </w:r>
            <w:r>
              <w:rPr>
                <w:rFonts w:hint="cs"/>
                <w:b/>
                <w:bCs/>
                <w:rtl/>
              </w:rPr>
              <w:t xml:space="preserve"> אריה גור</w:t>
            </w:r>
          </w:p>
          <w:p w:rsidRPr="00BE2307" w:rsidR="00BE2307" w:rsidP="00BE2307" w:rsidRDefault="00BE230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</w:t>
            </w:r>
            <w:r w:rsidRPr="00BE2307">
              <w:rPr>
                <w:b/>
                <w:bCs/>
                <w:rtl/>
              </w:rPr>
              <w:t>נציג ציבור (מע</w:t>
            </w:r>
            <w:r w:rsidRPr="00BE2307">
              <w:rPr>
                <w:rFonts w:hint="cs"/>
                <w:b/>
                <w:bCs/>
                <w:rtl/>
              </w:rPr>
              <w:t>סיק</w:t>
            </w:r>
            <w:r w:rsidRPr="00BE2307">
              <w:rPr>
                <w:b/>
                <w:bCs/>
                <w:rtl/>
              </w:rPr>
              <w:t>ים) מר</w:t>
            </w:r>
            <w:r>
              <w:rPr>
                <w:rFonts w:hint="cs"/>
                <w:b/>
                <w:bCs/>
                <w:rtl/>
              </w:rPr>
              <w:t>עמירם אלון</w:t>
            </w:r>
            <w:r w:rsidRPr="00BE2307">
              <w:rPr>
                <w:b/>
                <w:bCs/>
                <w:rtl/>
              </w:rPr>
              <w:t xml:space="preserve"> </w:t>
            </w:r>
          </w:p>
          <w:p w:rsidRPr="00BE2307" w:rsidR="00694556" w:rsidRDefault="00694556">
            <w:pPr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3771" w:type="dxa"/>
          </w:tcPr>
          <w:p w:rsidRPr="00BE2307" w:rsidR="00694556" w:rsidRDefault="00694556">
            <w:pPr>
              <w:jc w:val="right"/>
              <w:rPr>
                <w:rFonts w:ascii="Arial" w:hAnsi="Arial"/>
                <w:b/>
                <w:bCs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3"/>
          </w:tcPr>
          <w:p w:rsidRPr="00BE2307" w:rsidR="00621052" w:rsidP="00BE2307" w:rsidRDefault="00621052">
            <w:pPr>
              <w:rPr>
                <w:b/>
                <w:bCs/>
              </w:rPr>
            </w:pPr>
          </w:p>
        </w:tc>
      </w:tr>
      <w:tr w:rsidRPr="006C54DD" w:rsidR="00694556" w:rsidTr="00BE2307">
        <w:trPr>
          <w:jc w:val="center"/>
        </w:trPr>
        <w:tc>
          <w:tcPr>
            <w:tcW w:w="2583" w:type="dxa"/>
          </w:tcPr>
          <w:p w:rsidRPr="00BE2307" w:rsidR="00694556" w:rsidP="00BE2307" w:rsidRDefault="00621052">
            <w:pPr>
              <w:rPr>
                <w:rFonts w:ascii="Arial" w:hAnsi="Arial"/>
                <w:b/>
                <w:bCs/>
                <w:u w:val="single"/>
                <w:rtl/>
              </w:rPr>
            </w:pPr>
            <w:r w:rsidRPr="00BE2307">
              <w:rPr>
                <w:rFonts w:hint="cs"/>
                <w:b/>
                <w:bCs/>
                <w:u w:val="single"/>
                <w:rtl/>
              </w:rPr>
              <w:t>ה</w:t>
            </w:r>
            <w:sdt>
              <w:sdtPr>
                <w:rPr>
                  <w:b/>
                  <w:bCs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Pr="00BE2307">
                  <w:rPr>
                    <w:rFonts w:ascii="Arial" w:hAnsi="Arial"/>
                    <w:b/>
                    <w:bCs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6237" w:type="dxa"/>
            <w:gridSpan w:val="2"/>
          </w:tcPr>
          <w:p w:rsidRPr="00BE2307" w:rsidR="00621052" w:rsidP="00BE2307" w:rsidRDefault="00970745">
            <w:sdt>
              <w:sdtPr>
                <w:rPr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Pr="00BE2307" w:rsidR="00D82900">
                  <w:rPr>
                    <w:rFonts w:ascii="Arial" w:hAnsi="Arial"/>
                    <w:b/>
                    <w:bCs/>
                    <w:rtl/>
                  </w:rPr>
                  <w:t>אוחנה דניאל</w:t>
                </w:r>
                <w:r w:rsidR="00BE2307">
                  <w:rPr>
                    <w:rFonts w:hint="cs" w:ascii="Arial" w:hAnsi="Arial"/>
                    <w:b/>
                    <w:bCs/>
                    <w:rtl/>
                  </w:rPr>
                  <w:t xml:space="preserve">   ת.ז. 69097855</w:t>
                </w:r>
              </w:sdtContent>
            </w:sdt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3"/>
          </w:tcPr>
          <w:p w:rsidRPr="00BE2307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</w:rPr>
            </w:pPr>
            <w:r w:rsidRPr="00BE2307">
              <w:rPr>
                <w:rFonts w:hint="cs" w:ascii="Arial" w:hAnsi="Arial"/>
                <w:b/>
                <w:bCs/>
                <w:rtl/>
              </w:rPr>
              <w:t>-</w:t>
            </w:r>
          </w:p>
        </w:tc>
      </w:tr>
      <w:tr w:rsidRPr="006C54DD" w:rsidR="00694556" w:rsidTr="00BE2307">
        <w:trPr>
          <w:jc w:val="center"/>
        </w:trPr>
        <w:tc>
          <w:tcPr>
            <w:tcW w:w="2583" w:type="dxa"/>
          </w:tcPr>
          <w:p w:rsidRPr="00BE2307" w:rsidR="00694556" w:rsidP="00BE2307" w:rsidRDefault="00621052">
            <w:pPr>
              <w:rPr>
                <w:rFonts w:ascii="Arial" w:hAnsi="Arial"/>
                <w:b/>
                <w:bCs/>
                <w:u w:val="single"/>
              </w:rPr>
            </w:pPr>
            <w:r w:rsidRPr="00BE2307">
              <w:rPr>
                <w:rFonts w:hint="cs"/>
                <w:b/>
                <w:bCs/>
                <w:u w:val="single"/>
                <w:rtl/>
              </w:rPr>
              <w:t>ה</w:t>
            </w:r>
            <w:sdt>
              <w:sdtPr>
                <w:rPr>
                  <w:b/>
                  <w:bCs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Pr="00BE2307">
                  <w:rPr>
                    <w:rFonts w:ascii="Arial" w:hAnsi="Arial"/>
                    <w:b/>
                    <w:bCs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6237" w:type="dxa"/>
            <w:gridSpan w:val="2"/>
          </w:tcPr>
          <w:p w:rsidRPr="00BE2307" w:rsidR="00694556" w:rsidP="00BE2307" w:rsidRDefault="00970745">
            <w:pPr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Pr="00BE2307" w:rsidR="00D82900">
                  <w:rPr>
                    <w:rFonts w:ascii="Arial" w:hAnsi="Arial"/>
                    <w:b/>
                    <w:bCs/>
                    <w:rtl/>
                  </w:rPr>
                  <w:t>המוסד לביטוח לאומי</w:t>
                </w:r>
              </w:sdtContent>
            </w:sdt>
          </w:p>
          <w:p w:rsidRPr="00BE2307" w:rsidR="00621052" w:rsidP="00BE2307" w:rsidRDefault="00621052">
            <w:pPr>
              <w:rPr>
                <w:b/>
                <w:bCs/>
                <w:rtl/>
              </w:rPr>
            </w:pPr>
            <w:r w:rsidRPr="00BE2307">
              <w:rPr>
                <w:rFonts w:hint="cs"/>
                <w:b/>
                <w:bCs/>
                <w:rtl/>
              </w:rPr>
              <w:t>ע"י ב"כ עו"ד</w:t>
            </w:r>
            <w:r w:rsidR="00BE2307">
              <w:rPr>
                <w:rFonts w:hint="cs"/>
                <w:b/>
                <w:bCs/>
                <w:rtl/>
              </w:rPr>
              <w:t xml:space="preserve"> מרב אבירם</w:t>
            </w:r>
          </w:p>
        </w:tc>
      </w:tr>
    </w:tbl>
    <w:p w:rsidRPr="006C54DD" w:rsidR="00694556" w:rsidRDefault="00694556">
      <w:pPr>
        <w:rPr>
          <w:sz w:val="28"/>
          <w:szCs w:val="28"/>
        </w:rPr>
      </w:pPr>
    </w:p>
    <w:p w:rsidRPr="006C54DD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BE2307" w:rsidP="00BE2307" w:rsidRDefault="00BE2307">
      <w:pPr>
        <w:jc w:val="both"/>
      </w:pPr>
    </w:p>
    <w:p w:rsidR="00BE2307" w:rsidP="00BE2307" w:rsidRDefault="00BE230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הנתבע דחה את תביעת התובע לתשלום דמי אבטלה מן הטעם שלא צבר את תקופת האכשרה הנדרשת בהתאם להוראות חוק הביטוח הלאומי [נוסח משולב], התשנ"ה-1995 (להלן: </w:t>
      </w:r>
      <w:r>
        <w:rPr>
          <w:rFonts w:hint="cs"/>
          <w:b/>
          <w:bCs/>
          <w:rtl/>
        </w:rPr>
        <w:t>החוק</w:t>
      </w:r>
      <w:r>
        <w:rPr>
          <w:rFonts w:hint="cs"/>
          <w:rtl/>
        </w:rPr>
        <w:t xml:space="preserve">). </w:t>
      </w:r>
    </w:p>
    <w:p w:rsidR="00BE2307" w:rsidP="00BE2307" w:rsidRDefault="00BE2307">
      <w:pPr>
        <w:spacing w:line="360" w:lineRule="auto"/>
        <w:jc w:val="both"/>
        <w:rPr>
          <w:rtl/>
        </w:rPr>
      </w:pPr>
      <w:r>
        <w:rPr>
          <w:rFonts w:hint="cs"/>
          <w:rtl/>
        </w:rPr>
        <w:t>האם התובע הוכיח כי צבר את תקופת האכשרה הנדרשת לצורך קבלת דמי אבטלה? זו השאלה הדרושה הכרעה במסגרת פסק הדין.</w:t>
      </w:r>
    </w:p>
    <w:p w:rsidRPr="00BE2307" w:rsidR="00BE2307" w:rsidP="00BE2307" w:rsidRDefault="00BE2307">
      <w:pPr>
        <w:ind w:right="360"/>
        <w:jc w:val="both"/>
        <w:rPr>
          <w:sz w:val="16"/>
          <w:szCs w:val="16"/>
          <w:rtl/>
        </w:rPr>
      </w:pPr>
    </w:p>
    <w:p w:rsidR="00BE2307" w:rsidP="00BE2307" w:rsidRDefault="00BE2307">
      <w:pPr>
        <w:spacing w:line="360" w:lineRule="auto"/>
        <w:ind w:right="36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העובדות</w:t>
      </w:r>
    </w:p>
    <w:p w:rsidR="00BE2307" w:rsidP="00BE2307" w:rsidRDefault="00BE2307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b/>
          <w:bCs/>
          <w:rtl/>
        </w:rPr>
        <w:t>ביום 2.5.2016</w:t>
      </w:r>
      <w:r>
        <w:rPr>
          <w:rFonts w:hint="cs"/>
          <w:rtl/>
        </w:rPr>
        <w:t xml:space="preserve"> הגיש התובע לנתבע תביעה לתשלום דמי אבטלה (להלן: </w:t>
      </w:r>
      <w:r>
        <w:rPr>
          <w:rFonts w:hint="cs"/>
          <w:b/>
          <w:bCs/>
          <w:rtl/>
        </w:rPr>
        <w:t>טופס התביעה</w:t>
      </w:r>
      <w:r>
        <w:rPr>
          <w:rFonts w:hint="cs"/>
          <w:rtl/>
        </w:rPr>
        <w:t>). בטופס התביעה ביקש התובע דמי אבטלה מחודש 3/2016, המועד שבו התייצב בלשכת שירות התעסוקה</w:t>
      </w:r>
      <w:r>
        <w:rPr>
          <w:rStyle w:val="af3"/>
          <w:rtl/>
        </w:rPr>
        <w:footnoteReference w:id="1"/>
      </w:r>
      <w:r>
        <w:rPr>
          <w:rFonts w:hint="cs"/>
          <w:rtl/>
        </w:rPr>
        <w:t>.</w:t>
      </w:r>
    </w:p>
    <w:p w:rsidRPr="00BE2307" w:rsidR="00BE2307" w:rsidP="00BE2307" w:rsidRDefault="00BE2307">
      <w:pPr>
        <w:ind w:left="360" w:right="360"/>
        <w:jc w:val="both"/>
        <w:rPr>
          <w:sz w:val="16"/>
          <w:szCs w:val="16"/>
        </w:rPr>
      </w:pPr>
    </w:p>
    <w:p w:rsidR="00BE2307" w:rsidP="00BE2307" w:rsidRDefault="00BE2307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>מהמסמכים שצורפו לטופס התביעה ושהוגשו לבית הדין ביום 14.3.2018 עולה כי התובע עבד בחודשים שיפורטו להלן:</w:t>
      </w:r>
    </w:p>
    <w:p w:rsidR="00BE2307" w:rsidP="00BE2307" w:rsidRDefault="00BE2307">
      <w:pPr>
        <w:numPr>
          <w:ilvl w:val="1"/>
          <w:numId w:val="1"/>
        </w:numPr>
        <w:spacing w:line="360" w:lineRule="auto"/>
        <w:jc w:val="both"/>
      </w:pPr>
      <w:r>
        <w:rPr>
          <w:rFonts w:hint="cs"/>
          <w:u w:val="single"/>
          <w:rtl/>
        </w:rPr>
        <w:t>בחודש 9/2014</w:t>
      </w:r>
      <w:r>
        <w:rPr>
          <w:rFonts w:hint="cs"/>
          <w:rtl/>
        </w:rPr>
        <w:t xml:space="preserve"> עבד ב"מלון עדן בע"מ".</w:t>
      </w:r>
    </w:p>
    <w:p w:rsidR="00BE2307" w:rsidP="00BE2307" w:rsidRDefault="00BE2307">
      <w:pPr>
        <w:numPr>
          <w:ilvl w:val="1"/>
          <w:numId w:val="1"/>
        </w:numPr>
        <w:spacing w:line="360" w:lineRule="auto"/>
        <w:jc w:val="both"/>
      </w:pPr>
      <w:r>
        <w:rPr>
          <w:rFonts w:hint="cs"/>
          <w:u w:val="single"/>
          <w:rtl/>
        </w:rPr>
        <w:t>בחודש 10/2014</w:t>
      </w:r>
      <w:r>
        <w:rPr>
          <w:rFonts w:hint="cs"/>
          <w:rtl/>
        </w:rPr>
        <w:t xml:space="preserve"> עבד ב"טבע יחיעם ושות'". </w:t>
      </w:r>
    </w:p>
    <w:p w:rsidR="00BE2307" w:rsidP="00BE2307" w:rsidRDefault="00BE2307">
      <w:pPr>
        <w:numPr>
          <w:ilvl w:val="1"/>
          <w:numId w:val="1"/>
        </w:numPr>
        <w:spacing w:line="360" w:lineRule="auto"/>
        <w:jc w:val="both"/>
      </w:pPr>
      <w:r>
        <w:rPr>
          <w:rFonts w:hint="cs"/>
          <w:u w:val="single"/>
          <w:rtl/>
        </w:rPr>
        <w:t>מחודש 6/2015 ועד לחודש 1/2016</w:t>
      </w:r>
      <w:r>
        <w:rPr>
          <w:rFonts w:hint="cs"/>
          <w:rtl/>
        </w:rPr>
        <w:t xml:space="preserve"> עבד פעם נוספת ב"טבע ביחיעם ושות'". התובע חזר לעבוד בטבע יחיעם ביום 4.6.2015 וסיים לעבוד בחודש 1/2016, שבו עבד 4.5 שעות. </w:t>
      </w:r>
    </w:p>
    <w:p w:rsidR="00BE2307" w:rsidP="00BE2307" w:rsidRDefault="00BE2307">
      <w:pPr>
        <w:numPr>
          <w:ilvl w:val="1"/>
          <w:numId w:val="1"/>
        </w:numPr>
        <w:spacing w:line="360" w:lineRule="auto"/>
        <w:jc w:val="both"/>
      </w:pPr>
      <w:r>
        <w:rPr>
          <w:rFonts w:hint="cs"/>
          <w:u w:val="single"/>
          <w:rtl/>
        </w:rPr>
        <w:t>מחודש 1/2016 ועד לחודש 3/2016</w:t>
      </w:r>
      <w:r>
        <w:rPr>
          <w:rFonts w:hint="cs"/>
          <w:rtl/>
        </w:rPr>
        <w:t xml:space="preserve"> עבד ב"מיליאות אגודה שיתופית חדשה". התובע התחיל לעבוד במיליאות ביום 24.1.2016 וסיים לעבוד בחודש 3/2016, שבו עבד 6 ימים בלבד. </w:t>
      </w:r>
    </w:p>
    <w:p w:rsidRPr="00BE2307" w:rsidR="00BE2307" w:rsidP="00BE2307" w:rsidRDefault="00BE2307">
      <w:pPr>
        <w:pStyle w:val="af1"/>
        <w:rPr>
          <w:sz w:val="16"/>
          <w:szCs w:val="16"/>
        </w:rPr>
      </w:pPr>
    </w:p>
    <w:p w:rsidR="00BE2307" w:rsidP="00BE2307" w:rsidRDefault="00BE2307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b/>
          <w:bCs/>
          <w:rtl/>
        </w:rPr>
        <w:t>ביום 7.7.2016</w:t>
      </w:r>
      <w:r>
        <w:rPr>
          <w:rFonts w:hint="cs"/>
          <w:rtl/>
        </w:rPr>
        <w:t xml:space="preserve"> דחה הנתבע את תביעתו של התובע מן הטעם </w:t>
      </w:r>
      <w:r>
        <w:rPr>
          <w:rFonts w:hint="cs"/>
          <w:b/>
          <w:bCs/>
          <w:i/>
          <w:iCs/>
          <w:sz w:val="22"/>
          <w:szCs w:val="22"/>
          <w:rtl/>
        </w:rPr>
        <w:t>"שלא צברת את תקופת העבודה הנדרשת בתקופת הזכאות המזכה בדמי אבטלה. צברת 10 מתוך 12 חודשי עבודה בשנה וחצי שקדמו לתאריך תחילת התייצבותך בלשכת התעסוקה"</w:t>
      </w:r>
      <w:r>
        <w:rPr>
          <w:rFonts w:hint="cs"/>
          <w:rtl/>
        </w:rPr>
        <w:t>.</w:t>
      </w:r>
    </w:p>
    <w:p w:rsidRPr="00BE2307" w:rsidR="00BE2307" w:rsidP="00BE2307" w:rsidRDefault="00BE2307">
      <w:pPr>
        <w:ind w:right="360"/>
        <w:jc w:val="both"/>
        <w:rPr>
          <w:sz w:val="16"/>
          <w:szCs w:val="16"/>
        </w:rPr>
      </w:pPr>
    </w:p>
    <w:p w:rsidR="00BE2307" w:rsidP="00BE2307" w:rsidRDefault="00BE2307">
      <w:pPr>
        <w:spacing w:line="360" w:lineRule="auto"/>
        <w:ind w:right="36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ההליכים המשפטיים</w:t>
      </w:r>
    </w:p>
    <w:p w:rsidR="00BE2307" w:rsidP="00BE2307" w:rsidRDefault="00BE2307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b/>
          <w:bCs/>
          <w:rtl/>
        </w:rPr>
        <w:t xml:space="preserve">בחודש 8/2016 </w:t>
      </w:r>
      <w:r>
        <w:rPr>
          <w:rFonts w:hint="cs"/>
          <w:rtl/>
        </w:rPr>
        <w:t>התובע הגיש תביעה נגד הנתבע</w:t>
      </w:r>
      <w:r>
        <w:rPr>
          <w:rStyle w:val="af3"/>
          <w:rtl/>
        </w:rPr>
        <w:footnoteReference w:id="2"/>
      </w:r>
      <w:r>
        <w:rPr>
          <w:rFonts w:hint="cs"/>
          <w:rtl/>
        </w:rPr>
        <w:t xml:space="preserve">. </w:t>
      </w:r>
    </w:p>
    <w:p w:rsidR="00BE2307" w:rsidP="00BE2307" w:rsidRDefault="00BE2307">
      <w:pPr>
        <w:spacing w:line="360" w:lineRule="auto"/>
        <w:ind w:left="360"/>
        <w:jc w:val="both"/>
      </w:pPr>
      <w:r>
        <w:rPr>
          <w:rFonts w:hint="cs"/>
          <w:rtl/>
        </w:rPr>
        <w:lastRenderedPageBreak/>
        <w:t xml:space="preserve">התביעה נמחקה </w:t>
      </w:r>
      <w:r>
        <w:rPr>
          <w:rFonts w:hint="cs"/>
          <w:b/>
          <w:bCs/>
          <w:rtl/>
        </w:rPr>
        <w:t xml:space="preserve">ביום 9.5.2017 </w:t>
      </w:r>
      <w:r>
        <w:rPr>
          <w:rFonts w:hint="cs"/>
          <w:rtl/>
        </w:rPr>
        <w:t>מכיוון שהתובע לא התייצב לדיון אליו הוזמן כדין</w:t>
      </w:r>
      <w:r>
        <w:rPr>
          <w:rStyle w:val="af3"/>
          <w:rtl/>
        </w:rPr>
        <w:footnoteReference w:id="3"/>
      </w:r>
      <w:r>
        <w:rPr>
          <w:rFonts w:hint="cs"/>
          <w:rtl/>
        </w:rPr>
        <w:t>.</w:t>
      </w:r>
    </w:p>
    <w:p w:rsidRPr="00BE2307" w:rsidR="00BE2307" w:rsidP="00BE2307" w:rsidRDefault="00BE2307">
      <w:pPr>
        <w:pStyle w:val="af1"/>
        <w:rPr>
          <w:sz w:val="16"/>
          <w:szCs w:val="16"/>
        </w:rPr>
      </w:pPr>
    </w:p>
    <w:p w:rsidR="00BE2307" w:rsidP="00BE2307" w:rsidRDefault="00BE2307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ביום 19.12.2017</w:t>
      </w:r>
      <w:r>
        <w:rPr>
          <w:rFonts w:hint="cs"/>
          <w:rtl/>
        </w:rPr>
        <w:t xml:space="preserve"> הגיש התובע את התביעה הנוכחית נגד הנתבע.</w:t>
      </w:r>
    </w:p>
    <w:p w:rsidRPr="00BE2307" w:rsidR="00BE2307" w:rsidP="00BE2307" w:rsidRDefault="00BE2307">
      <w:pPr>
        <w:pStyle w:val="af1"/>
        <w:rPr>
          <w:sz w:val="16"/>
          <w:szCs w:val="16"/>
        </w:rPr>
      </w:pPr>
    </w:p>
    <w:p w:rsidR="00BE2307" w:rsidP="00ED431F" w:rsidRDefault="00BE2307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b/>
          <w:bCs/>
          <w:rtl/>
        </w:rPr>
        <w:t>ביום 14.2.2018</w:t>
      </w:r>
      <w:r>
        <w:rPr>
          <w:rFonts w:hint="cs"/>
          <w:rtl/>
        </w:rPr>
        <w:t xml:space="preserve"> התקיים דיון בהליך. בדיון טען התובע את טענותיו בנוגע לזכאותו לתשלום דמי אבטלה וביקש שהות של 30 ימים על מנת להגיש מסמכים נוספים שיצביעו על תקופות עבודה נוספות. התובע </w:t>
      </w:r>
      <w:r w:rsidR="00ED431F">
        <w:rPr>
          <w:rFonts w:hint="cs"/>
          <w:rtl/>
        </w:rPr>
        <w:t xml:space="preserve">הודיע </w:t>
      </w:r>
      <w:r>
        <w:rPr>
          <w:rFonts w:hint="cs"/>
          <w:rtl/>
        </w:rPr>
        <w:t xml:space="preserve">שאם לא יגיש מסמכים נוספים, </w:t>
      </w:r>
      <w:r w:rsidR="00ED431F">
        <w:rPr>
          <w:rFonts w:hint="cs"/>
          <w:rtl/>
        </w:rPr>
        <w:t>אין לו התנגדות ש</w:t>
      </w:r>
      <w:r>
        <w:rPr>
          <w:rFonts w:hint="cs"/>
          <w:rtl/>
        </w:rPr>
        <w:t>יינתן פסק דין בתיק.</w:t>
      </w:r>
    </w:p>
    <w:p w:rsidRPr="00BE2307" w:rsidR="00BE2307" w:rsidP="00BE2307" w:rsidRDefault="00BE2307">
      <w:pPr>
        <w:pStyle w:val="af1"/>
        <w:rPr>
          <w:sz w:val="16"/>
          <w:szCs w:val="16"/>
        </w:rPr>
      </w:pPr>
    </w:p>
    <w:p w:rsidR="00BE2307" w:rsidP="00ED431F" w:rsidRDefault="00ED431F">
      <w:pPr>
        <w:spacing w:line="360" w:lineRule="auto"/>
        <w:ind w:left="360"/>
        <w:jc w:val="both"/>
        <w:rPr>
          <w:rtl/>
        </w:rPr>
      </w:pPr>
      <w:r>
        <w:rPr>
          <w:rFonts w:hint="cs"/>
          <w:rtl/>
        </w:rPr>
        <w:t>בקשת התובע התקבלה</w:t>
      </w:r>
      <w:r w:rsidR="00BE2307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BE2307">
        <w:rPr>
          <w:rFonts w:hint="cs"/>
          <w:rtl/>
        </w:rPr>
        <w:t xml:space="preserve">ניתנה החלטה ולפיה </w:t>
      </w:r>
      <w:r>
        <w:rPr>
          <w:rFonts w:hint="cs"/>
          <w:rtl/>
        </w:rPr>
        <w:t xml:space="preserve">הוא רשאי </w:t>
      </w:r>
      <w:r w:rsidR="00BE2307">
        <w:rPr>
          <w:rFonts w:hint="cs"/>
          <w:rtl/>
        </w:rPr>
        <w:t>להגיש מסמכים המצביעים על זכאותו לדמי אבטלה ועל ביצוע עבודה במהלך 18 החודשים שקדמו למועד הגשת התביעה לדמי אבטלה.</w:t>
      </w:r>
    </w:p>
    <w:p w:rsidRPr="00BE2307" w:rsidR="00BE2307" w:rsidP="00BE2307" w:rsidRDefault="00BE2307">
      <w:pPr>
        <w:pStyle w:val="af1"/>
        <w:rPr>
          <w:sz w:val="18"/>
          <w:szCs w:val="18"/>
        </w:rPr>
      </w:pPr>
    </w:p>
    <w:p w:rsidR="00BE2307" w:rsidP="00ED431F" w:rsidRDefault="00BE2307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b/>
          <w:bCs/>
          <w:rtl/>
        </w:rPr>
        <w:t xml:space="preserve">ביום 14.3.2018 </w:t>
      </w:r>
      <w:r>
        <w:rPr>
          <w:rFonts w:hint="cs"/>
          <w:rtl/>
        </w:rPr>
        <w:t>הגיש התובע מסמך של הנתבע המפר</w:t>
      </w:r>
      <w:r w:rsidR="00ED431F">
        <w:rPr>
          <w:rFonts w:hint="cs"/>
          <w:rtl/>
        </w:rPr>
        <w:t>ט את תקופות עבודתו. התובע טען ש</w:t>
      </w:r>
      <w:r>
        <w:rPr>
          <w:rFonts w:hint="cs"/>
          <w:rtl/>
        </w:rPr>
        <w:t>המס</w:t>
      </w:r>
      <w:r w:rsidR="00ED431F">
        <w:rPr>
          <w:rFonts w:hint="cs"/>
          <w:rtl/>
        </w:rPr>
        <w:t>מ</w:t>
      </w:r>
      <w:r>
        <w:rPr>
          <w:rFonts w:hint="cs"/>
          <w:rtl/>
        </w:rPr>
        <w:t xml:space="preserve">ך </w:t>
      </w:r>
      <w:r w:rsidR="00ED431F">
        <w:rPr>
          <w:rFonts w:hint="cs"/>
          <w:rtl/>
        </w:rPr>
        <w:t xml:space="preserve">מצביע על כך </w:t>
      </w:r>
      <w:r>
        <w:rPr>
          <w:rFonts w:hint="cs"/>
          <w:rtl/>
        </w:rPr>
        <w:t>שעבד 13 חודשים מחודש 9/2014 ועד ליום 31.3.2016 ולכן הוא זכאי לתשלום דמי אבטלה.</w:t>
      </w:r>
    </w:p>
    <w:p w:rsidRPr="00ED431F" w:rsidR="00ED431F" w:rsidP="00ED431F" w:rsidRDefault="00ED431F">
      <w:pPr>
        <w:ind w:left="360"/>
        <w:jc w:val="both"/>
        <w:rPr>
          <w:sz w:val="16"/>
          <w:szCs w:val="16"/>
        </w:rPr>
      </w:pPr>
    </w:p>
    <w:p w:rsidR="00ED431F" w:rsidP="00ED431F" w:rsidRDefault="00ED431F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המסמכים הועברו לתגובת הנתבע. </w:t>
      </w:r>
      <w:r w:rsidRPr="00ED431F">
        <w:rPr>
          <w:rFonts w:hint="cs"/>
          <w:b/>
          <w:bCs/>
          <w:rtl/>
        </w:rPr>
        <w:t>ביום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21.3.2018</w:t>
      </w:r>
      <w:r>
        <w:rPr>
          <w:rFonts w:hint="cs"/>
          <w:rtl/>
        </w:rPr>
        <w:t xml:space="preserve"> שב הנתבע על טענתו ולפיה התובע לא צבר את תקופת האכשרה הקבועה בחוק.</w:t>
      </w:r>
    </w:p>
    <w:p w:rsidRPr="00ED431F" w:rsidR="00BE2307" w:rsidP="00ED431F" w:rsidRDefault="00BE2307">
      <w:pPr>
        <w:ind w:right="360"/>
        <w:jc w:val="both"/>
        <w:rPr>
          <w:b/>
          <w:bCs/>
          <w:sz w:val="16"/>
          <w:szCs w:val="16"/>
        </w:rPr>
      </w:pPr>
    </w:p>
    <w:p w:rsidR="00BE2307" w:rsidP="00BE2307" w:rsidRDefault="00BE2307">
      <w:pPr>
        <w:spacing w:line="360" w:lineRule="auto"/>
        <w:ind w:right="360"/>
        <w:jc w:val="center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>דיון והכרעה</w:t>
      </w:r>
    </w:p>
    <w:p w:rsidR="00BE2307" w:rsidP="00BE2307" w:rsidRDefault="00BE2307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>כ</w:t>
      </w:r>
      <w:r w:rsidR="00ED431F">
        <w:rPr>
          <w:rFonts w:hint="cs"/>
          <w:rtl/>
        </w:rPr>
        <w:t xml:space="preserve">אמור, השאלה השנויה במחלוקת היא </w:t>
      </w:r>
      <w:r>
        <w:rPr>
          <w:rFonts w:hint="cs"/>
          <w:rtl/>
        </w:rPr>
        <w:t>אם התובע צבר את תקופת האכשרה הנדרשת בחוק לצורך קבלת דמי אבטלה. תחילה נפרט את התשתית המשפטית הרלוונטית ולאחר מכן את הכרעתנו.</w:t>
      </w:r>
    </w:p>
    <w:p w:rsidRPr="00ED431F" w:rsidR="00BE2307" w:rsidP="00ED431F" w:rsidRDefault="00BE2307">
      <w:pPr>
        <w:ind w:right="360"/>
        <w:jc w:val="both"/>
        <w:rPr>
          <w:sz w:val="16"/>
          <w:szCs w:val="16"/>
        </w:rPr>
      </w:pPr>
    </w:p>
    <w:p w:rsidR="00BE2307" w:rsidP="00BE2307" w:rsidRDefault="00BE2307">
      <w:pPr>
        <w:spacing w:line="360" w:lineRule="auto"/>
        <w:ind w:right="36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התשתית המשפטית</w:t>
      </w:r>
    </w:p>
    <w:p w:rsidR="00BE2307" w:rsidP="00BE2307" w:rsidRDefault="00BE2307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b/>
          <w:bCs/>
          <w:rtl/>
        </w:rPr>
        <w:t>סעיף 160 (א) לחוק</w:t>
      </w:r>
      <w:r>
        <w:rPr>
          <w:rFonts w:hint="cs"/>
          <w:rtl/>
        </w:rPr>
        <w:t xml:space="preserve"> העוסק </w:t>
      </w:r>
      <w:r>
        <w:rPr>
          <w:rFonts w:hint="cs"/>
          <w:u w:val="single"/>
          <w:rtl/>
        </w:rPr>
        <w:t>בזכאות לדמי אבטלה</w:t>
      </w:r>
      <w:r>
        <w:rPr>
          <w:rFonts w:hint="cs"/>
          <w:rtl/>
        </w:rPr>
        <w:t xml:space="preserve"> קובע כי דמי אבטלה ישולמו למבוטח שצבר את תקופת האכשרה המוגדרת בסעיף 161 לחוק.</w:t>
      </w:r>
    </w:p>
    <w:p w:rsidRPr="00ED431F" w:rsidR="00BE2307" w:rsidP="00ED431F" w:rsidRDefault="00BE2307">
      <w:pPr>
        <w:ind w:left="360" w:right="360"/>
        <w:jc w:val="both"/>
        <w:rPr>
          <w:sz w:val="16"/>
          <w:szCs w:val="16"/>
        </w:rPr>
      </w:pPr>
    </w:p>
    <w:p w:rsidR="00BE2307" w:rsidP="00BE2307" w:rsidRDefault="00BE2307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b/>
          <w:bCs/>
          <w:rtl/>
        </w:rPr>
        <w:t>סעיף 161 (א) לחוק</w:t>
      </w:r>
      <w:r>
        <w:rPr>
          <w:rFonts w:hint="cs"/>
          <w:rtl/>
        </w:rPr>
        <w:t xml:space="preserve"> קובע לעניין </w:t>
      </w:r>
      <w:r>
        <w:rPr>
          <w:rFonts w:hint="cs"/>
          <w:u w:val="single"/>
          <w:rtl/>
        </w:rPr>
        <w:t>תקופת האכשרה</w:t>
      </w:r>
      <w:r>
        <w:rPr>
          <w:rFonts w:hint="cs"/>
          <w:rtl/>
        </w:rPr>
        <w:t xml:space="preserve"> כך:</w:t>
      </w:r>
    </w:p>
    <w:p w:rsidR="00BE2307" w:rsidP="00BE2307" w:rsidRDefault="00BE2307">
      <w:pPr>
        <w:spacing w:line="360" w:lineRule="auto"/>
        <w:ind w:left="360"/>
        <w:jc w:val="both"/>
      </w:pPr>
      <w:r>
        <w:rPr>
          <w:rFonts w:hint="cs"/>
          <w:b/>
          <w:bCs/>
          <w:i/>
          <w:iCs/>
          <w:sz w:val="22"/>
          <w:szCs w:val="22"/>
          <w:rtl/>
        </w:rPr>
        <w:t>"לעניין סימן זה, תקופת האכשרה לגבי תקופת אבטלה פלונית היא 12 חודשים קלנדריים שבעדם שולמו דמי ביטוח אבטלה, בעד אחד או יותר מהימים בחודש, בתוך 18 החודשים בתכוף לתאריך הקובע"</w:t>
      </w:r>
      <w:r>
        <w:rPr>
          <w:rFonts w:hint="cs"/>
          <w:rtl/>
        </w:rPr>
        <w:t xml:space="preserve">. </w:t>
      </w:r>
    </w:p>
    <w:p w:rsidR="00BE2307" w:rsidP="00447F0C" w:rsidRDefault="00BE2307">
      <w:pPr>
        <w:spacing w:line="360" w:lineRule="auto"/>
        <w:ind w:left="360"/>
        <w:jc w:val="both"/>
        <w:rPr>
          <w:rtl/>
        </w:rPr>
      </w:pPr>
      <w:r>
        <w:rPr>
          <w:rFonts w:hint="cs"/>
          <w:rtl/>
        </w:rPr>
        <w:t xml:space="preserve">כלומר על מנת שמבוטח יהיה זכאי לתשלום דמי אבטלה עליו לעבוד </w:t>
      </w:r>
      <w:r w:rsidR="00447F0C">
        <w:rPr>
          <w:rFonts w:hint="cs"/>
          <w:rtl/>
        </w:rPr>
        <w:t>ב-</w:t>
      </w:r>
      <w:r>
        <w:rPr>
          <w:rFonts w:hint="cs"/>
          <w:rtl/>
        </w:rPr>
        <w:t xml:space="preserve">12 חודשים מתוך </w:t>
      </w:r>
      <w:r w:rsidR="00447F0C">
        <w:rPr>
          <w:rFonts w:hint="cs"/>
          <w:rtl/>
        </w:rPr>
        <w:t xml:space="preserve">18 החודשים </w:t>
      </w:r>
      <w:r>
        <w:rPr>
          <w:rFonts w:hint="cs"/>
          <w:rtl/>
        </w:rPr>
        <w:t>שקדמו ל"תאריך הקובע".</w:t>
      </w:r>
    </w:p>
    <w:p w:rsidRPr="00ED431F" w:rsidR="00BE2307" w:rsidP="00ED431F" w:rsidRDefault="00BE2307">
      <w:pPr>
        <w:pStyle w:val="af1"/>
        <w:rPr>
          <w:sz w:val="16"/>
          <w:szCs w:val="16"/>
        </w:rPr>
      </w:pPr>
    </w:p>
    <w:p w:rsidR="00ED431F" w:rsidP="00ED431F" w:rsidRDefault="00BE2307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u w:val="single"/>
          <w:rtl/>
        </w:rPr>
        <w:t>ה"תאריך הקובע"</w:t>
      </w:r>
      <w:r>
        <w:rPr>
          <w:rFonts w:hint="cs"/>
          <w:rtl/>
        </w:rPr>
        <w:t xml:space="preserve"> לעניין הזכאות לדמי אבטלה הוגדר </w:t>
      </w:r>
      <w:r>
        <w:rPr>
          <w:rFonts w:hint="cs"/>
          <w:b/>
          <w:bCs/>
          <w:rtl/>
        </w:rPr>
        <w:t>בסעיף 158 לחוק</w:t>
      </w:r>
      <w:r>
        <w:rPr>
          <w:rFonts w:hint="cs"/>
          <w:rtl/>
        </w:rPr>
        <w:t xml:space="preserve"> </w:t>
      </w:r>
      <w:r w:rsidR="00ED431F">
        <w:rPr>
          <w:rFonts w:hint="cs"/>
          <w:rtl/>
        </w:rPr>
        <w:t>באופן הבא</w:t>
      </w:r>
      <w:r>
        <w:rPr>
          <w:rFonts w:hint="cs"/>
          <w:rtl/>
        </w:rPr>
        <w:t>:</w:t>
      </w:r>
    </w:p>
    <w:p w:rsidR="00BE2307" w:rsidP="00ED431F" w:rsidRDefault="00BE2307">
      <w:pPr>
        <w:spacing w:line="360" w:lineRule="auto"/>
        <w:ind w:left="360"/>
        <w:jc w:val="both"/>
        <w:rPr>
          <w:rtl/>
        </w:rPr>
      </w:pPr>
      <w:r>
        <w:rPr>
          <w:rFonts w:hint="cs"/>
          <w:rtl/>
        </w:rPr>
        <w:t xml:space="preserve"> </w:t>
      </w:r>
      <w:r>
        <w:rPr>
          <w:rFonts w:hint="cs"/>
          <w:b/>
          <w:bCs/>
          <w:i/>
          <w:iCs/>
          <w:sz w:val="22"/>
          <w:szCs w:val="22"/>
          <w:rtl/>
        </w:rPr>
        <w:t>"ה-1 בחודש שבו התחילה תקופת האבטלה, ובלבד שחלפו 12 חודשים לפחות מה-1 בחודש שבו תחילה תקופת האבטלה הקודמת..."</w:t>
      </w:r>
      <w:r>
        <w:rPr>
          <w:rFonts w:hint="cs"/>
          <w:rtl/>
        </w:rPr>
        <w:t xml:space="preserve">. </w:t>
      </w:r>
    </w:p>
    <w:p w:rsidR="00BE2307" w:rsidP="00BE2307" w:rsidRDefault="00BE2307">
      <w:pPr>
        <w:spacing w:line="360" w:lineRule="auto"/>
        <w:ind w:left="360"/>
        <w:jc w:val="both"/>
      </w:pPr>
      <w:r>
        <w:rPr>
          <w:rFonts w:hint="cs"/>
          <w:rtl/>
        </w:rPr>
        <w:t>כלומר, התאריך הקובע לבחינת תקופת העבודה שעבד המבוטח הוא המועד שבו התחילה תקופת האבטלה.</w:t>
      </w:r>
    </w:p>
    <w:p w:rsidRPr="00ED431F" w:rsidR="00BE2307" w:rsidP="00ED431F" w:rsidRDefault="00BE2307">
      <w:pPr>
        <w:ind w:left="360" w:right="360"/>
        <w:jc w:val="both"/>
        <w:rPr>
          <w:sz w:val="16"/>
          <w:szCs w:val="16"/>
        </w:rPr>
      </w:pPr>
      <w:r>
        <w:rPr>
          <w:rFonts w:hint="cs"/>
          <w:b/>
          <w:bCs/>
          <w:i/>
          <w:iCs/>
          <w:sz w:val="22"/>
          <w:szCs w:val="22"/>
          <w:rtl/>
        </w:rPr>
        <w:t xml:space="preserve">  </w:t>
      </w:r>
    </w:p>
    <w:p w:rsidRPr="00DD5FF9" w:rsidR="00BE2307" w:rsidP="00ED431F" w:rsidRDefault="00BE2307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lastRenderedPageBreak/>
        <w:t xml:space="preserve">בחוק </w:t>
      </w:r>
      <w:r w:rsidR="00ED431F">
        <w:rPr>
          <w:rFonts w:hint="cs"/>
          <w:rtl/>
        </w:rPr>
        <w:t xml:space="preserve">לא קיימת </w:t>
      </w:r>
      <w:r>
        <w:rPr>
          <w:rFonts w:hint="cs"/>
          <w:rtl/>
        </w:rPr>
        <w:t xml:space="preserve">הגדרה ברורה </w:t>
      </w:r>
      <w:r w:rsidRPr="00DD5FF9">
        <w:rPr>
          <w:rFonts w:hint="cs"/>
          <w:u w:val="single"/>
          <w:rtl/>
        </w:rPr>
        <w:t>למועד תחילת תקופת האבטלה</w:t>
      </w:r>
      <w:r>
        <w:rPr>
          <w:rFonts w:hint="cs"/>
          <w:rtl/>
        </w:rPr>
        <w:t xml:space="preserve">. אולם, </w:t>
      </w:r>
      <w:r>
        <w:rPr>
          <w:rFonts w:hint="cs"/>
          <w:b/>
          <w:bCs/>
          <w:rtl/>
        </w:rPr>
        <w:t>בסעיף 163 לחוק</w:t>
      </w:r>
      <w:r>
        <w:rPr>
          <w:rFonts w:hint="cs"/>
          <w:rtl/>
        </w:rPr>
        <w:t xml:space="preserve"> נקבע כי אדם ייחשב כמובטל אם הוא רשום בלשכת שירות התעסוקה כמחוסר עבודה. מכאן</w:t>
      </w:r>
      <w:r w:rsidR="00ED431F">
        <w:rPr>
          <w:rFonts w:hint="cs"/>
          <w:rtl/>
        </w:rPr>
        <w:t xml:space="preserve"> ניתן להסיק</w:t>
      </w:r>
      <w:r>
        <w:rPr>
          <w:rFonts w:hint="cs"/>
          <w:rtl/>
        </w:rPr>
        <w:t xml:space="preserve">, שתקופה האבטלה של מבוטח מתחילה </w:t>
      </w:r>
      <w:r w:rsidRPr="00DD5FF9">
        <w:rPr>
          <w:rFonts w:hint="cs"/>
          <w:rtl/>
        </w:rPr>
        <w:t>במועד שבו הוא נרשם כמחוסר עבודה</w:t>
      </w:r>
      <w:r w:rsidRPr="00DD5FF9" w:rsidR="00DD5FF9">
        <w:rPr>
          <w:rFonts w:hint="cs"/>
          <w:rtl/>
        </w:rPr>
        <w:t xml:space="preserve"> בלשכת שירות התעסוקה</w:t>
      </w:r>
      <w:r w:rsidRPr="00DD5FF9">
        <w:rPr>
          <w:rFonts w:hint="cs"/>
          <w:rtl/>
        </w:rPr>
        <w:t>.</w:t>
      </w:r>
    </w:p>
    <w:p w:rsidRPr="00DD5FF9" w:rsidR="00BE2307" w:rsidP="00DD5FF9" w:rsidRDefault="00BE2307">
      <w:pPr>
        <w:pStyle w:val="af1"/>
        <w:rPr>
          <w:sz w:val="16"/>
          <w:szCs w:val="16"/>
        </w:rPr>
      </w:pPr>
    </w:p>
    <w:p w:rsidR="00BE2307" w:rsidP="00BE2307" w:rsidRDefault="00BE2307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מן המקובץ עולה כי התובע יהיה זכאי לדמי אבטלה אם יוכיח שעבד </w:t>
      </w:r>
      <w:r w:rsidR="00DD5FF9">
        <w:rPr>
          <w:rFonts w:hint="cs"/>
          <w:rtl/>
        </w:rPr>
        <w:t>ב-</w:t>
      </w:r>
      <w:r>
        <w:rPr>
          <w:rFonts w:hint="cs"/>
          <w:rtl/>
        </w:rPr>
        <w:t>12 חודשים מתוך 18 החודשים שקדמו למועד שבו נרשם בלשכת התעסוקה כמחוסר עבודה.</w:t>
      </w:r>
    </w:p>
    <w:p w:rsidRPr="00DD5FF9" w:rsidR="00BE2307" w:rsidP="00DD5FF9" w:rsidRDefault="00BE2307">
      <w:pPr>
        <w:pStyle w:val="af1"/>
        <w:rPr>
          <w:sz w:val="16"/>
          <w:szCs w:val="16"/>
        </w:rPr>
      </w:pPr>
    </w:p>
    <w:p w:rsidR="00BE2307" w:rsidP="001B00B9" w:rsidRDefault="00BE2307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כאמור, בטופס התביעה כתב התובע כי התייצב בלשכת שירות התעסוקה </w:t>
      </w:r>
      <w:r>
        <w:rPr>
          <w:rFonts w:hint="cs"/>
          <w:b/>
          <w:bCs/>
          <w:rtl/>
        </w:rPr>
        <w:t>בחודש 3/2016</w:t>
      </w:r>
      <w:r>
        <w:rPr>
          <w:rFonts w:hint="cs"/>
          <w:rtl/>
        </w:rPr>
        <w:t>. בנסיבות אלה עלינו לבחון אם עלה בידי</w:t>
      </w:r>
      <w:r w:rsidR="00DD5FF9">
        <w:rPr>
          <w:rFonts w:hint="cs"/>
          <w:rtl/>
        </w:rPr>
        <w:t>ו</w:t>
      </w:r>
      <w:r>
        <w:rPr>
          <w:rFonts w:hint="cs"/>
          <w:rtl/>
        </w:rPr>
        <w:t xml:space="preserve"> להוכיח שעבד </w:t>
      </w:r>
      <w:r w:rsidRPr="00447F0C">
        <w:rPr>
          <w:rFonts w:hint="cs"/>
          <w:rtl/>
        </w:rPr>
        <w:t>ב-</w:t>
      </w:r>
      <w:r>
        <w:rPr>
          <w:rFonts w:hint="cs"/>
          <w:b/>
          <w:bCs/>
          <w:rtl/>
        </w:rPr>
        <w:t>12 חודשים</w:t>
      </w:r>
      <w:r>
        <w:rPr>
          <w:rFonts w:hint="cs"/>
          <w:rtl/>
        </w:rPr>
        <w:t xml:space="preserve"> מתוך 18 החודשים שקדמו לחודש 3/2016, דהיינו </w:t>
      </w:r>
      <w:r>
        <w:rPr>
          <w:rFonts w:hint="cs"/>
          <w:b/>
          <w:bCs/>
          <w:rtl/>
        </w:rPr>
        <w:t>מחודש 9/2014 ועד לחודש 2/2016</w:t>
      </w:r>
      <w:r>
        <w:rPr>
          <w:rFonts w:hint="cs"/>
          <w:rtl/>
        </w:rPr>
        <w:t>.</w:t>
      </w:r>
    </w:p>
    <w:p w:rsidRPr="00DD5FF9" w:rsidR="00BE2307" w:rsidP="00DD5FF9" w:rsidRDefault="00BE2307">
      <w:pPr>
        <w:pStyle w:val="af1"/>
        <w:rPr>
          <w:sz w:val="16"/>
          <w:szCs w:val="16"/>
        </w:rPr>
      </w:pPr>
    </w:p>
    <w:p w:rsidR="00BE2307" w:rsidP="00BE2307" w:rsidRDefault="00BE2307">
      <w:pPr>
        <w:spacing w:line="360" w:lineRule="auto"/>
        <w:ind w:right="36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הכרעה</w:t>
      </w:r>
    </w:p>
    <w:p w:rsidR="00BE2307" w:rsidP="00BE2307" w:rsidRDefault="00BE2307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b/>
          <w:bCs/>
          <w:rtl/>
        </w:rPr>
        <w:t>לאחר ששקלנו את טענות הצדדים ועיינו במסמכים שהוגשו בהליך מצאנו כי דין התביעה להידחות מן הטעם שהתובע לא צבר את תקופת האכשרה הנדרשת לצורך תשלום דמי אבטלה</w:t>
      </w:r>
      <w:r>
        <w:rPr>
          <w:rFonts w:hint="cs"/>
          <w:rtl/>
        </w:rPr>
        <w:t>, כפי שיפורט להלן.</w:t>
      </w:r>
    </w:p>
    <w:p w:rsidRPr="00DD5FF9" w:rsidR="00BE2307" w:rsidP="00DD5FF9" w:rsidRDefault="00BE2307">
      <w:pPr>
        <w:ind w:left="360" w:right="360"/>
        <w:jc w:val="both"/>
        <w:rPr>
          <w:sz w:val="16"/>
          <w:szCs w:val="16"/>
        </w:rPr>
      </w:pPr>
    </w:p>
    <w:p w:rsidR="00BE2307" w:rsidP="00BE2307" w:rsidRDefault="00BE2307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>מהמסמכים שהוצגו לפנינו עולה כי התובע עבד בחודשים הבאים:</w:t>
      </w:r>
    </w:p>
    <w:p w:rsidR="00BE2307" w:rsidP="00BE2307" w:rsidRDefault="00BE2307">
      <w:pPr>
        <w:spacing w:line="360" w:lineRule="auto"/>
        <w:ind w:left="360"/>
        <w:jc w:val="both"/>
      </w:pPr>
      <w:r>
        <w:rPr>
          <w:rFonts w:hint="cs"/>
          <w:rtl/>
        </w:rPr>
        <w:t>9/2014 (מלון עדן), 10/2014 (טבע יחיעם), 6/2015 (טבע יחיעם), 7/2015 (טבע יחיעם), 8/2015 (טבע יחיעם), 9/2015 (טבע יחיעם), 10/2015 (טבע יחיעם), 11/2015 (טבע יחיעם), 12/2015 (טבע יחיעם), 1/2016 (טבע יחיעם ומיליאות), 2/2016 (מיליאות).</w:t>
      </w:r>
    </w:p>
    <w:p w:rsidRPr="00DD5FF9" w:rsidR="00BE2307" w:rsidP="00DD5FF9" w:rsidRDefault="00BE2307">
      <w:pPr>
        <w:pStyle w:val="af1"/>
        <w:rPr>
          <w:sz w:val="16"/>
          <w:szCs w:val="16"/>
        </w:rPr>
      </w:pPr>
    </w:p>
    <w:p w:rsidR="00BE2307" w:rsidP="00DD5FF9" w:rsidRDefault="00DD5FF9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כלומר, התובע עבד ב-</w:t>
      </w:r>
      <w:r w:rsidRPr="00DD5FF9">
        <w:rPr>
          <w:rFonts w:hint="cs"/>
          <w:b/>
          <w:bCs/>
          <w:rtl/>
        </w:rPr>
        <w:t>11</w:t>
      </w:r>
      <w:r w:rsidR="00BE2307">
        <w:rPr>
          <w:rFonts w:hint="cs"/>
          <w:b/>
          <w:bCs/>
          <w:rtl/>
        </w:rPr>
        <w:t xml:space="preserve"> חודשים בלבד</w:t>
      </w:r>
      <w:r w:rsidR="00BE2307">
        <w:rPr>
          <w:rFonts w:hint="cs"/>
          <w:rtl/>
        </w:rPr>
        <w:t xml:space="preserve"> מתוך 18 החודשים שקדמו למועד שבו נרשם כמחוסר עבודה. לפיכך, התובע לא צבר את תקופת האכשרה הנדרשת לצורך תשל</w:t>
      </w:r>
      <w:r w:rsidR="001B00B9">
        <w:rPr>
          <w:rFonts w:hint="cs"/>
          <w:rtl/>
        </w:rPr>
        <w:t>ו</w:t>
      </w:r>
      <w:r w:rsidR="00BE2307">
        <w:rPr>
          <w:rFonts w:hint="cs"/>
          <w:rtl/>
        </w:rPr>
        <w:t>ם דמי אבטלה.</w:t>
      </w:r>
    </w:p>
    <w:p w:rsidRPr="00DD5FF9" w:rsidR="00BE2307" w:rsidP="00DD5FF9" w:rsidRDefault="00BE2307">
      <w:pPr>
        <w:pStyle w:val="af1"/>
        <w:rPr>
          <w:sz w:val="16"/>
          <w:szCs w:val="16"/>
        </w:rPr>
      </w:pPr>
    </w:p>
    <w:p w:rsidR="00BE2307" w:rsidP="00DD5FF9" w:rsidRDefault="00BE2307">
      <w:pPr>
        <w:numPr>
          <w:ilvl w:val="0"/>
          <w:numId w:val="1"/>
        </w:numPr>
        <w:spacing w:line="360" w:lineRule="auto"/>
        <w:jc w:val="both"/>
        <w:rPr>
          <w:rtl/>
        </w:rPr>
      </w:pPr>
      <w:r w:rsidRPr="00DD5FF9">
        <w:rPr>
          <w:rFonts w:hint="cs"/>
          <w:i/>
          <w:iCs/>
          <w:u w:val="single"/>
          <w:rtl/>
        </w:rPr>
        <w:t>למעלה מן הדרוש</w:t>
      </w:r>
      <w:r>
        <w:rPr>
          <w:rFonts w:hint="cs"/>
          <w:rtl/>
        </w:rPr>
        <w:t>, נציין כי אף א</w:t>
      </w:r>
      <w:r w:rsidR="00DD5FF9">
        <w:rPr>
          <w:rFonts w:hint="cs"/>
          <w:rtl/>
        </w:rPr>
        <w:t>ם</w:t>
      </w:r>
      <w:r>
        <w:rPr>
          <w:rFonts w:hint="cs"/>
          <w:rtl/>
        </w:rPr>
        <w:t xml:space="preserve"> נביא בחשבון את </w:t>
      </w:r>
      <w:r w:rsidR="00DD5FF9">
        <w:rPr>
          <w:rFonts w:hint="cs"/>
          <w:rtl/>
        </w:rPr>
        <w:t>עבודתו של התובע ב</w:t>
      </w:r>
      <w:r>
        <w:rPr>
          <w:rFonts w:hint="cs"/>
          <w:rtl/>
        </w:rPr>
        <w:t>חודש 3/2016 ונקבע כי התאריך הקובע ל</w:t>
      </w:r>
      <w:r w:rsidR="00DD5FF9">
        <w:rPr>
          <w:rFonts w:hint="cs"/>
          <w:rtl/>
        </w:rPr>
        <w:t>בחינת הזכאות ל</w:t>
      </w:r>
      <w:r>
        <w:rPr>
          <w:rFonts w:hint="cs"/>
          <w:rtl/>
        </w:rPr>
        <w:t xml:space="preserve">דמי אבטלה הוא חודש 4/2016, </w:t>
      </w:r>
      <w:r w:rsidR="00DD5FF9">
        <w:rPr>
          <w:rFonts w:hint="cs"/>
          <w:rtl/>
        </w:rPr>
        <w:t xml:space="preserve">עדיין לא </w:t>
      </w:r>
      <w:r>
        <w:rPr>
          <w:rFonts w:hint="cs"/>
          <w:rtl/>
        </w:rPr>
        <w:t xml:space="preserve">צבר </w:t>
      </w:r>
      <w:r w:rsidR="00DD5FF9">
        <w:rPr>
          <w:rFonts w:hint="cs"/>
          <w:rtl/>
        </w:rPr>
        <w:t xml:space="preserve">התובע </w:t>
      </w:r>
      <w:r>
        <w:rPr>
          <w:rFonts w:hint="cs"/>
          <w:rtl/>
        </w:rPr>
        <w:t>את תקופת האכשרה הנדרשת בחוק, כפי שיפורט להלן.</w:t>
      </w:r>
    </w:p>
    <w:p w:rsidR="00BE2307" w:rsidP="00BE2307" w:rsidRDefault="00BE2307">
      <w:pPr>
        <w:numPr>
          <w:ilvl w:val="1"/>
          <w:numId w:val="1"/>
        </w:numPr>
        <w:spacing w:line="360" w:lineRule="auto"/>
        <w:ind w:left="941" w:hanging="581"/>
        <w:jc w:val="both"/>
        <w:rPr>
          <w:rtl/>
        </w:rPr>
      </w:pPr>
      <w:r>
        <w:rPr>
          <w:rFonts w:hint="cs"/>
          <w:rtl/>
        </w:rPr>
        <w:t xml:space="preserve">אם ה"תאריך הקובע" ייחשב כחודש 4/2016 (ולא כך אנו סבורים) אזי יש לבחון אם התובע עבד במשך </w:t>
      </w:r>
      <w:r w:rsidR="00AC4CCB">
        <w:rPr>
          <w:rFonts w:hint="cs"/>
          <w:rtl/>
        </w:rPr>
        <w:t>ב-</w:t>
      </w:r>
      <w:r>
        <w:rPr>
          <w:rFonts w:hint="cs"/>
          <w:rtl/>
        </w:rPr>
        <w:t xml:space="preserve">12 חודשים מתוך 18 החודשים שקדמו לחודש 4/2016, דהיינו בתקופה המתחילה </w:t>
      </w:r>
      <w:r>
        <w:rPr>
          <w:rFonts w:hint="cs"/>
          <w:b/>
          <w:bCs/>
          <w:rtl/>
        </w:rPr>
        <w:t>בחודש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10/2014 והמסתיימת בחודש 3/2014</w:t>
      </w:r>
      <w:r>
        <w:rPr>
          <w:rFonts w:hint="cs"/>
          <w:rtl/>
        </w:rPr>
        <w:t>.</w:t>
      </w:r>
    </w:p>
    <w:p w:rsidRPr="00AC4CCB" w:rsidR="00BE2307" w:rsidP="00AC4CCB" w:rsidRDefault="00BE2307">
      <w:pPr>
        <w:ind w:left="941" w:right="360"/>
        <w:jc w:val="both"/>
        <w:rPr>
          <w:sz w:val="16"/>
          <w:szCs w:val="16"/>
        </w:rPr>
      </w:pPr>
    </w:p>
    <w:p w:rsidR="00BE2307" w:rsidP="00BE2307" w:rsidRDefault="00BE2307">
      <w:pPr>
        <w:numPr>
          <w:ilvl w:val="1"/>
          <w:numId w:val="1"/>
        </w:numPr>
        <w:spacing w:line="360" w:lineRule="auto"/>
        <w:ind w:left="941" w:hanging="581"/>
        <w:jc w:val="both"/>
      </w:pPr>
      <w:r>
        <w:rPr>
          <w:rFonts w:hint="cs"/>
          <w:rtl/>
        </w:rPr>
        <w:t>מהמסמכים שהוצגו עולה כי בתקופה האמורה עבד התובע בחודשים הבאים:</w:t>
      </w:r>
    </w:p>
    <w:p w:rsidR="00BE2307" w:rsidP="00BE2307" w:rsidRDefault="00BE2307">
      <w:pPr>
        <w:spacing w:line="360" w:lineRule="auto"/>
        <w:ind w:left="941"/>
        <w:jc w:val="both"/>
      </w:pPr>
      <w:r>
        <w:rPr>
          <w:rFonts w:hint="cs"/>
          <w:rtl/>
        </w:rPr>
        <w:t>10/2014 (טבע יחיעם), 6/2015 (טבע יחיעם), 7/2015 (טבע יחיעם), 8/2015 (טבע יחיעם), 9/2015 (טבע יחיעם), 10/2015 (טבע יחיעם), 11/2015 (טבע יחיעם), 12/2015 (טבע יחיעם), 1/2016 (טבע יחיעם ומיליאות), 2/2016 (מיליאות) ו-3/2016 (מיליאות).</w:t>
      </w:r>
    </w:p>
    <w:p w:rsidRPr="00AC4CCB" w:rsidR="00BE2307" w:rsidP="00AC4CCB" w:rsidRDefault="00BE2307">
      <w:pPr>
        <w:ind w:left="941"/>
        <w:jc w:val="both"/>
        <w:rPr>
          <w:sz w:val="16"/>
          <w:szCs w:val="16"/>
          <w:rtl/>
        </w:rPr>
      </w:pPr>
    </w:p>
    <w:p w:rsidR="00BE2307" w:rsidP="00AC4CCB" w:rsidRDefault="00BE2307">
      <w:pPr>
        <w:numPr>
          <w:ilvl w:val="1"/>
          <w:numId w:val="1"/>
        </w:numPr>
        <w:spacing w:line="360" w:lineRule="auto"/>
        <w:ind w:left="941" w:hanging="581"/>
        <w:jc w:val="both"/>
      </w:pPr>
      <w:r>
        <w:rPr>
          <w:rFonts w:hint="cs"/>
          <w:rtl/>
        </w:rPr>
        <w:t>כלומר, גם אם היינו קובעים כי ה"תאריך הקובע" הוא חודש 4/2016 עדיין במהלך 18 החודשים שקדמו לחודש זה, עבד התובע רק</w:t>
      </w:r>
      <w:r w:rsidR="00AC4CCB">
        <w:rPr>
          <w:rFonts w:hint="cs"/>
          <w:rtl/>
        </w:rPr>
        <w:t xml:space="preserve"> ב-</w:t>
      </w:r>
      <w:r>
        <w:rPr>
          <w:rFonts w:hint="cs"/>
          <w:b/>
          <w:bCs/>
          <w:rtl/>
        </w:rPr>
        <w:t>11 חודשים</w:t>
      </w:r>
      <w:r>
        <w:rPr>
          <w:rFonts w:hint="cs"/>
          <w:rtl/>
        </w:rPr>
        <w:t>.</w:t>
      </w:r>
    </w:p>
    <w:p w:rsidRPr="00AC4CCB" w:rsidR="00BE2307" w:rsidP="00AC4CCB" w:rsidRDefault="00BE2307">
      <w:pPr>
        <w:ind w:left="941"/>
        <w:jc w:val="both"/>
        <w:rPr>
          <w:sz w:val="16"/>
          <w:szCs w:val="16"/>
        </w:rPr>
      </w:pPr>
    </w:p>
    <w:p w:rsidR="00BE2307" w:rsidP="00AC4CCB" w:rsidRDefault="00BE2307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לסיכום, התובע לא צבר את תקופת האכשרה הנדרשת לצורך קבלת דמי אבטלה מכיוון שעבד רק </w:t>
      </w:r>
      <w:r w:rsidR="00AC4CCB">
        <w:rPr>
          <w:rFonts w:hint="cs"/>
          <w:rtl/>
        </w:rPr>
        <w:t>ב-</w:t>
      </w:r>
      <w:r>
        <w:rPr>
          <w:rFonts w:hint="cs"/>
          <w:rtl/>
        </w:rPr>
        <w:t xml:space="preserve">11 חודשים מתוך 18 החודשים </w:t>
      </w:r>
      <w:r w:rsidR="00AC4CCB">
        <w:rPr>
          <w:rFonts w:hint="cs"/>
          <w:rtl/>
        </w:rPr>
        <w:t>שקדמו</w:t>
      </w:r>
      <w:r>
        <w:rPr>
          <w:rFonts w:hint="cs"/>
          <w:rtl/>
        </w:rPr>
        <w:t xml:space="preserve"> למועד שבו נרשם בלשכת שירות התעסוקה, דהיינו </w:t>
      </w:r>
      <w:r w:rsidR="00AC4CCB">
        <w:rPr>
          <w:rFonts w:hint="cs"/>
          <w:rtl/>
        </w:rPr>
        <w:t>מחודש</w:t>
      </w:r>
      <w:r>
        <w:rPr>
          <w:rFonts w:hint="cs"/>
          <w:rtl/>
        </w:rPr>
        <w:t xml:space="preserve"> 9/2014 ועד לחודש 2/2016. </w:t>
      </w:r>
    </w:p>
    <w:p w:rsidRPr="00AC4CCB" w:rsidR="00BE2307" w:rsidP="00AC4CCB" w:rsidRDefault="00BE2307">
      <w:pPr>
        <w:ind w:left="360"/>
        <w:jc w:val="both"/>
        <w:rPr>
          <w:sz w:val="16"/>
          <w:szCs w:val="16"/>
        </w:rPr>
      </w:pPr>
    </w:p>
    <w:p w:rsidR="00BE2307" w:rsidP="00BE2307" w:rsidRDefault="00BE2307">
      <w:pPr>
        <w:spacing w:line="360" w:lineRule="auto"/>
        <w:ind w:left="360"/>
        <w:jc w:val="both"/>
        <w:rPr>
          <w:rtl/>
        </w:rPr>
      </w:pPr>
      <w:r>
        <w:rPr>
          <w:rFonts w:hint="cs"/>
          <w:rtl/>
        </w:rPr>
        <w:t xml:space="preserve">כמו כן, אף אם נקבע כי התקופה הרלוונטית היא 18 החודשים שקדמו לחודש 4/2016, דהיינו מחודש 10/2014 ועד לחודש 3/2016, לא יהיה בכך בכדי לסייע לתובע מכיוון שגם בתקופה זו עבד רק </w:t>
      </w:r>
      <w:r w:rsidR="00AC4CCB">
        <w:rPr>
          <w:rFonts w:hint="cs"/>
          <w:rtl/>
        </w:rPr>
        <w:t>ב-</w:t>
      </w:r>
      <w:r>
        <w:rPr>
          <w:rFonts w:hint="cs"/>
          <w:rtl/>
        </w:rPr>
        <w:t>11 חודשים.</w:t>
      </w:r>
    </w:p>
    <w:p w:rsidRPr="00AC4CCB" w:rsidR="00BE2307" w:rsidP="00AC4CCB" w:rsidRDefault="00BE2307">
      <w:pPr>
        <w:jc w:val="both"/>
        <w:rPr>
          <w:sz w:val="16"/>
          <w:szCs w:val="16"/>
          <w:rtl/>
        </w:rPr>
      </w:pPr>
    </w:p>
    <w:p w:rsidR="00BE2307" w:rsidP="00BE2307" w:rsidRDefault="00BE2307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סוף דבר</w:t>
      </w:r>
    </w:p>
    <w:p w:rsidR="00BE2307" w:rsidP="00BE2307" w:rsidRDefault="00BE2307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>התביעה נדחית.</w:t>
      </w:r>
    </w:p>
    <w:p w:rsidRPr="00AC4CCB" w:rsidR="00BE2307" w:rsidP="00AC4CCB" w:rsidRDefault="00BE2307">
      <w:pPr>
        <w:ind w:left="360" w:right="360"/>
        <w:jc w:val="both"/>
        <w:rPr>
          <w:sz w:val="16"/>
          <w:szCs w:val="16"/>
        </w:rPr>
      </w:pPr>
    </w:p>
    <w:p w:rsidR="00BE2307" w:rsidP="00BE2307" w:rsidRDefault="00BE2307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>משמדובר בתביעה בתחום הביטחון הסוציאלי – אין צו להוצאות.</w:t>
      </w:r>
    </w:p>
    <w:p w:rsidR="00BE2307" w:rsidP="00AC4CCB" w:rsidRDefault="00BE2307">
      <w:pPr>
        <w:jc w:val="both"/>
      </w:pPr>
    </w:p>
    <w:p w:rsidR="00BE2307" w:rsidP="00BE2307" w:rsidRDefault="00BE2307">
      <w:pPr>
        <w:pStyle w:val="23"/>
        <w:spacing w:line="360" w:lineRule="auto"/>
        <w:rPr>
          <w:rtl/>
        </w:rPr>
      </w:pPr>
      <w:r>
        <w:rPr>
          <w:rFonts w:hint="cs"/>
          <w:rtl/>
        </w:rPr>
        <w:t>על פסק הדין ניתן לערער בזכות בפני בית הדין הארצי לעבודה בירושלים. הודעת ערעור יש להגיש לבית הדין הארצי בתוך 30 ימים ממועד קבלת פסק הדין.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BE2307" w:rsidR="00694556" w:rsidP="003743D6" w:rsidRDefault="00005C8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BE2307">
        <w:rPr>
          <w:rFonts w:ascii="Arial" w:hAnsi="Arial"/>
          <w:b/>
          <w:bCs/>
          <w:rtl/>
        </w:rPr>
        <w:t>ניתן היום</w:t>
      </w:r>
      <w:r w:rsidR="003743D6">
        <w:rPr>
          <w:rFonts w:hint="cs" w:ascii="Arial" w:hAnsi="Arial"/>
          <w:b/>
          <w:bCs/>
          <w:rtl/>
        </w:rPr>
        <w:t xml:space="preserve">, כ"ז ניסן, התשע"ח, (12 </w:t>
      </w:r>
      <w:bookmarkStart w:name="_GoBack" w:id="0"/>
      <w:bookmarkEnd w:id="0"/>
      <w:r w:rsidR="003743D6">
        <w:rPr>
          <w:rFonts w:hint="cs" w:ascii="Arial" w:hAnsi="Arial"/>
          <w:b/>
          <w:bCs/>
          <w:rtl/>
        </w:rPr>
        <w:t>אפריל 2018)</w:t>
      </w:r>
      <w:r w:rsidRPr="00BE2307">
        <w:rPr>
          <w:rFonts w:ascii="Arial" w:hAnsi="Arial"/>
          <w:b/>
          <w:bCs/>
          <w:rtl/>
        </w:rPr>
        <w:t>,</w:t>
      </w:r>
      <w:r w:rsidRPr="00BE2307" w:rsidR="00BE2307">
        <w:rPr>
          <w:rFonts w:hint="cs" w:ascii="Arial" w:hAnsi="Arial"/>
          <w:b/>
          <w:bCs/>
          <w:rtl/>
        </w:rPr>
        <w:t xml:space="preserve"> </w:t>
      </w:r>
      <w:r w:rsidRPr="00BE2307">
        <w:rPr>
          <w:rFonts w:ascii="Arial" w:hAnsi="Arial"/>
          <w:b/>
          <w:bCs/>
          <w:rtl/>
        </w:rPr>
        <w:t xml:space="preserve"> בהעדר הצדדים</w:t>
      </w:r>
      <w:r w:rsidRPr="00BE2307" w:rsidR="00621052">
        <w:rPr>
          <w:rFonts w:hint="cs" w:ascii="Arial" w:hAnsi="Arial"/>
          <w:b/>
          <w:bCs/>
          <w:rtl/>
        </w:rPr>
        <w:t xml:space="preserve"> ויישלח אליהם</w:t>
      </w:r>
      <w:r w:rsidRPr="00BE2307">
        <w:rPr>
          <w:rFonts w:ascii="Arial" w:hAnsi="Arial"/>
          <w:b/>
          <w:bCs/>
          <w:rtl/>
        </w:rPr>
        <w:t>.</w:t>
      </w:r>
    </w:p>
    <w:tbl>
      <w:tblPr>
        <w:tblStyle w:val="ac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31"/>
        <w:gridCol w:w="425"/>
        <w:gridCol w:w="2693"/>
        <w:gridCol w:w="370"/>
        <w:gridCol w:w="2886"/>
      </w:tblGrid>
      <w:tr w:rsidR="003743D6" w:rsidTr="003743D6">
        <w:trPr>
          <w:trHeight w:val="1618"/>
        </w:trPr>
        <w:tc>
          <w:tcPr>
            <w:tcW w:w="213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BE2307" w:rsidRDefault="003743D6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6A1B552" wp14:editId="04B5ACCF">
                  <wp:extent cx="866775" cy="755650"/>
                  <wp:effectExtent l="0" t="0" r="9525" b="635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BE2307" w:rsidRDefault="00BE230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BE2307" w:rsidRDefault="00BE2307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322388" cy="755650"/>
                  <wp:effectExtent l="0" t="0" r="0" b="6350"/>
                  <wp:docPr id="2" name="תמונה 2" descr="037580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37580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706" cy="755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" w:type="dxa"/>
          </w:tcPr>
          <w:p w:rsidR="00BE2307" w:rsidRDefault="00BE2307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BE2307" w:rsidRDefault="003743D6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 wp14:anchorId="2907D1EB" wp14:editId="2C0CEE7A">
                  <wp:extent cx="1686622" cy="628650"/>
                  <wp:effectExtent l="0" t="0" r="8890" b="0"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09" cy="630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3D6" w:rsidTr="003743D6">
        <w:tc>
          <w:tcPr>
            <w:tcW w:w="2131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BE2307" w:rsidRDefault="00BE230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מר אריה גור</w:t>
            </w:r>
          </w:p>
          <w:p w:rsidR="00BE2307" w:rsidRDefault="00BE230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נציג ציבור (עובדים)</w:t>
            </w:r>
          </w:p>
        </w:tc>
        <w:tc>
          <w:tcPr>
            <w:tcW w:w="425" w:type="dxa"/>
          </w:tcPr>
          <w:p w:rsidR="00BE2307" w:rsidRDefault="00BE230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BE2307" w:rsidRDefault="00BE230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קרן כהן, שופטת</w:t>
            </w:r>
          </w:p>
        </w:tc>
        <w:tc>
          <w:tcPr>
            <w:tcW w:w="370" w:type="dxa"/>
          </w:tcPr>
          <w:p w:rsidR="00BE2307" w:rsidRDefault="00BE2307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886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BE2307" w:rsidRDefault="00BE230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מר עמירם אלון</w:t>
            </w:r>
          </w:p>
          <w:p w:rsidR="00BE2307" w:rsidRDefault="00BE230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נציג ציבור (מעסיקים)</w:t>
            </w:r>
          </w:p>
        </w:tc>
      </w:tr>
    </w:tbl>
    <w:p w:rsidR="00BE2307" w:rsidP="006677F3" w:rsidRDefault="00BE2307">
      <w:pPr>
        <w:rPr>
          <w:rFonts w:ascii="David" w:hAnsi="David"/>
          <w:rtl/>
        </w:rPr>
      </w:pPr>
    </w:p>
    <w:sectPr w:rsidR="00BE2307" w:rsidSect="00BE2307">
      <w:headerReference w:type="default" r:id="rId14"/>
      <w:footerReference w:type="defaul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70745">
      <w:rPr>
        <w:rStyle w:val="ae"/>
        <w:rFonts w:cs="Times New Roman"/>
        <w:noProof/>
        <w:rtl/>
      </w:rPr>
      <w:t>4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70745">
      <w:rPr>
        <w:rStyle w:val="ae"/>
        <w:noProof/>
        <w:rtl/>
      </w:rPr>
      <w:t>4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  <w:footnote w:id="1">
    <w:p w:rsidR="00BE2307" w:rsidP="00BE2307" w:rsidRDefault="00BE2307">
      <w:pPr>
        <w:pStyle w:val="af"/>
        <w:ind w:left="232" w:hanging="232"/>
      </w:pPr>
      <w:r>
        <w:rPr>
          <w:rStyle w:val="af3"/>
        </w:rPr>
        <w:footnoteRef/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>סעיף 3 לתביעה לדמי אבטלה – צורפה לכתב התביעה.</w:t>
      </w:r>
    </w:p>
  </w:footnote>
  <w:footnote w:id="2">
    <w:p w:rsidR="00BE2307" w:rsidP="00BE2307" w:rsidRDefault="00BE2307">
      <w:pPr>
        <w:pStyle w:val="af"/>
        <w:ind w:left="232" w:hanging="232"/>
        <w:rPr>
          <w:b/>
          <w:bCs/>
          <w:rtl/>
        </w:rPr>
      </w:pPr>
      <w:r>
        <w:rPr>
          <w:rStyle w:val="af3"/>
        </w:rPr>
        <w:footnoteRef/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>בל (חי') 48988-08-16.</w:t>
      </w:r>
    </w:p>
  </w:footnote>
  <w:footnote w:id="3">
    <w:p w:rsidR="00BE2307" w:rsidP="00BE2307" w:rsidRDefault="00BE2307">
      <w:pPr>
        <w:pStyle w:val="af"/>
        <w:ind w:left="232" w:hanging="232"/>
      </w:pPr>
      <w:r>
        <w:rPr>
          <w:rStyle w:val="af3"/>
        </w:rPr>
        <w:footnoteRef/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>סעיף 3 לכתב ההגנה; נספח א' לכתב ההגנה.</w:t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7074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4121E7">
      <w:rPr>
        <w:rFonts w:cs="FrankRuehl"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970745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ב"ל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39234-12-17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BE0F0C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60D14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4A437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D4024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C2D1D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A817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7AE67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2EE54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F6F2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63EB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E32605"/>
    <w:multiLevelType w:val="multilevel"/>
    <w:tmpl w:val="040D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4234E"/>
    <w:rsid w:val="001B00B9"/>
    <w:rsid w:val="001C4003"/>
    <w:rsid w:val="0025187E"/>
    <w:rsid w:val="00261B8D"/>
    <w:rsid w:val="002A7F24"/>
    <w:rsid w:val="003743D6"/>
    <w:rsid w:val="004121E7"/>
    <w:rsid w:val="00447F0C"/>
    <w:rsid w:val="004E6E3C"/>
    <w:rsid w:val="00541E41"/>
    <w:rsid w:val="00547DB7"/>
    <w:rsid w:val="00587156"/>
    <w:rsid w:val="00621052"/>
    <w:rsid w:val="00622BAA"/>
    <w:rsid w:val="00671BD5"/>
    <w:rsid w:val="006805C1"/>
    <w:rsid w:val="00694556"/>
    <w:rsid w:val="006C54DD"/>
    <w:rsid w:val="006E1A53"/>
    <w:rsid w:val="007C4F95"/>
    <w:rsid w:val="00820005"/>
    <w:rsid w:val="00832B1C"/>
    <w:rsid w:val="008A58D0"/>
    <w:rsid w:val="00903896"/>
    <w:rsid w:val="00960E9C"/>
    <w:rsid w:val="00970745"/>
    <w:rsid w:val="00AC4CCB"/>
    <w:rsid w:val="00B80CBD"/>
    <w:rsid w:val="00BE2307"/>
    <w:rsid w:val="00C40B78"/>
    <w:rsid w:val="00D53924"/>
    <w:rsid w:val="00D82900"/>
    <w:rsid w:val="00D96D8C"/>
    <w:rsid w:val="00DD5FF9"/>
    <w:rsid w:val="00E522BC"/>
    <w:rsid w:val="00E54642"/>
    <w:rsid w:val="00E97908"/>
    <w:rsid w:val="00ED431F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2D2D98E7"/>
  <w15:docId w15:val="{A4C590C5-5226-45AF-A712-E0E845CB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743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74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743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743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743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743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743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743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1"/>
    <w:link w:val="af0"/>
    <w:semiHidden/>
    <w:unhideWhenUsed/>
    <w:rsid w:val="00BE2307"/>
    <w:rPr>
      <w:sz w:val="20"/>
      <w:szCs w:val="20"/>
    </w:rPr>
  </w:style>
  <w:style w:type="character" w:customStyle="1" w:styleId="af0">
    <w:name w:val="טקסט הערת שוליים תו"/>
    <w:basedOn w:val="a2"/>
    <w:link w:val="af"/>
    <w:semiHidden/>
    <w:rsid w:val="00BE2307"/>
    <w:rPr>
      <w:rFonts w:cs="David"/>
      <w:noProof w:val="0"/>
    </w:rPr>
  </w:style>
  <w:style w:type="paragraph" w:styleId="23">
    <w:name w:val="Body Text 2"/>
    <w:basedOn w:val="a1"/>
    <w:link w:val="24"/>
    <w:semiHidden/>
    <w:unhideWhenUsed/>
    <w:rsid w:val="00BE2307"/>
    <w:pPr>
      <w:jc w:val="both"/>
    </w:pPr>
    <w:rPr>
      <w:b/>
      <w:bCs/>
    </w:rPr>
  </w:style>
  <w:style w:type="character" w:customStyle="1" w:styleId="24">
    <w:name w:val="גוף טקסט 2 תו"/>
    <w:basedOn w:val="a2"/>
    <w:link w:val="23"/>
    <w:semiHidden/>
    <w:rsid w:val="00BE2307"/>
    <w:rPr>
      <w:rFonts w:cs="David"/>
      <w:b/>
      <w:bCs/>
      <w:noProof w:val="0"/>
      <w:sz w:val="24"/>
      <w:szCs w:val="24"/>
    </w:rPr>
  </w:style>
  <w:style w:type="paragraph" w:styleId="af1">
    <w:name w:val="List Paragraph"/>
    <w:basedOn w:val="a1"/>
    <w:uiPriority w:val="34"/>
    <w:qFormat/>
    <w:rsid w:val="00BE2307"/>
    <w:pPr>
      <w:ind w:left="720"/>
    </w:pPr>
  </w:style>
  <w:style w:type="paragraph" w:customStyle="1" w:styleId="af2">
    <w:name w:val="אילן"/>
    <w:basedOn w:val="a1"/>
    <w:rsid w:val="00BE2307"/>
    <w:rPr>
      <w:sz w:val="22"/>
      <w:lang w:eastAsia="he-IL"/>
    </w:rPr>
  </w:style>
  <w:style w:type="character" w:styleId="af3">
    <w:name w:val="footnote reference"/>
    <w:semiHidden/>
    <w:unhideWhenUsed/>
    <w:rsid w:val="00BE2307"/>
    <w:rPr>
      <w:noProof w:val="0"/>
      <w:vertAlign w:val="superscript"/>
    </w:rPr>
  </w:style>
  <w:style w:type="character" w:styleId="FollowedHyperlink">
    <w:name w:val="FollowedHyperlink"/>
    <w:basedOn w:val="a2"/>
    <w:semiHidden/>
    <w:unhideWhenUsed/>
    <w:rsid w:val="003743D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743D6"/>
    <w:rPr>
      <w:i/>
      <w:iCs/>
      <w:noProof w:val="0"/>
    </w:rPr>
  </w:style>
  <w:style w:type="character" w:styleId="HTMLCode">
    <w:name w:val="HTML Code"/>
    <w:basedOn w:val="a2"/>
    <w:semiHidden/>
    <w:unhideWhenUsed/>
    <w:rsid w:val="003743D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743D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743D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743D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743D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743D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743D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743D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743D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743D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743D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743D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743D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743D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743D6"/>
    <w:pPr>
      <w:ind w:left="2160" w:hanging="240"/>
    </w:pPr>
  </w:style>
  <w:style w:type="paragraph" w:styleId="NormalWeb">
    <w:name w:val="Normal (Web)"/>
    <w:basedOn w:val="a1"/>
    <w:semiHidden/>
    <w:unhideWhenUsed/>
    <w:rsid w:val="003743D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743D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743D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743D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743D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743D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743D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743D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743D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743D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743D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743D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743D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Bibliography"/>
    <w:basedOn w:val="a1"/>
    <w:next w:val="a1"/>
    <w:uiPriority w:val="37"/>
    <w:semiHidden/>
    <w:unhideWhenUsed/>
    <w:rsid w:val="003743D6"/>
  </w:style>
  <w:style w:type="paragraph" w:styleId="af5">
    <w:name w:val="Salutation"/>
    <w:basedOn w:val="a1"/>
    <w:next w:val="a1"/>
    <w:link w:val="af6"/>
    <w:rsid w:val="003743D6"/>
  </w:style>
  <w:style w:type="character" w:customStyle="1" w:styleId="af6">
    <w:name w:val="ברכה תו"/>
    <w:basedOn w:val="a2"/>
    <w:link w:val="af5"/>
    <w:rsid w:val="003743D6"/>
    <w:rPr>
      <w:rFonts w:cs="David"/>
      <w:noProof w:val="0"/>
      <w:sz w:val="24"/>
      <w:szCs w:val="24"/>
    </w:rPr>
  </w:style>
  <w:style w:type="paragraph" w:styleId="af7">
    <w:name w:val="Body Text"/>
    <w:basedOn w:val="a1"/>
    <w:link w:val="af8"/>
    <w:semiHidden/>
    <w:unhideWhenUsed/>
    <w:rsid w:val="003743D6"/>
    <w:pPr>
      <w:spacing w:after="120"/>
    </w:pPr>
  </w:style>
  <w:style w:type="character" w:customStyle="1" w:styleId="af8">
    <w:name w:val="גוף טקסט תו"/>
    <w:basedOn w:val="a2"/>
    <w:link w:val="af7"/>
    <w:semiHidden/>
    <w:rsid w:val="003743D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743D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743D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743D6"/>
    <w:rPr>
      <w:rFonts w:ascii="Consolas" w:hAnsi="Consolas"/>
      <w:noProof w:val="0"/>
      <w:sz w:val="24"/>
      <w:szCs w:val="24"/>
    </w:rPr>
  </w:style>
  <w:style w:type="character" w:styleId="af9">
    <w:name w:val="Emphasis"/>
    <w:basedOn w:val="a2"/>
    <w:qFormat/>
    <w:rsid w:val="003743D6"/>
    <w:rPr>
      <w:i/>
      <w:iCs/>
      <w:noProof w:val="0"/>
    </w:rPr>
  </w:style>
  <w:style w:type="character" w:styleId="afa">
    <w:name w:val="Intense Emphasis"/>
    <w:basedOn w:val="a2"/>
    <w:uiPriority w:val="21"/>
    <w:qFormat/>
    <w:rsid w:val="003743D6"/>
    <w:rPr>
      <w:i/>
      <w:iCs/>
      <w:noProof w:val="0"/>
      <w:color w:val="4F81BD" w:themeColor="accent1"/>
    </w:rPr>
  </w:style>
  <w:style w:type="character" w:styleId="afb">
    <w:name w:val="Subtle Emphasis"/>
    <w:basedOn w:val="a2"/>
    <w:uiPriority w:val="19"/>
    <w:qFormat/>
    <w:rsid w:val="003743D6"/>
    <w:rPr>
      <w:i/>
      <w:iCs/>
      <w:noProof w:val="0"/>
      <w:color w:val="404040" w:themeColor="text1" w:themeTint="BF"/>
    </w:rPr>
  </w:style>
  <w:style w:type="paragraph" w:styleId="afc">
    <w:name w:val="List Continue"/>
    <w:basedOn w:val="a1"/>
    <w:semiHidden/>
    <w:unhideWhenUsed/>
    <w:rsid w:val="003743D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743D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743D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743D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743D6"/>
    <w:pPr>
      <w:spacing w:after="120"/>
      <w:ind w:left="1415"/>
      <w:contextualSpacing/>
    </w:pPr>
  </w:style>
  <w:style w:type="character" w:styleId="afd">
    <w:name w:val="Intense Reference"/>
    <w:basedOn w:val="a2"/>
    <w:uiPriority w:val="32"/>
    <w:qFormat/>
    <w:rsid w:val="003743D6"/>
    <w:rPr>
      <w:b/>
      <w:bCs/>
      <w:smallCaps/>
      <w:noProof w:val="0"/>
      <w:color w:val="4F81BD" w:themeColor="accent1"/>
      <w:spacing w:val="5"/>
    </w:rPr>
  </w:style>
  <w:style w:type="character" w:styleId="afe">
    <w:name w:val="endnote reference"/>
    <w:basedOn w:val="a2"/>
    <w:semiHidden/>
    <w:unhideWhenUsed/>
    <w:rsid w:val="003743D6"/>
    <w:rPr>
      <w:noProof w:val="0"/>
      <w:vertAlign w:val="superscript"/>
    </w:rPr>
  </w:style>
  <w:style w:type="character" w:styleId="aff">
    <w:name w:val="Subtle Reference"/>
    <w:basedOn w:val="a2"/>
    <w:uiPriority w:val="31"/>
    <w:qFormat/>
    <w:rsid w:val="003743D6"/>
    <w:rPr>
      <w:smallCaps/>
      <w:noProof w:val="0"/>
      <w:color w:val="5A5A5A" w:themeColor="text1" w:themeTint="A5"/>
    </w:rPr>
  </w:style>
  <w:style w:type="table" w:styleId="aff0">
    <w:name w:val="Light Shading"/>
    <w:basedOn w:val="a3"/>
    <w:uiPriority w:val="60"/>
    <w:semiHidden/>
    <w:unhideWhenUsed/>
    <w:rsid w:val="003743D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743D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743D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743D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743D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743D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743D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74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3743D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743D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743D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743D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743D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743D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743D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374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74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74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74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74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74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1">
    <w:name w:val="Colorful Shading"/>
    <w:basedOn w:val="a3"/>
    <w:uiPriority w:val="71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Strong"/>
    <w:basedOn w:val="a2"/>
    <w:qFormat/>
    <w:rsid w:val="003743D6"/>
    <w:rPr>
      <w:b/>
      <w:bCs/>
      <w:noProof w:val="0"/>
    </w:rPr>
  </w:style>
  <w:style w:type="paragraph" w:styleId="aff3">
    <w:name w:val="Signature"/>
    <w:basedOn w:val="a1"/>
    <w:link w:val="aff4"/>
    <w:semiHidden/>
    <w:unhideWhenUsed/>
    <w:rsid w:val="003743D6"/>
    <w:pPr>
      <w:ind w:left="4252"/>
    </w:pPr>
  </w:style>
  <w:style w:type="character" w:customStyle="1" w:styleId="aff4">
    <w:name w:val="חתימה תו"/>
    <w:basedOn w:val="a2"/>
    <w:link w:val="aff3"/>
    <w:semiHidden/>
    <w:rsid w:val="003743D6"/>
    <w:rPr>
      <w:rFonts w:cs="David"/>
      <w:noProof w:val="0"/>
      <w:sz w:val="24"/>
      <w:szCs w:val="24"/>
    </w:rPr>
  </w:style>
  <w:style w:type="paragraph" w:styleId="aff5">
    <w:name w:val="E-mail Signature"/>
    <w:basedOn w:val="a1"/>
    <w:link w:val="aff6"/>
    <w:semiHidden/>
    <w:unhideWhenUsed/>
    <w:rsid w:val="003743D6"/>
  </w:style>
  <w:style w:type="character" w:customStyle="1" w:styleId="aff6">
    <w:name w:val="חתימת דואר אלקטרוני תו"/>
    <w:basedOn w:val="a2"/>
    <w:link w:val="aff5"/>
    <w:semiHidden/>
    <w:rsid w:val="003743D6"/>
    <w:rPr>
      <w:rFonts w:cs="David"/>
      <w:noProof w:val="0"/>
      <w:sz w:val="24"/>
      <w:szCs w:val="24"/>
    </w:rPr>
  </w:style>
  <w:style w:type="table" w:styleId="aff7">
    <w:name w:val="Table Elegant"/>
    <w:basedOn w:val="a3"/>
    <w:semiHidden/>
    <w:unhideWhenUsed/>
    <w:rsid w:val="003743D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8">
    <w:name w:val="Table Professional"/>
    <w:basedOn w:val="a3"/>
    <w:semiHidden/>
    <w:unhideWhenUsed/>
    <w:rsid w:val="003743D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743D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743D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3"/>
    <w:semiHidden/>
    <w:unhideWhenUsed/>
    <w:rsid w:val="003743D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743D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743D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743D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743D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743D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743D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743D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743D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743D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743D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743D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743D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743D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743D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743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743D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743D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743D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743D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743D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743D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743D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743D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743D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743D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743D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743D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743D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743D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743D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743D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743D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743D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743D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743D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743D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743D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743D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743D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743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743D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743D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743D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743D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743D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743D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743D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743D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743D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743D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743D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743D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743D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743D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743D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743D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743D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743D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743D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743D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743D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743D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743D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743D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743D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743D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743D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743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743D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743D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743D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743D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743D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743D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743D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743D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743D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743D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743D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743D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743D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743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743D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743D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743D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743D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743D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743D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743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743D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743D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743D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743D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743D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743D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743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743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743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743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743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743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743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743D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743D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743D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743D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743D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743D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743D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743D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743D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743D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743D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743D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743D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743D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a">
    <w:name w:val="Block Text"/>
    <w:basedOn w:val="a1"/>
    <w:semiHidden/>
    <w:unhideWhenUsed/>
    <w:rsid w:val="003743D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b">
    <w:name w:val="endnote text"/>
    <w:basedOn w:val="a1"/>
    <w:link w:val="affc"/>
    <w:semiHidden/>
    <w:unhideWhenUsed/>
    <w:rsid w:val="003743D6"/>
    <w:rPr>
      <w:sz w:val="20"/>
      <w:szCs w:val="20"/>
    </w:rPr>
  </w:style>
  <w:style w:type="character" w:customStyle="1" w:styleId="affc">
    <w:name w:val="טקסט הערת סיום תו"/>
    <w:basedOn w:val="a2"/>
    <w:link w:val="affb"/>
    <w:semiHidden/>
    <w:rsid w:val="003743D6"/>
    <w:rPr>
      <w:rFonts w:cs="David"/>
      <w:noProof w:val="0"/>
    </w:rPr>
  </w:style>
  <w:style w:type="paragraph" w:styleId="affd">
    <w:name w:val="macro"/>
    <w:link w:val="affe"/>
    <w:semiHidden/>
    <w:unhideWhenUsed/>
    <w:rsid w:val="003743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3743D6"/>
    <w:rPr>
      <w:rFonts w:ascii="Consolas" w:hAnsi="Consolas" w:cs="David"/>
      <w:noProof w:val="0"/>
    </w:rPr>
  </w:style>
  <w:style w:type="character" w:styleId="afff">
    <w:name w:val="Placeholder Text"/>
    <w:basedOn w:val="a2"/>
    <w:uiPriority w:val="99"/>
    <w:semiHidden/>
    <w:rsid w:val="003743D6"/>
    <w:rPr>
      <w:noProof w:val="0"/>
      <w:color w:val="808080"/>
    </w:rPr>
  </w:style>
  <w:style w:type="paragraph" w:styleId="afff0">
    <w:name w:val="Plain Text"/>
    <w:basedOn w:val="a1"/>
    <w:link w:val="afff1"/>
    <w:semiHidden/>
    <w:unhideWhenUsed/>
    <w:rsid w:val="003743D6"/>
    <w:rPr>
      <w:rFonts w:ascii="Consolas" w:hAnsi="Consolas"/>
      <w:sz w:val="21"/>
      <w:szCs w:val="21"/>
    </w:rPr>
  </w:style>
  <w:style w:type="character" w:customStyle="1" w:styleId="afff1">
    <w:name w:val="טקסט רגיל תו"/>
    <w:basedOn w:val="a2"/>
    <w:link w:val="afff0"/>
    <w:semiHidden/>
    <w:rsid w:val="003743D6"/>
    <w:rPr>
      <w:rFonts w:ascii="Consolas" w:hAnsi="Consolas" w:cs="David"/>
      <w:noProof w:val="0"/>
      <w:sz w:val="21"/>
      <w:szCs w:val="21"/>
    </w:rPr>
  </w:style>
  <w:style w:type="character" w:styleId="afff2">
    <w:name w:val="Book Title"/>
    <w:basedOn w:val="a2"/>
    <w:uiPriority w:val="33"/>
    <w:qFormat/>
    <w:rsid w:val="003743D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743D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743D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743D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743D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743D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743D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743D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743D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3">
    <w:name w:val="index heading"/>
    <w:basedOn w:val="a1"/>
    <w:next w:val="Index1"/>
    <w:semiHidden/>
    <w:unhideWhenUsed/>
    <w:rsid w:val="003743D6"/>
    <w:rPr>
      <w:rFonts w:asciiTheme="majorHAnsi" w:eastAsiaTheme="majorEastAsia" w:hAnsiTheme="majorHAnsi" w:cstheme="majorBidi"/>
      <w:b/>
      <w:bCs/>
    </w:rPr>
  </w:style>
  <w:style w:type="paragraph" w:styleId="afff4">
    <w:name w:val="Note Heading"/>
    <w:basedOn w:val="a1"/>
    <w:next w:val="a1"/>
    <w:link w:val="afff5"/>
    <w:semiHidden/>
    <w:unhideWhenUsed/>
    <w:rsid w:val="003743D6"/>
  </w:style>
  <w:style w:type="character" w:customStyle="1" w:styleId="afff5">
    <w:name w:val="כותרת הערות תו"/>
    <w:basedOn w:val="a2"/>
    <w:link w:val="afff4"/>
    <w:semiHidden/>
    <w:rsid w:val="003743D6"/>
    <w:rPr>
      <w:rFonts w:cs="David"/>
      <w:noProof w:val="0"/>
      <w:sz w:val="24"/>
      <w:szCs w:val="24"/>
    </w:rPr>
  </w:style>
  <w:style w:type="paragraph" w:styleId="afff6">
    <w:name w:val="Title"/>
    <w:basedOn w:val="a1"/>
    <w:next w:val="a1"/>
    <w:link w:val="afff7"/>
    <w:qFormat/>
    <w:rsid w:val="003743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7">
    <w:name w:val="כותרת טקסט תו"/>
    <w:basedOn w:val="a2"/>
    <w:link w:val="afff6"/>
    <w:rsid w:val="003743D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8">
    <w:name w:val="Subtitle"/>
    <w:basedOn w:val="a1"/>
    <w:next w:val="a1"/>
    <w:link w:val="afff9"/>
    <w:qFormat/>
    <w:rsid w:val="003743D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9">
    <w:name w:val="כותרת משנה תו"/>
    <w:basedOn w:val="a2"/>
    <w:link w:val="afff8"/>
    <w:rsid w:val="003743D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a">
    <w:name w:val="Message Header"/>
    <w:basedOn w:val="a1"/>
    <w:link w:val="afffb"/>
    <w:semiHidden/>
    <w:unhideWhenUsed/>
    <w:rsid w:val="003743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b">
    <w:name w:val="כותרת עליונה של הודעה תו"/>
    <w:basedOn w:val="a2"/>
    <w:link w:val="afffa"/>
    <w:semiHidden/>
    <w:rsid w:val="003743D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c">
    <w:name w:val="toa heading"/>
    <w:basedOn w:val="a1"/>
    <w:next w:val="a1"/>
    <w:semiHidden/>
    <w:unhideWhenUsed/>
    <w:rsid w:val="003743D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d">
    <w:name w:val="TOC Heading"/>
    <w:basedOn w:val="1"/>
    <w:next w:val="a1"/>
    <w:uiPriority w:val="39"/>
    <w:semiHidden/>
    <w:unhideWhenUsed/>
    <w:qFormat/>
    <w:rsid w:val="003743D6"/>
    <w:pPr>
      <w:outlineLvl w:val="9"/>
    </w:pPr>
  </w:style>
  <w:style w:type="paragraph" w:styleId="afffe">
    <w:name w:val="caption"/>
    <w:basedOn w:val="a1"/>
    <w:next w:val="a1"/>
    <w:semiHidden/>
    <w:unhideWhenUsed/>
    <w:qFormat/>
    <w:rsid w:val="003743D6"/>
    <w:pPr>
      <w:spacing w:after="200"/>
    </w:pPr>
    <w:rPr>
      <w:i/>
      <w:iCs/>
      <w:color w:val="1F497D" w:themeColor="text2"/>
      <w:sz w:val="18"/>
      <w:szCs w:val="18"/>
    </w:rPr>
  </w:style>
  <w:style w:type="paragraph" w:styleId="affff">
    <w:name w:val="Body Text Indent"/>
    <w:basedOn w:val="a1"/>
    <w:link w:val="affff0"/>
    <w:semiHidden/>
    <w:unhideWhenUsed/>
    <w:rsid w:val="003743D6"/>
    <w:pPr>
      <w:spacing w:after="120"/>
      <w:ind w:left="283"/>
    </w:pPr>
  </w:style>
  <w:style w:type="character" w:customStyle="1" w:styleId="affff0">
    <w:name w:val="כניסה בגוף טקסט תו"/>
    <w:basedOn w:val="a2"/>
    <w:link w:val="affff"/>
    <w:semiHidden/>
    <w:rsid w:val="003743D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743D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743D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743D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743D6"/>
    <w:rPr>
      <w:rFonts w:cs="David"/>
      <w:noProof w:val="0"/>
      <w:sz w:val="16"/>
      <w:szCs w:val="16"/>
    </w:rPr>
  </w:style>
  <w:style w:type="paragraph" w:styleId="affff1">
    <w:name w:val="Normal Indent"/>
    <w:basedOn w:val="a1"/>
    <w:semiHidden/>
    <w:unhideWhenUsed/>
    <w:rsid w:val="003743D6"/>
    <w:pPr>
      <w:ind w:left="720"/>
    </w:pPr>
  </w:style>
  <w:style w:type="paragraph" w:styleId="affff2">
    <w:name w:val="Body Text First Indent"/>
    <w:basedOn w:val="af7"/>
    <w:link w:val="affff3"/>
    <w:rsid w:val="003743D6"/>
    <w:pPr>
      <w:spacing w:after="0"/>
      <w:ind w:firstLine="360"/>
    </w:pPr>
  </w:style>
  <w:style w:type="character" w:customStyle="1" w:styleId="affff3">
    <w:name w:val="כניסת שורה ראשונה בגוף טקסט תו"/>
    <w:basedOn w:val="af8"/>
    <w:link w:val="affff2"/>
    <w:rsid w:val="003743D6"/>
    <w:rPr>
      <w:rFonts w:cs="David"/>
      <w:noProof w:val="0"/>
      <w:sz w:val="24"/>
      <w:szCs w:val="24"/>
    </w:rPr>
  </w:style>
  <w:style w:type="paragraph" w:styleId="2f1">
    <w:name w:val="Body Text First Indent 2"/>
    <w:basedOn w:val="affff"/>
    <w:link w:val="2f2"/>
    <w:semiHidden/>
    <w:unhideWhenUsed/>
    <w:rsid w:val="003743D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0"/>
    <w:link w:val="2f1"/>
    <w:semiHidden/>
    <w:rsid w:val="003743D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743D6"/>
    <w:rPr>
      <w:i/>
      <w:iCs/>
    </w:rPr>
  </w:style>
  <w:style w:type="character" w:customStyle="1" w:styleId="HTML3">
    <w:name w:val="כתובת HTML תו"/>
    <w:basedOn w:val="a2"/>
    <w:link w:val="HTML2"/>
    <w:semiHidden/>
    <w:rsid w:val="003743D6"/>
    <w:rPr>
      <w:rFonts w:cs="David"/>
      <w:i/>
      <w:iCs/>
      <w:noProof w:val="0"/>
      <w:sz w:val="24"/>
      <w:szCs w:val="24"/>
    </w:rPr>
  </w:style>
  <w:style w:type="paragraph" w:styleId="affff4">
    <w:name w:val="envelope address"/>
    <w:basedOn w:val="a1"/>
    <w:semiHidden/>
    <w:unhideWhenUsed/>
    <w:rsid w:val="003743D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5">
    <w:name w:val="envelope return"/>
    <w:basedOn w:val="a1"/>
    <w:semiHidden/>
    <w:unhideWhenUsed/>
    <w:rsid w:val="003743D6"/>
    <w:rPr>
      <w:rFonts w:asciiTheme="majorHAnsi" w:eastAsiaTheme="majorEastAsia" w:hAnsiTheme="majorHAnsi" w:cstheme="majorBidi"/>
      <w:sz w:val="20"/>
      <w:szCs w:val="20"/>
    </w:rPr>
  </w:style>
  <w:style w:type="paragraph" w:styleId="affff6">
    <w:name w:val="No Spacing"/>
    <w:uiPriority w:val="1"/>
    <w:qFormat/>
    <w:rsid w:val="003743D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743D6"/>
    <w:rPr>
      <w:rFonts w:ascii="Consolas" w:hAnsi="Consolas"/>
      <w:noProof w:val="0"/>
      <w:sz w:val="20"/>
      <w:szCs w:val="20"/>
    </w:rPr>
  </w:style>
  <w:style w:type="paragraph" w:styleId="affff7">
    <w:name w:val="Document Map"/>
    <w:basedOn w:val="a1"/>
    <w:link w:val="affff8"/>
    <w:semiHidden/>
    <w:unhideWhenUsed/>
    <w:rsid w:val="003743D6"/>
    <w:rPr>
      <w:rFonts w:ascii="Tahoma" w:hAnsi="Tahoma" w:cs="Tahoma"/>
      <w:sz w:val="16"/>
      <w:szCs w:val="16"/>
    </w:rPr>
  </w:style>
  <w:style w:type="character" w:customStyle="1" w:styleId="affff8">
    <w:name w:val="מפת מסמך תו"/>
    <w:basedOn w:val="a2"/>
    <w:link w:val="affff7"/>
    <w:semiHidden/>
    <w:rsid w:val="003743D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743D6"/>
    <w:rPr>
      <w:rFonts w:ascii="Consolas" w:hAnsi="Consolas"/>
      <w:noProof w:val="0"/>
      <w:sz w:val="20"/>
      <w:szCs w:val="20"/>
    </w:rPr>
  </w:style>
  <w:style w:type="paragraph" w:styleId="affff9">
    <w:name w:val="annotation subject"/>
    <w:basedOn w:val="a8"/>
    <w:next w:val="a8"/>
    <w:link w:val="affffa"/>
    <w:semiHidden/>
    <w:unhideWhenUsed/>
    <w:rsid w:val="003743D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743D6"/>
    <w:rPr>
      <w:noProof w:val="0"/>
      <w:sz w:val="24"/>
      <w:szCs w:val="24"/>
    </w:rPr>
  </w:style>
  <w:style w:type="character" w:customStyle="1" w:styleId="affffa">
    <w:name w:val="נושא הערה תו"/>
    <w:basedOn w:val="a9"/>
    <w:link w:val="affff9"/>
    <w:semiHidden/>
    <w:rsid w:val="003743D6"/>
    <w:rPr>
      <w:rFonts w:cs="David"/>
      <w:b/>
      <w:bCs/>
      <w:noProof w:val="0"/>
      <w:sz w:val="24"/>
      <w:szCs w:val="24"/>
    </w:rPr>
  </w:style>
  <w:style w:type="table" w:styleId="affffb">
    <w:name w:val="Table Theme"/>
    <w:basedOn w:val="a3"/>
    <w:semiHidden/>
    <w:unhideWhenUsed/>
    <w:rsid w:val="003743D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c">
    <w:name w:val="Closing"/>
    <w:basedOn w:val="a1"/>
    <w:link w:val="affffd"/>
    <w:semiHidden/>
    <w:unhideWhenUsed/>
    <w:rsid w:val="003743D6"/>
    <w:pPr>
      <w:ind w:left="4252"/>
    </w:pPr>
  </w:style>
  <w:style w:type="character" w:customStyle="1" w:styleId="affffd">
    <w:name w:val="סיום תו"/>
    <w:basedOn w:val="a2"/>
    <w:link w:val="affffc"/>
    <w:semiHidden/>
    <w:rsid w:val="003743D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743D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743D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743D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743D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743D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e">
    <w:name w:val="Quote"/>
    <w:basedOn w:val="a1"/>
    <w:next w:val="a1"/>
    <w:link w:val="afffff"/>
    <w:uiPriority w:val="29"/>
    <w:qFormat/>
    <w:rsid w:val="003743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">
    <w:name w:val="ציטוט תו"/>
    <w:basedOn w:val="a2"/>
    <w:link w:val="affffe"/>
    <w:uiPriority w:val="29"/>
    <w:rsid w:val="003743D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0">
    <w:name w:val="Intense Quote"/>
    <w:basedOn w:val="a1"/>
    <w:next w:val="a1"/>
    <w:link w:val="afffff1"/>
    <w:uiPriority w:val="30"/>
    <w:qFormat/>
    <w:rsid w:val="003743D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1">
    <w:name w:val="ציטוט חזק תו"/>
    <w:basedOn w:val="a2"/>
    <w:link w:val="afffff0"/>
    <w:uiPriority w:val="30"/>
    <w:rsid w:val="003743D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743D6"/>
    <w:rPr>
      <w:noProof w:val="0"/>
    </w:rPr>
  </w:style>
  <w:style w:type="paragraph" w:styleId="afffff2">
    <w:name w:val="List"/>
    <w:basedOn w:val="a1"/>
    <w:semiHidden/>
    <w:unhideWhenUsed/>
    <w:rsid w:val="003743D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743D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743D6"/>
    <w:pPr>
      <w:ind w:left="849" w:hanging="283"/>
      <w:contextualSpacing/>
    </w:pPr>
  </w:style>
  <w:style w:type="paragraph" w:styleId="48">
    <w:name w:val="List 4"/>
    <w:basedOn w:val="a1"/>
    <w:rsid w:val="003743D6"/>
    <w:pPr>
      <w:ind w:left="1132" w:hanging="283"/>
      <w:contextualSpacing/>
    </w:pPr>
  </w:style>
  <w:style w:type="paragraph" w:styleId="58">
    <w:name w:val="List 5"/>
    <w:basedOn w:val="a1"/>
    <w:rsid w:val="003743D6"/>
    <w:pPr>
      <w:ind w:left="1415" w:hanging="283"/>
      <w:contextualSpacing/>
    </w:pPr>
  </w:style>
  <w:style w:type="table" w:styleId="afffff3">
    <w:name w:val="Light List"/>
    <w:basedOn w:val="a3"/>
    <w:uiPriority w:val="61"/>
    <w:semiHidden/>
    <w:unhideWhenUsed/>
    <w:rsid w:val="003743D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743D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743D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743D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743D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743D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743D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743D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743D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743D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743D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743D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743D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743D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743D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743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743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743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743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743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743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743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4">
    <w:name w:val="Dark List"/>
    <w:basedOn w:val="a3"/>
    <w:uiPriority w:val="70"/>
    <w:semiHidden/>
    <w:unhideWhenUsed/>
    <w:rsid w:val="003743D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743D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743D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743D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743D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743D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743D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743D6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3743D6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3743D6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3743D6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3743D6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3743D6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3743D6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3743D6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3743D6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3743D6"/>
    <w:pPr>
      <w:numPr>
        <w:numId w:val="11"/>
      </w:numPr>
      <w:contextualSpacing/>
    </w:pPr>
  </w:style>
  <w:style w:type="table" w:styleId="afffff5">
    <w:name w:val="Colorful List"/>
    <w:basedOn w:val="a3"/>
    <w:uiPriority w:val="72"/>
    <w:semiHidden/>
    <w:unhideWhenUsed/>
    <w:rsid w:val="003743D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743D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743D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743D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743D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743D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743D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6">
    <w:name w:val="table of figures"/>
    <w:basedOn w:val="a1"/>
    <w:next w:val="a1"/>
    <w:semiHidden/>
    <w:unhideWhenUsed/>
    <w:rsid w:val="003743D6"/>
  </w:style>
  <w:style w:type="paragraph" w:styleId="afffff7">
    <w:name w:val="table of authorities"/>
    <w:basedOn w:val="a1"/>
    <w:next w:val="a1"/>
    <w:semiHidden/>
    <w:unhideWhenUsed/>
    <w:rsid w:val="003743D6"/>
    <w:pPr>
      <w:ind w:left="240" w:hanging="240"/>
    </w:pPr>
  </w:style>
  <w:style w:type="table" w:styleId="afffff8">
    <w:name w:val="Light Grid"/>
    <w:basedOn w:val="a3"/>
    <w:uiPriority w:val="62"/>
    <w:semiHidden/>
    <w:unhideWhenUsed/>
    <w:rsid w:val="003743D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743D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743D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743D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743D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743D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743D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743D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743D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743D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743D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743D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743D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743D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743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743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743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743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743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743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743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743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743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743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743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743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743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743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743D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743D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743D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743D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743D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743D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743D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743D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3743D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a">
    <w:name w:val="Colorful Grid"/>
    <w:basedOn w:val="a3"/>
    <w:uiPriority w:val="73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743D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b">
    <w:name w:val="Date"/>
    <w:basedOn w:val="a1"/>
    <w:next w:val="a1"/>
    <w:link w:val="afffffc"/>
    <w:rsid w:val="003743D6"/>
  </w:style>
  <w:style w:type="character" w:customStyle="1" w:styleId="afffffc">
    <w:name w:val="תאריך תו"/>
    <w:basedOn w:val="a2"/>
    <w:link w:val="afffffb"/>
    <w:rsid w:val="003743D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emf" Id="rId1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emf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988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קרן כהן-שופטת</cp:lastModifiedBy>
  <cp:revision>23</cp:revision>
  <dcterms:created xsi:type="dcterms:W3CDTF">2012-08-06T01:26:00Z</dcterms:created>
  <dcterms:modified xsi:type="dcterms:W3CDTF">2018-04-12T09:59:00Z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