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3E4D7F" w:rsidR="00694556">
        <w:trPr>
          <w:jc w:val="center"/>
        </w:trPr>
        <w:tc>
          <w:tcPr>
            <w:tcW w:w="743" w:type="dxa"/>
          </w:tcPr>
          <w:p w:rsidRPr="003E4D7F" w:rsidR="00694556" w:rsidRDefault="00005C8B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E4D7F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ב</w:t>
            </w:r>
            <w:r w:rsidRPr="003E4D7F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3E4D7F" w:rsidR="00694556" w:rsidRDefault="00005C8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E4D7F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-212553787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3E4D7F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-137115012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אילת שומרוני-ברנשטיין</w:t>
                </w:r>
              </w:sdtContent>
            </w:sdt>
          </w:p>
          <w:p w:rsidRPr="003E4D7F" w:rsidR="00694556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3E4D7F" w:rsidR="00694556">
        <w:trPr>
          <w:jc w:val="center"/>
        </w:trPr>
        <w:tc>
          <w:tcPr>
            <w:tcW w:w="3249" w:type="dxa"/>
            <w:gridSpan w:val="2"/>
          </w:tcPr>
          <w:p w:rsidRPr="003E4D7F" w:rsidR="00694556" w:rsidP="00606E37" w:rsidRDefault="005C0FDD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E4D7F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0"/>
                <w:tag w:val="1180"/>
                <w:id w:val="1092353113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</w:tcPr>
          <w:p w:rsidRPr="003E4D7F" w:rsidR="00D901AC" w:rsidP="00606E37" w:rsidRDefault="004003FD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382709940"/>
                <w:text w:multiLine="1"/>
              </w:sdtPr>
              <w:sdtEndPr/>
              <w:sdtContent>
                <w:r w:rsidR="0095480A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צביקה פליקס</w:t>
                </w:r>
              </w:sdtContent>
            </w:sdt>
            <w:r w:rsidRPr="003E4D7F" w:rsidR="00FD1725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2316"/>
                <w:tag w:val="2316"/>
                <w:id w:val="1893008621"/>
                <w:text w:multiLine="1"/>
              </w:sdtPr>
              <w:sdtEndPr/>
              <w:sdtContent>
                <w:r w:rsidR="0095480A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053411328</w:t>
                </w:r>
              </w:sdtContent>
            </w:sdt>
          </w:p>
        </w:tc>
      </w:tr>
      <w:tr w:rsidRPr="003E4D7F" w:rsidR="00694556">
        <w:trPr>
          <w:jc w:val="center"/>
        </w:trPr>
        <w:tc>
          <w:tcPr>
            <w:tcW w:w="8820" w:type="dxa"/>
            <w:gridSpan w:val="3"/>
          </w:tcPr>
          <w:p w:rsidRPr="003E4D7F" w:rsidR="00694556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3E4D7F" w:rsidR="00694556" w:rsidP="00606E37" w:rsidRDefault="00913E52">
            <w:pPr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E4D7F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  <w:p w:rsidRPr="003E4D7F" w:rsidR="00913E52" w:rsidP="00913E52" w:rsidRDefault="00913E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</w:p>
        </w:tc>
      </w:tr>
      <w:tr w:rsidRPr="003E4D7F" w:rsidR="00694556">
        <w:trPr>
          <w:jc w:val="center"/>
        </w:trPr>
        <w:tc>
          <w:tcPr>
            <w:tcW w:w="3249" w:type="dxa"/>
            <w:gridSpan w:val="2"/>
          </w:tcPr>
          <w:p w:rsidRPr="003E4D7F" w:rsidR="00694556" w:rsidP="00606E37" w:rsidRDefault="005C0FDD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E4D7F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4"/>
                <w:tag w:val="1184"/>
                <w:id w:val="1318302728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Pr="003E4D7F" w:rsidR="00D901AC" w:rsidP="00606E37" w:rsidRDefault="005A238A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3E4D7F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>המוסד לביטוח לאומי</w:t>
            </w:r>
          </w:p>
        </w:tc>
      </w:tr>
    </w:tbl>
    <w:p w:rsidRPr="003E4D7F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3E4D7F" w:rsidR="00694556">
        <w:trPr>
          <w:jc w:val="center"/>
        </w:trPr>
        <w:tc>
          <w:tcPr>
            <w:tcW w:w="8820" w:type="dxa"/>
          </w:tcPr>
          <w:p w:rsidRPr="003E4D7F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E4D7F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Pr="003E4D7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06E37" w:rsidP="00CA19C4" w:rsidRDefault="00606E37">
      <w:pPr>
        <w:pStyle w:val="ac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606E37">
        <w:rPr>
          <w:rFonts w:hint="cs" w:ascii="Arial" w:hAnsi="Arial"/>
          <w:noProof w:val="0"/>
          <w:sz w:val="28"/>
          <w:szCs w:val="28"/>
          <w:rtl/>
        </w:rPr>
        <w:t>ביום 13.3.2018 הגיש התובע תביעה לצו עשה, במסגרת</w:t>
      </w:r>
      <w:r w:rsidR="00CA19C4">
        <w:rPr>
          <w:rFonts w:hint="cs" w:ascii="Arial" w:hAnsi="Arial"/>
          <w:noProof w:val="0"/>
          <w:sz w:val="28"/>
          <w:szCs w:val="28"/>
          <w:rtl/>
        </w:rPr>
        <w:t>ה</w:t>
      </w:r>
      <w:r w:rsidRPr="00606E37">
        <w:rPr>
          <w:rFonts w:hint="cs" w:ascii="Arial" w:hAnsi="Arial"/>
          <w:noProof w:val="0"/>
          <w:sz w:val="28"/>
          <w:szCs w:val="28"/>
          <w:rtl/>
        </w:rPr>
        <w:t xml:space="preserve"> עתר לכך שבית הדין יורה</w:t>
      </w:r>
      <w:r>
        <w:rPr>
          <w:rFonts w:hint="cs" w:ascii="Arial" w:hAnsi="Arial"/>
          <w:noProof w:val="0"/>
          <w:sz w:val="28"/>
          <w:szCs w:val="28"/>
          <w:rtl/>
        </w:rPr>
        <w:t xml:space="preserve"> ל</w:t>
      </w:r>
      <w:r w:rsidR="00CA19C4">
        <w:rPr>
          <w:rFonts w:hint="cs" w:ascii="Arial" w:hAnsi="Arial"/>
          <w:noProof w:val="0"/>
          <w:sz w:val="28"/>
          <w:szCs w:val="28"/>
          <w:rtl/>
        </w:rPr>
        <w:t>נתבע ל</w:t>
      </w:r>
      <w:r>
        <w:rPr>
          <w:rFonts w:hint="cs" w:ascii="Arial" w:hAnsi="Arial"/>
          <w:noProof w:val="0"/>
          <w:sz w:val="28"/>
          <w:szCs w:val="28"/>
          <w:rtl/>
        </w:rPr>
        <w:t>דון בתביעת התובע לדמי פגיעה ולגמלת נכות מעבודה.</w:t>
      </w:r>
    </w:p>
    <w:p w:rsidR="00606E37" w:rsidP="00606E37" w:rsidRDefault="00606E37">
      <w:pPr>
        <w:pStyle w:val="ac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>
        <w:rPr>
          <w:rFonts w:hint="cs" w:ascii="Arial" w:hAnsi="Arial"/>
          <w:noProof w:val="0"/>
          <w:sz w:val="28"/>
          <w:szCs w:val="28"/>
          <w:rtl/>
        </w:rPr>
        <w:t>ביום 21.3.2018 התקבלה הודעה במקום כתב הגנה מטעם הנתבע, לפיו תביעת התובע נדחתה ביום 8.3.2018.</w:t>
      </w:r>
    </w:p>
    <w:p w:rsidR="00606E37" w:rsidP="00606E37" w:rsidRDefault="00606E37">
      <w:pPr>
        <w:pStyle w:val="ac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>
        <w:rPr>
          <w:rFonts w:hint="cs" w:ascii="Arial" w:hAnsi="Arial"/>
          <w:noProof w:val="0"/>
          <w:sz w:val="28"/>
          <w:szCs w:val="28"/>
          <w:rtl/>
        </w:rPr>
        <w:t>בהחלטת בית הדי</w:t>
      </w:r>
      <w:r>
        <w:rPr>
          <w:rFonts w:hint="eastAsia" w:ascii="Arial" w:hAnsi="Arial"/>
          <w:noProof w:val="0"/>
          <w:sz w:val="28"/>
          <w:szCs w:val="28"/>
          <w:rtl/>
        </w:rPr>
        <w:t>ן</w:t>
      </w:r>
      <w:r>
        <w:rPr>
          <w:rFonts w:hint="cs" w:ascii="Arial" w:hAnsi="Arial"/>
          <w:noProof w:val="0"/>
          <w:sz w:val="28"/>
          <w:szCs w:val="28"/>
          <w:rtl/>
        </w:rPr>
        <w:t xml:space="preserve"> מיום 22.3.2018 נקבע שככל שלא תקבל הודעה מטעם התובע עד ליום 10.4.2018 </w:t>
      </w:r>
      <w:r>
        <w:rPr>
          <w:rFonts w:ascii="Arial" w:hAnsi="Arial"/>
          <w:noProof w:val="0"/>
          <w:sz w:val="28"/>
          <w:szCs w:val="28"/>
          <w:rtl/>
        </w:rPr>
        <w:t>–</w:t>
      </w:r>
      <w:r>
        <w:rPr>
          <w:rFonts w:hint="cs" w:ascii="Arial" w:hAnsi="Arial"/>
          <w:noProof w:val="0"/>
          <w:sz w:val="28"/>
          <w:szCs w:val="28"/>
          <w:rtl/>
        </w:rPr>
        <w:t xml:space="preserve"> התביעה תמחק.</w:t>
      </w:r>
    </w:p>
    <w:p w:rsidR="00694556" w:rsidP="00CA19C4" w:rsidRDefault="00606E37">
      <w:pPr>
        <w:pStyle w:val="ac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606E37">
        <w:rPr>
          <w:rFonts w:hint="cs" w:ascii="Arial" w:hAnsi="Arial"/>
          <w:noProof w:val="0"/>
          <w:sz w:val="28"/>
          <w:szCs w:val="28"/>
          <w:rtl/>
        </w:rPr>
        <w:t xml:space="preserve"> </w:t>
      </w:r>
      <w:r>
        <w:rPr>
          <w:rFonts w:hint="cs" w:ascii="Arial" w:hAnsi="Arial"/>
          <w:noProof w:val="0"/>
          <w:sz w:val="28"/>
          <w:szCs w:val="28"/>
          <w:rtl/>
        </w:rPr>
        <w:t>היות והמועד חלף ולא התקבלה כל הודעה מטעם התובע ולאור המפורט ב</w:t>
      </w:r>
      <w:r w:rsidR="00CA19C4">
        <w:rPr>
          <w:rFonts w:hint="cs" w:ascii="Arial" w:hAnsi="Arial"/>
          <w:noProof w:val="0"/>
          <w:sz w:val="28"/>
          <w:szCs w:val="28"/>
          <w:rtl/>
        </w:rPr>
        <w:t>הודעת הנתבע</w:t>
      </w:r>
      <w:bookmarkStart w:name="_GoBack" w:id="0"/>
      <w:bookmarkEnd w:id="0"/>
      <w:r>
        <w:rPr>
          <w:rFonts w:hint="cs" w:ascii="Arial" w:hAnsi="Arial"/>
          <w:noProof w:val="0"/>
          <w:sz w:val="28"/>
          <w:szCs w:val="28"/>
          <w:rtl/>
        </w:rPr>
        <w:t xml:space="preserve"> </w:t>
      </w:r>
      <w:r>
        <w:rPr>
          <w:rFonts w:ascii="Arial" w:hAnsi="Arial"/>
          <w:noProof w:val="0"/>
          <w:sz w:val="28"/>
          <w:szCs w:val="28"/>
          <w:rtl/>
        </w:rPr>
        <w:t>–</w:t>
      </w:r>
      <w:r>
        <w:rPr>
          <w:rFonts w:hint="cs" w:ascii="Arial" w:hAnsi="Arial"/>
          <w:noProof w:val="0"/>
          <w:sz w:val="28"/>
          <w:szCs w:val="28"/>
          <w:rtl/>
        </w:rPr>
        <w:t xml:space="preserve"> התביעה נמחקת ללא צו להוצאות.</w:t>
      </w:r>
    </w:p>
    <w:p w:rsidRPr="003E4D7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E4D7F" w:rsidR="00694556" w:rsidP="00606E37" w:rsidRDefault="005C0FDD">
      <w:pPr>
        <w:ind w:left="360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E4D7F">
        <w:rPr>
          <w:rFonts w:ascii="Arial" w:hAnsi="Arial"/>
          <w:b/>
          <w:bCs/>
          <w:noProof w:val="0"/>
          <w:sz w:val="28"/>
          <w:szCs w:val="28"/>
          <w:rtl/>
        </w:rPr>
        <w:t>ניתן היום</w:t>
      </w:r>
      <w:r w:rsidRPr="003E4D7F" w:rsidR="0035232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</w:t>
      </w:r>
      <w:sdt>
        <w:sdtPr>
          <w:rPr>
            <w:sz w:val="28"/>
            <w:szCs w:val="28"/>
            <w:rtl/>
          </w:rPr>
          <w:alias w:val="1455"/>
          <w:tag w:val="1455"/>
          <w:id w:val="-11929121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3E4D7F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sdt>
        <w:sdtPr>
          <w:rPr>
            <w:sz w:val="28"/>
            <w:szCs w:val="28"/>
            <w:rtl/>
          </w:rPr>
          <w:alias w:val="1456"/>
          <w:tag w:val="1456"/>
          <w:id w:val="74553322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3E4D7F" w:rsidR="0035232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</w:t>
      </w:r>
      <w:r w:rsidRPr="003E4D7F">
        <w:rPr>
          <w:rFonts w:hint="cs" w:ascii="Arial" w:hAnsi="Arial"/>
          <w:b/>
          <w:bCs/>
          <w:noProof w:val="0"/>
          <w:sz w:val="28"/>
          <w:szCs w:val="28"/>
          <w:rtl/>
        </w:rPr>
        <w:t>בהעדר הצדדים ויישלח אליהם.</w:t>
      </w:r>
    </w:p>
    <w:p w:rsidRPr="003E4D7F" w:rsidR="00694556" w:rsidP="00606E37" w:rsidRDefault="00694556">
      <w:pPr>
        <w:jc w:val="both"/>
        <w:rPr>
          <w:rFonts w:ascii="Arial" w:hAnsi="Arial"/>
          <w:noProof w:val="0"/>
          <w:sz w:val="28"/>
          <w:szCs w:val="28"/>
          <w:rtl/>
        </w:rPr>
      </w:pPr>
    </w:p>
    <w:p w:rsidRPr="003E4D7F" w:rsidR="00694556" w:rsidP="00606E37" w:rsidRDefault="004003FD">
      <w:pPr>
        <w:spacing w:line="360" w:lineRule="auto"/>
        <w:ind w:left="3600" w:firstLine="720"/>
        <w:jc w:val="both"/>
        <w:rPr>
          <w:rFonts w:ascii="Arial" w:hAnsi="Arial"/>
          <w:noProof w:val="0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859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8010255077b4fc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3E4D7F"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A05B04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003F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003F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003F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86500B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="00694556" w:rsidRDefault="005C0FDD">
          <w:pPr>
            <w:pStyle w:val="a3"/>
            <w:jc w:val="center"/>
            <w:rPr>
              <w:rFonts w:ascii="Tahoma" w:hAnsi="Tahoma" w:cs="Tahoma"/>
              <w:noProof w:val="0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noProof w:val="0"/>
              <w:color w:val="000080"/>
              <w:rtl/>
            </w:rPr>
            <w:t>בבית-הדין האזורי לעבודה בחיפה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913E52" w:rsidR="00694556" w:rsidP="00913E52" w:rsidRDefault="004003FD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57833637"/>
              <w:text w:multiLine="1"/>
            </w:sdtPr>
            <w:sdtEndPr/>
            <w:sdtContent>
              <w:r w:rsidR="0095480A">
                <w:rPr>
                  <w:b/>
                  <w:bCs/>
                  <w:noProof w:val="0"/>
                  <w:sz w:val="26"/>
                  <w:szCs w:val="26"/>
                  <w:rtl/>
                </w:rPr>
                <w:t>ב"ל</w:t>
              </w:r>
            </w:sdtContent>
          </w:sdt>
          <w:r w:rsidRPr="00913E52" w:rsidR="00913E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660677425"/>
              <w:text w:multiLine="1"/>
            </w:sdtPr>
            <w:sdtEndPr/>
            <w:sdtContent>
              <w:r w:rsidR="0095480A">
                <w:rPr>
                  <w:b/>
                  <w:bCs/>
                  <w:noProof w:val="0"/>
                  <w:sz w:val="26"/>
                  <w:szCs w:val="26"/>
                  <w:rtl/>
                </w:rPr>
                <w:t>27482-03-18</w:t>
              </w:r>
            </w:sdtContent>
          </w:sdt>
          <w:r w:rsidRPr="00913E52" w:rsidR="00913E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B5E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99330"/>
    <o:shapelayout v:ext="edit">
      <o:idmap v:ext="edit" data="9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14234E"/>
    <w:rsid w:val="001868DC"/>
    <w:rsid w:val="001C4003"/>
    <w:rsid w:val="002B1499"/>
    <w:rsid w:val="002D0DA3"/>
    <w:rsid w:val="00352325"/>
    <w:rsid w:val="003E4D7F"/>
    <w:rsid w:val="004003FD"/>
    <w:rsid w:val="004B6079"/>
    <w:rsid w:val="004E6E3C"/>
    <w:rsid w:val="00511543"/>
    <w:rsid w:val="00532361"/>
    <w:rsid w:val="00547DB7"/>
    <w:rsid w:val="005513B4"/>
    <w:rsid w:val="005A238A"/>
    <w:rsid w:val="005C0FDD"/>
    <w:rsid w:val="00606E37"/>
    <w:rsid w:val="00622BAA"/>
    <w:rsid w:val="00625C89"/>
    <w:rsid w:val="00671BD5"/>
    <w:rsid w:val="006805C1"/>
    <w:rsid w:val="00694556"/>
    <w:rsid w:val="006E1A53"/>
    <w:rsid w:val="007054D3"/>
    <w:rsid w:val="007056AA"/>
    <w:rsid w:val="007A24FE"/>
    <w:rsid w:val="00820005"/>
    <w:rsid w:val="00846D27"/>
    <w:rsid w:val="008541AE"/>
    <w:rsid w:val="0086500B"/>
    <w:rsid w:val="008F2B32"/>
    <w:rsid w:val="00903896"/>
    <w:rsid w:val="00913E52"/>
    <w:rsid w:val="00933870"/>
    <w:rsid w:val="0095480A"/>
    <w:rsid w:val="009A7666"/>
    <w:rsid w:val="009E0263"/>
    <w:rsid w:val="00A05B04"/>
    <w:rsid w:val="00A11C09"/>
    <w:rsid w:val="00A4277D"/>
    <w:rsid w:val="00A61A78"/>
    <w:rsid w:val="00AF1ED6"/>
    <w:rsid w:val="00B80CBD"/>
    <w:rsid w:val="00BC3369"/>
    <w:rsid w:val="00BC7C5B"/>
    <w:rsid w:val="00C43F49"/>
    <w:rsid w:val="00C91CBA"/>
    <w:rsid w:val="00CA19C4"/>
    <w:rsid w:val="00D53924"/>
    <w:rsid w:val="00D901AC"/>
    <w:rsid w:val="00D96D8C"/>
    <w:rsid w:val="00DA783C"/>
    <w:rsid w:val="00DE24DD"/>
    <w:rsid w:val="00E54642"/>
    <w:rsid w:val="00E97908"/>
    <w:rsid w:val="00EF62A3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  <w14:docId w14:val="60B8BD8A"/>
  <w15:docId w15:val="{C7B17C68-C200-46B0-9AA1-125EE029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06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38010255077b4fc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526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שומרוני-ברנשטיין</cp:lastModifiedBy>
  <cp:revision>9</cp:revision>
  <dcterms:created xsi:type="dcterms:W3CDTF">2012-08-06T06:28:00Z</dcterms:created>
  <dcterms:modified xsi:type="dcterms:W3CDTF">2018-04-12T11:10:00Z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