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98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248"/>
        <w:gridCol w:w="5737"/>
      </w:tblGrid>
      <w:tr w:rsidR="004146C8" w:rsidRPr="004146C8" w:rsidTr="004146C8">
        <w:tc>
          <w:tcPr>
            <w:tcW w:w="3246" w:type="dxa"/>
          </w:tcPr>
          <w:p w:rsidR="004146C8" w:rsidRPr="009E1012" w:rsidRDefault="009E1012" w:rsidP="004146C8">
            <w:pPr>
              <w:ind w:left="26"/>
              <w:rPr>
                <w:sz w:val="26"/>
                <w:szCs w:val="26"/>
                <w:rtl/>
              </w:rPr>
            </w:pPr>
            <w:r>
              <w:rPr>
                <w:rFonts w:hint="cs"/>
                <w:b/>
                <w:bCs/>
                <w:sz w:val="26"/>
                <w:szCs w:val="26"/>
                <w:u w:val="single"/>
                <w:rtl/>
              </w:rPr>
              <w:t>המבקשים</w:t>
            </w:r>
          </w:p>
        </w:tc>
        <w:tc>
          <w:tcPr>
            <w:tcW w:w="5734" w:type="dxa"/>
          </w:tcPr>
          <w:p w:rsidR="004146C8" w:rsidRPr="004146C8" w:rsidRDefault="00DC08B3" w:rsidP="004146C8">
            <w:pPr>
              <w:rPr>
                <w:b/>
                <w:bCs/>
                <w:sz w:val="26"/>
                <w:szCs w:val="26"/>
                <w:rtl/>
              </w:rPr>
            </w:pPr>
            <w:r w:rsidRPr="004146C8">
              <w:rPr>
                <w:b/>
                <w:bCs/>
                <w:sz w:val="26"/>
                <w:szCs w:val="26"/>
              </w:rPr>
              <w:t>.1</w:t>
            </w:r>
            <w:r w:rsidRPr="004146C8">
              <w:rPr>
                <w:rFonts w:hint="cs"/>
                <w:b/>
                <w:bCs/>
                <w:sz w:val="26"/>
                <w:szCs w:val="26"/>
                <w:rtl/>
              </w:rPr>
              <w:t xml:space="preserve"> עו"ד יוסף הלברייך</w:t>
            </w:r>
          </w:p>
          <w:p w:rsidR="004146C8" w:rsidRDefault="00DC08B3" w:rsidP="004146C8">
            <w:pPr>
              <w:rPr>
                <w:sz w:val="26"/>
                <w:szCs w:val="26"/>
                <w:rtl/>
              </w:rPr>
            </w:pPr>
            <w:r w:rsidRPr="004146C8">
              <w:rPr>
                <w:b/>
                <w:bCs/>
                <w:sz w:val="26"/>
                <w:szCs w:val="26"/>
              </w:rPr>
              <w:t>.2</w:t>
            </w:r>
            <w:r w:rsidRPr="004146C8">
              <w:rPr>
                <w:rFonts w:hint="cs"/>
                <w:b/>
                <w:bCs/>
                <w:sz w:val="26"/>
                <w:szCs w:val="26"/>
                <w:rtl/>
              </w:rPr>
              <w:t xml:space="preserve"> עו"ד צבי מנדל</w:t>
            </w:r>
          </w:p>
          <w:p w:rsidR="009E1012" w:rsidRPr="009E1012" w:rsidRDefault="00B645FE" w:rsidP="00B645FE">
            <w:pPr>
              <w:rPr>
                <w:sz w:val="26"/>
                <w:szCs w:val="26"/>
                <w:rtl/>
              </w:rPr>
            </w:pPr>
            <w:r>
              <w:rPr>
                <w:rFonts w:hint="cs"/>
                <w:sz w:val="26"/>
                <w:szCs w:val="26"/>
                <w:rtl/>
              </w:rPr>
              <w:t>כ</w:t>
            </w:r>
            <w:r w:rsidR="009E1012">
              <w:rPr>
                <w:rFonts w:hint="cs"/>
                <w:sz w:val="26"/>
                <w:szCs w:val="26"/>
                <w:rtl/>
              </w:rPr>
              <w:t xml:space="preserve">נאמנים </w:t>
            </w:r>
          </w:p>
        </w:tc>
      </w:tr>
      <w:tr w:rsidR="004146C8" w:rsidRPr="004146C8" w:rsidTr="004146C8">
        <w:tc>
          <w:tcPr>
            <w:tcW w:w="8980" w:type="dxa"/>
            <w:gridSpan w:val="2"/>
          </w:tcPr>
          <w:p w:rsidR="004146C8" w:rsidRPr="009E1012" w:rsidRDefault="002D507B" w:rsidP="004146C8">
            <w:pPr>
              <w:rPr>
                <w:rFonts w:ascii="Arial" w:hAnsi="Arial"/>
                <w:b/>
                <w:bCs/>
                <w:sz w:val="26"/>
                <w:szCs w:val="26"/>
                <w:rtl/>
              </w:rPr>
            </w:pPr>
          </w:p>
          <w:p w:rsidR="004146C8" w:rsidRPr="004146C8" w:rsidRDefault="00DC08B3" w:rsidP="004146C8">
            <w:pPr>
              <w:jc w:val="center"/>
              <w:rPr>
                <w:rFonts w:ascii="Arial" w:hAnsi="Arial"/>
                <w:b/>
                <w:bCs/>
                <w:sz w:val="26"/>
                <w:szCs w:val="26"/>
                <w:rtl/>
              </w:rPr>
            </w:pPr>
            <w:r w:rsidRPr="004146C8">
              <w:rPr>
                <w:rFonts w:ascii="Arial" w:hAnsi="Arial" w:hint="cs"/>
                <w:b/>
                <w:bCs/>
                <w:sz w:val="26"/>
                <w:szCs w:val="26"/>
                <w:rtl/>
              </w:rPr>
              <w:t>נגד</w:t>
            </w:r>
          </w:p>
          <w:p w:rsidR="004146C8" w:rsidRPr="004146C8" w:rsidRDefault="002D507B" w:rsidP="004146C8">
            <w:pPr>
              <w:rPr>
                <w:rFonts w:ascii="Arial" w:hAnsi="Arial"/>
                <w:b/>
                <w:bCs/>
                <w:sz w:val="26"/>
                <w:szCs w:val="26"/>
                <w:rtl/>
              </w:rPr>
            </w:pPr>
          </w:p>
        </w:tc>
      </w:tr>
      <w:tr w:rsidR="004146C8" w:rsidRPr="004146C8" w:rsidTr="004146C8">
        <w:trPr>
          <w:trHeight w:val="740"/>
        </w:trPr>
        <w:tc>
          <w:tcPr>
            <w:tcW w:w="3246" w:type="dxa"/>
            <w:hideMark/>
          </w:tcPr>
          <w:p w:rsidR="004146C8" w:rsidRPr="004146C8" w:rsidRDefault="009E1012" w:rsidP="004146C8">
            <w:pPr>
              <w:ind w:left="26"/>
            </w:pPr>
            <w:r>
              <w:rPr>
                <w:rFonts w:hint="cs"/>
                <w:b/>
                <w:bCs/>
                <w:sz w:val="26"/>
                <w:szCs w:val="26"/>
                <w:u w:val="single"/>
                <w:rtl/>
              </w:rPr>
              <w:t>המ</w:t>
            </w:r>
            <w:r w:rsidR="00DC08B3" w:rsidRPr="009E1012">
              <w:rPr>
                <w:rFonts w:hint="cs"/>
                <w:b/>
                <w:bCs/>
                <w:sz w:val="26"/>
                <w:szCs w:val="26"/>
                <w:u w:val="single"/>
                <w:rtl/>
              </w:rPr>
              <w:t>שיבים</w:t>
            </w:r>
          </w:p>
        </w:tc>
        <w:tc>
          <w:tcPr>
            <w:tcW w:w="5734" w:type="dxa"/>
            <w:hideMark/>
          </w:tcPr>
          <w:p w:rsidR="004146C8" w:rsidRDefault="00DC08B3" w:rsidP="009E1012">
            <w:pPr>
              <w:rPr>
                <w:rtl/>
              </w:rPr>
            </w:pPr>
            <w:r w:rsidRPr="004146C8">
              <w:rPr>
                <w:b/>
                <w:bCs/>
                <w:sz w:val="26"/>
                <w:szCs w:val="26"/>
              </w:rPr>
              <w:t>.1</w:t>
            </w:r>
            <w:r w:rsidRPr="004146C8">
              <w:rPr>
                <w:rFonts w:hint="cs"/>
                <w:rtl/>
              </w:rPr>
              <w:t xml:space="preserve"> </w:t>
            </w:r>
            <w:r w:rsidR="009E1012">
              <w:rPr>
                <w:rFonts w:hint="cs"/>
                <w:b/>
                <w:bCs/>
                <w:sz w:val="26"/>
                <w:szCs w:val="26"/>
                <w:rtl/>
              </w:rPr>
              <w:t>דיירי בית פיינגולד</w:t>
            </w:r>
          </w:p>
          <w:p w:rsidR="009E1012" w:rsidRDefault="009E1012" w:rsidP="004146C8">
            <w:pPr>
              <w:rPr>
                <w:b/>
                <w:bCs/>
                <w:sz w:val="26"/>
                <w:szCs w:val="26"/>
              </w:rPr>
            </w:pPr>
            <w:r>
              <w:rPr>
                <w:rFonts w:hint="cs"/>
                <w:b/>
                <w:bCs/>
                <w:sz w:val="26"/>
                <w:szCs w:val="26"/>
                <w:rtl/>
              </w:rPr>
              <w:t xml:space="preserve">2. משה כהן אגקי </w:t>
            </w:r>
          </w:p>
          <w:p w:rsidR="004146C8" w:rsidRDefault="00DC08B3" w:rsidP="009E1012">
            <w:pPr>
              <w:rPr>
                <w:b/>
                <w:bCs/>
                <w:sz w:val="26"/>
                <w:szCs w:val="26"/>
                <w:rtl/>
              </w:rPr>
            </w:pPr>
            <w:r w:rsidRPr="004146C8">
              <w:rPr>
                <w:b/>
                <w:bCs/>
                <w:sz w:val="26"/>
                <w:szCs w:val="26"/>
              </w:rPr>
              <w:t>.</w:t>
            </w:r>
            <w:r w:rsidR="009E1012">
              <w:rPr>
                <w:b/>
                <w:bCs/>
                <w:sz w:val="26"/>
                <w:szCs w:val="26"/>
              </w:rPr>
              <w:t>3</w:t>
            </w:r>
            <w:r w:rsidRPr="004146C8">
              <w:rPr>
                <w:rFonts w:hint="cs"/>
                <w:rtl/>
              </w:rPr>
              <w:t xml:space="preserve"> </w:t>
            </w:r>
            <w:r w:rsidRPr="004146C8">
              <w:rPr>
                <w:rFonts w:hint="cs"/>
                <w:b/>
                <w:bCs/>
                <w:sz w:val="26"/>
                <w:szCs w:val="26"/>
                <w:rtl/>
              </w:rPr>
              <w:t>בועז תמיר</w:t>
            </w:r>
          </w:p>
          <w:p w:rsidR="006B7A8C" w:rsidRPr="006B7A8C" w:rsidRDefault="006B7A8C" w:rsidP="009E1012">
            <w:pPr>
              <w:rPr>
                <w:rtl/>
              </w:rPr>
            </w:pPr>
            <w:r>
              <w:rPr>
                <w:rFonts w:hint="cs"/>
                <w:rtl/>
              </w:rPr>
              <w:t xml:space="preserve">ע"י ב"כ עו"ד משה נעים </w:t>
            </w:r>
          </w:p>
          <w:p w:rsidR="004146C8" w:rsidRDefault="00DC08B3" w:rsidP="009E1012">
            <w:pPr>
              <w:rPr>
                <w:rtl/>
              </w:rPr>
            </w:pPr>
            <w:r w:rsidRPr="004146C8">
              <w:rPr>
                <w:b/>
                <w:bCs/>
                <w:sz w:val="26"/>
                <w:szCs w:val="26"/>
              </w:rPr>
              <w:t>.</w:t>
            </w:r>
            <w:r w:rsidR="009E1012">
              <w:rPr>
                <w:b/>
                <w:bCs/>
                <w:sz w:val="26"/>
                <w:szCs w:val="26"/>
              </w:rPr>
              <w:t>4</w:t>
            </w:r>
            <w:r w:rsidRPr="004146C8">
              <w:rPr>
                <w:rFonts w:hint="cs"/>
                <w:rtl/>
              </w:rPr>
              <w:t xml:space="preserve"> </w:t>
            </w:r>
            <w:r w:rsidRPr="004146C8">
              <w:rPr>
                <w:rFonts w:hint="cs"/>
                <w:b/>
                <w:bCs/>
                <w:sz w:val="26"/>
                <w:szCs w:val="26"/>
                <w:rtl/>
              </w:rPr>
              <w:t>ניסים עדיקא</w:t>
            </w:r>
          </w:p>
          <w:p w:rsidR="006B7A8C" w:rsidRPr="006B7A8C" w:rsidRDefault="006B7A8C" w:rsidP="009E1012">
            <w:pPr>
              <w:rPr>
                <w:rtl/>
              </w:rPr>
            </w:pPr>
            <w:r>
              <w:rPr>
                <w:rFonts w:hint="cs"/>
                <w:rtl/>
              </w:rPr>
              <w:t>ע"י ב"כ עו"ד</w:t>
            </w:r>
            <w:r w:rsidR="00D26445">
              <w:rPr>
                <w:rFonts w:hint="cs"/>
                <w:rtl/>
              </w:rPr>
              <w:t xml:space="preserve"> מרדכי</w:t>
            </w:r>
            <w:r>
              <w:rPr>
                <w:rFonts w:hint="cs"/>
                <w:rtl/>
              </w:rPr>
              <w:t xml:space="preserve"> ברקוביץ </w:t>
            </w:r>
          </w:p>
          <w:p w:rsidR="004146C8" w:rsidRPr="004146C8" w:rsidRDefault="00DC08B3" w:rsidP="009E1012">
            <w:pPr>
              <w:rPr>
                <w:rtl/>
              </w:rPr>
            </w:pPr>
            <w:r w:rsidRPr="004146C8">
              <w:rPr>
                <w:b/>
                <w:bCs/>
                <w:sz w:val="26"/>
                <w:szCs w:val="26"/>
              </w:rPr>
              <w:t>.</w:t>
            </w:r>
            <w:r w:rsidR="009E1012">
              <w:rPr>
                <w:b/>
                <w:bCs/>
                <w:sz w:val="26"/>
                <w:szCs w:val="26"/>
              </w:rPr>
              <w:t>5</w:t>
            </w:r>
            <w:r w:rsidRPr="004146C8">
              <w:rPr>
                <w:rFonts w:hint="cs"/>
                <w:rtl/>
              </w:rPr>
              <w:t xml:space="preserve"> </w:t>
            </w:r>
            <w:r w:rsidRPr="004146C8">
              <w:rPr>
                <w:rFonts w:hint="cs"/>
                <w:b/>
                <w:bCs/>
                <w:sz w:val="26"/>
                <w:szCs w:val="26"/>
                <w:rtl/>
              </w:rPr>
              <w:t>אבי בנימיני</w:t>
            </w:r>
          </w:p>
          <w:p w:rsidR="004146C8" w:rsidRPr="004146C8" w:rsidRDefault="00DC08B3" w:rsidP="009E1012">
            <w:pPr>
              <w:rPr>
                <w:rtl/>
              </w:rPr>
            </w:pPr>
            <w:r w:rsidRPr="004146C8">
              <w:rPr>
                <w:b/>
                <w:bCs/>
                <w:sz w:val="26"/>
                <w:szCs w:val="26"/>
              </w:rPr>
              <w:t>.</w:t>
            </w:r>
            <w:r w:rsidR="009E1012">
              <w:rPr>
                <w:b/>
                <w:bCs/>
                <w:sz w:val="26"/>
                <w:szCs w:val="26"/>
              </w:rPr>
              <w:t>6</w:t>
            </w:r>
            <w:r w:rsidRPr="004146C8">
              <w:rPr>
                <w:rFonts w:hint="cs"/>
                <w:rtl/>
              </w:rPr>
              <w:t xml:space="preserve"> </w:t>
            </w:r>
            <w:r w:rsidRPr="004146C8">
              <w:rPr>
                <w:rFonts w:hint="cs"/>
                <w:b/>
                <w:bCs/>
                <w:sz w:val="26"/>
                <w:szCs w:val="26"/>
                <w:rtl/>
              </w:rPr>
              <w:t>רונן מור</w:t>
            </w:r>
          </w:p>
          <w:p w:rsidR="004146C8" w:rsidRDefault="00DC08B3" w:rsidP="009E1012">
            <w:pPr>
              <w:rPr>
                <w:rtl/>
              </w:rPr>
            </w:pPr>
            <w:r w:rsidRPr="004146C8">
              <w:rPr>
                <w:b/>
                <w:bCs/>
                <w:sz w:val="26"/>
                <w:szCs w:val="26"/>
              </w:rPr>
              <w:t>.</w:t>
            </w:r>
            <w:r w:rsidR="009E1012">
              <w:rPr>
                <w:b/>
                <w:bCs/>
                <w:sz w:val="26"/>
                <w:szCs w:val="26"/>
              </w:rPr>
              <w:t>7</w:t>
            </w:r>
            <w:r w:rsidRPr="004146C8">
              <w:rPr>
                <w:rFonts w:hint="cs"/>
                <w:rtl/>
              </w:rPr>
              <w:t xml:space="preserve"> </w:t>
            </w:r>
            <w:r w:rsidRPr="004146C8">
              <w:rPr>
                <w:rFonts w:hint="cs"/>
                <w:b/>
                <w:bCs/>
                <w:sz w:val="26"/>
                <w:szCs w:val="26"/>
                <w:rtl/>
              </w:rPr>
              <w:t>דניאל סבחי</w:t>
            </w:r>
          </w:p>
          <w:p w:rsidR="006B7A8C" w:rsidRPr="006B7A8C" w:rsidRDefault="006B7A8C" w:rsidP="009E1012">
            <w:pPr>
              <w:rPr>
                <w:rtl/>
              </w:rPr>
            </w:pPr>
            <w:r w:rsidRPr="006B7A8C">
              <w:rPr>
                <w:rFonts w:hint="cs"/>
                <w:rtl/>
              </w:rPr>
              <w:t xml:space="preserve">ע"י </w:t>
            </w:r>
            <w:r>
              <w:rPr>
                <w:rFonts w:hint="cs"/>
                <w:rtl/>
              </w:rPr>
              <w:t>ב"כ עו"ד  אריאל אזולאי</w:t>
            </w:r>
          </w:p>
          <w:p w:rsidR="004146C8" w:rsidRPr="004146C8" w:rsidRDefault="00DC08B3" w:rsidP="009E1012">
            <w:pPr>
              <w:rPr>
                <w:rtl/>
              </w:rPr>
            </w:pPr>
            <w:r w:rsidRPr="004146C8">
              <w:rPr>
                <w:b/>
                <w:bCs/>
                <w:sz w:val="26"/>
                <w:szCs w:val="26"/>
              </w:rPr>
              <w:t>.</w:t>
            </w:r>
            <w:r w:rsidR="009E1012">
              <w:rPr>
                <w:b/>
                <w:bCs/>
                <w:sz w:val="26"/>
                <w:szCs w:val="26"/>
              </w:rPr>
              <w:t>8</w:t>
            </w:r>
            <w:r w:rsidRPr="004146C8">
              <w:rPr>
                <w:rFonts w:hint="cs"/>
                <w:rtl/>
              </w:rPr>
              <w:t xml:space="preserve"> </w:t>
            </w:r>
            <w:r w:rsidRPr="004146C8">
              <w:rPr>
                <w:rFonts w:hint="cs"/>
                <w:b/>
                <w:bCs/>
                <w:sz w:val="26"/>
                <w:szCs w:val="26"/>
                <w:rtl/>
              </w:rPr>
              <w:t>אלי לוי</w:t>
            </w:r>
          </w:p>
          <w:p w:rsidR="004146C8" w:rsidRDefault="00DC08B3" w:rsidP="009E1012">
            <w:pPr>
              <w:rPr>
                <w:b/>
                <w:bCs/>
                <w:sz w:val="26"/>
                <w:szCs w:val="26"/>
                <w:rtl/>
              </w:rPr>
            </w:pPr>
            <w:r w:rsidRPr="004146C8">
              <w:rPr>
                <w:b/>
                <w:bCs/>
                <w:sz w:val="26"/>
                <w:szCs w:val="26"/>
              </w:rPr>
              <w:t>.</w:t>
            </w:r>
            <w:r w:rsidR="009E1012">
              <w:rPr>
                <w:b/>
                <w:bCs/>
                <w:sz w:val="26"/>
                <w:szCs w:val="26"/>
              </w:rPr>
              <w:t>9</w:t>
            </w:r>
            <w:r w:rsidRPr="004146C8">
              <w:rPr>
                <w:rFonts w:hint="cs"/>
                <w:rtl/>
              </w:rPr>
              <w:t xml:space="preserve"> </w:t>
            </w:r>
            <w:r w:rsidRPr="004146C8">
              <w:rPr>
                <w:rFonts w:hint="cs"/>
                <w:b/>
                <w:bCs/>
                <w:sz w:val="26"/>
                <w:szCs w:val="26"/>
                <w:rtl/>
              </w:rPr>
              <w:t>אברהם כהן</w:t>
            </w:r>
          </w:p>
          <w:p w:rsidR="006B7A8C" w:rsidRPr="006B7A8C" w:rsidRDefault="006B7A8C" w:rsidP="009E1012">
            <w:pPr>
              <w:rPr>
                <w:sz w:val="26"/>
                <w:szCs w:val="26"/>
                <w:rtl/>
              </w:rPr>
            </w:pPr>
            <w:r>
              <w:rPr>
                <w:rFonts w:hint="cs"/>
                <w:sz w:val="26"/>
                <w:szCs w:val="26"/>
                <w:rtl/>
              </w:rPr>
              <w:t xml:space="preserve">ע"י ב"כ עו"ד עובדיה גבאי </w:t>
            </w:r>
          </w:p>
          <w:p w:rsidR="009E1012" w:rsidRDefault="00DC08B3" w:rsidP="004146C8">
            <w:pPr>
              <w:rPr>
                <w:b/>
                <w:bCs/>
                <w:sz w:val="26"/>
                <w:szCs w:val="26"/>
                <w:rtl/>
              </w:rPr>
            </w:pPr>
            <w:r w:rsidRPr="004146C8">
              <w:rPr>
                <w:b/>
                <w:bCs/>
                <w:sz w:val="26"/>
                <w:szCs w:val="26"/>
              </w:rPr>
              <w:t>.10</w:t>
            </w:r>
            <w:r w:rsidRPr="004146C8">
              <w:rPr>
                <w:rFonts w:hint="cs"/>
                <w:rtl/>
              </w:rPr>
              <w:t xml:space="preserve"> </w:t>
            </w:r>
            <w:r w:rsidR="009E1012">
              <w:rPr>
                <w:rFonts w:hint="cs"/>
                <w:b/>
                <w:bCs/>
                <w:sz w:val="26"/>
                <w:szCs w:val="26"/>
                <w:rtl/>
              </w:rPr>
              <w:t xml:space="preserve">יורשי המנוח משה זקן ז"ל </w:t>
            </w:r>
          </w:p>
          <w:p w:rsidR="006B7A8C" w:rsidRPr="006B7A8C" w:rsidRDefault="006B7A8C" w:rsidP="004146C8">
            <w:pPr>
              <w:rPr>
                <w:sz w:val="26"/>
                <w:szCs w:val="26"/>
                <w:rtl/>
              </w:rPr>
            </w:pPr>
            <w:r>
              <w:rPr>
                <w:rFonts w:hint="cs"/>
                <w:sz w:val="26"/>
                <w:szCs w:val="26"/>
                <w:rtl/>
              </w:rPr>
              <w:t>ע"י ב"כ עו"ד מתן זקן</w:t>
            </w:r>
          </w:p>
          <w:p w:rsidR="004146C8" w:rsidRDefault="009E1012" w:rsidP="004146C8">
            <w:pPr>
              <w:rPr>
                <w:b/>
                <w:bCs/>
                <w:sz w:val="26"/>
                <w:szCs w:val="26"/>
                <w:rtl/>
              </w:rPr>
            </w:pPr>
            <w:r>
              <w:rPr>
                <w:rFonts w:hint="cs"/>
                <w:b/>
                <w:bCs/>
                <w:sz w:val="26"/>
                <w:szCs w:val="26"/>
                <w:rtl/>
              </w:rPr>
              <w:t xml:space="preserve">11. </w:t>
            </w:r>
            <w:r w:rsidR="00DC08B3" w:rsidRPr="004146C8">
              <w:rPr>
                <w:rFonts w:hint="cs"/>
                <w:b/>
                <w:bCs/>
                <w:sz w:val="26"/>
                <w:szCs w:val="26"/>
                <w:rtl/>
              </w:rPr>
              <w:t>שמואל ווהבה</w:t>
            </w:r>
          </w:p>
          <w:p w:rsidR="006B7A8C" w:rsidRPr="006B7A8C" w:rsidRDefault="006B7A8C" w:rsidP="004146C8">
            <w:pPr>
              <w:rPr>
                <w:sz w:val="26"/>
                <w:szCs w:val="26"/>
                <w:rtl/>
              </w:rPr>
            </w:pPr>
            <w:r w:rsidRPr="006B7A8C">
              <w:rPr>
                <w:rFonts w:hint="cs"/>
                <w:sz w:val="26"/>
                <w:szCs w:val="26"/>
                <w:rtl/>
              </w:rPr>
              <w:t>ע</w:t>
            </w:r>
            <w:r>
              <w:rPr>
                <w:rFonts w:hint="cs"/>
                <w:sz w:val="26"/>
                <w:szCs w:val="26"/>
                <w:rtl/>
              </w:rPr>
              <w:t xml:space="preserve">"י ב"כ עו"ד איברהים חורי </w:t>
            </w:r>
          </w:p>
          <w:p w:rsidR="009E1012" w:rsidRDefault="009E1012" w:rsidP="004146C8">
            <w:pPr>
              <w:rPr>
                <w:rtl/>
              </w:rPr>
            </w:pPr>
            <w:r>
              <w:rPr>
                <w:rFonts w:hint="cs"/>
                <w:b/>
                <w:bCs/>
                <w:sz w:val="26"/>
                <w:szCs w:val="26"/>
                <w:rtl/>
              </w:rPr>
              <w:t xml:space="preserve">12. מרדכי זקן </w:t>
            </w:r>
          </w:p>
          <w:p w:rsidR="006B7A8C" w:rsidRDefault="006B7A8C" w:rsidP="004146C8">
            <w:pPr>
              <w:rPr>
                <w:rtl/>
              </w:rPr>
            </w:pPr>
            <w:r>
              <w:rPr>
                <w:rFonts w:hint="cs"/>
                <w:rtl/>
              </w:rPr>
              <w:t>ע"י ב"כ עו"ד</w:t>
            </w:r>
            <w:r w:rsidR="00D26445">
              <w:rPr>
                <w:rFonts w:hint="cs"/>
                <w:rtl/>
              </w:rPr>
              <w:t xml:space="preserve"> אבירם </w:t>
            </w:r>
            <w:r>
              <w:rPr>
                <w:rFonts w:hint="cs"/>
                <w:rtl/>
              </w:rPr>
              <w:t xml:space="preserve"> מזרה </w:t>
            </w:r>
          </w:p>
          <w:p w:rsidR="006E5D86" w:rsidRPr="006E5D86" w:rsidRDefault="006E5D86" w:rsidP="004146C8">
            <w:pPr>
              <w:rPr>
                <w:rFonts w:hint="cs"/>
                <w:b/>
                <w:bCs/>
                <w:sz w:val="26"/>
                <w:szCs w:val="26"/>
                <w:rtl/>
              </w:rPr>
            </w:pPr>
            <w:r w:rsidRPr="006E5D86">
              <w:rPr>
                <w:rFonts w:hint="cs"/>
                <w:b/>
                <w:bCs/>
                <w:sz w:val="26"/>
                <w:szCs w:val="26"/>
                <w:rtl/>
              </w:rPr>
              <w:t>13. מר יהודה יניב</w:t>
            </w:r>
          </w:p>
          <w:p w:rsidR="006E5D86" w:rsidRPr="006B7A8C" w:rsidRDefault="006E5D86" w:rsidP="004146C8">
            <w:pPr>
              <w:rPr>
                <w:rtl/>
              </w:rPr>
            </w:pPr>
            <w:r>
              <w:rPr>
                <w:rFonts w:hint="cs"/>
                <w:rtl/>
              </w:rPr>
              <w:t>ע"י ב"כ עוד זאב דסברג</w:t>
            </w:r>
          </w:p>
        </w:tc>
      </w:tr>
    </w:tbl>
    <w:p w:rsidR="001434F7" w:rsidRPr="006B7A8C" w:rsidRDefault="002D507B" w:rsidP="004146C8"/>
    <w:p w:rsidR="00694556" w:rsidRDefault="00694556"/>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20"/>
      </w:tblGrid>
      <w:tr w:rsidR="00694556" w:rsidTr="002313AE">
        <w:trPr>
          <w:trHeight w:val="275"/>
          <w:jc w:val="center"/>
        </w:trPr>
        <w:tc>
          <w:tcPr>
            <w:tcW w:w="8820" w:type="dxa"/>
          </w:tcPr>
          <w:p w:rsidR="00694556" w:rsidRPr="002313AE" w:rsidRDefault="00180519">
            <w:pPr>
              <w:bidi w:val="0"/>
              <w:jc w:val="center"/>
              <w:rPr>
                <w:rFonts w:ascii="Arial" w:hAnsi="Arial" w:cs="FrankRuehl"/>
                <w:b/>
                <w:bCs/>
                <w:noProof w:val="0"/>
                <w:sz w:val="32"/>
                <w:szCs w:val="32"/>
                <w:u w:val="single"/>
              </w:rPr>
            </w:pPr>
            <w:r w:rsidRPr="002313AE">
              <w:rPr>
                <w:rFonts w:ascii="Arial" w:hAnsi="Arial" w:cs="FrankRuehl" w:hint="cs"/>
                <w:b/>
                <w:bCs/>
                <w:noProof w:val="0"/>
                <w:sz w:val="32"/>
                <w:szCs w:val="32"/>
                <w:u w:val="single"/>
                <w:rtl/>
              </w:rPr>
              <w:t>החלטה</w:t>
            </w:r>
          </w:p>
        </w:tc>
      </w:tr>
    </w:tbl>
    <w:p w:rsidR="00694556" w:rsidRDefault="00694556" w:rsidP="00F4262D">
      <w:pPr>
        <w:pStyle w:val="Arial"/>
        <w:rPr>
          <w:rtl/>
        </w:rPr>
      </w:pPr>
    </w:p>
    <w:p w:rsidR="00591A39" w:rsidRDefault="0034500D" w:rsidP="00591A39">
      <w:pPr>
        <w:pStyle w:val="Arial"/>
        <w:rPr>
          <w:sz w:val="26"/>
          <w:szCs w:val="30"/>
          <w:rtl/>
        </w:rPr>
      </w:pPr>
      <w:r>
        <w:rPr>
          <w:rFonts w:hint="cs"/>
          <w:sz w:val="26"/>
          <w:szCs w:val="30"/>
          <w:rtl/>
        </w:rPr>
        <w:t>לפניי בקשת המבקשים (</w:t>
      </w:r>
      <w:r w:rsidRPr="00554062">
        <w:rPr>
          <w:rFonts w:cs="Miriam" w:hint="cs"/>
          <w:szCs w:val="24"/>
          <w:rtl/>
        </w:rPr>
        <w:t xml:space="preserve">להלן </w:t>
      </w:r>
      <w:r w:rsidRPr="00554062">
        <w:rPr>
          <w:rFonts w:cs="Miriam"/>
          <w:szCs w:val="24"/>
          <w:rtl/>
        </w:rPr>
        <w:t>–</w:t>
      </w:r>
      <w:r w:rsidRPr="00554062">
        <w:rPr>
          <w:rFonts w:cs="Miriam" w:hint="cs"/>
          <w:szCs w:val="24"/>
          <w:rtl/>
        </w:rPr>
        <w:t xml:space="preserve"> הנאמנים</w:t>
      </w:r>
      <w:r>
        <w:rPr>
          <w:rFonts w:hint="cs"/>
          <w:sz w:val="26"/>
          <w:szCs w:val="30"/>
          <w:rtl/>
        </w:rPr>
        <w:t xml:space="preserve">), למתן </w:t>
      </w:r>
      <w:r w:rsidR="00C30707">
        <w:rPr>
          <w:rFonts w:hint="cs"/>
          <w:sz w:val="26"/>
          <w:szCs w:val="30"/>
          <w:rtl/>
        </w:rPr>
        <w:t xml:space="preserve">הוראות בדבר חלוקת כספים שבקופת </w:t>
      </w:r>
      <w:r>
        <w:rPr>
          <w:rFonts w:hint="cs"/>
          <w:sz w:val="26"/>
          <w:szCs w:val="30"/>
          <w:rtl/>
        </w:rPr>
        <w:t>נאמנות, כך שסך 1,250,000 ₪ מהכספים שבקופת הנאמנות, יחולקו בין הרוכשים המקוריים של דירות ב</w:t>
      </w:r>
      <w:r w:rsidR="00591A39">
        <w:rPr>
          <w:rFonts w:hint="cs"/>
          <w:sz w:val="26"/>
          <w:szCs w:val="30"/>
          <w:rtl/>
        </w:rPr>
        <w:t>"</w:t>
      </w:r>
      <w:r>
        <w:rPr>
          <w:rFonts w:hint="cs"/>
          <w:sz w:val="26"/>
          <w:szCs w:val="30"/>
          <w:rtl/>
        </w:rPr>
        <w:t>בית פיינגולד</w:t>
      </w:r>
      <w:r w:rsidR="00591A39">
        <w:rPr>
          <w:rFonts w:hint="cs"/>
          <w:sz w:val="26"/>
          <w:szCs w:val="30"/>
          <w:rtl/>
        </w:rPr>
        <w:t>"</w:t>
      </w:r>
      <w:r>
        <w:rPr>
          <w:rFonts w:hint="cs"/>
          <w:sz w:val="26"/>
          <w:szCs w:val="30"/>
          <w:rtl/>
        </w:rPr>
        <w:t xml:space="preserve"> שבמרכז העיר ירושלים</w:t>
      </w:r>
      <w:r w:rsidR="00591A39">
        <w:rPr>
          <w:rFonts w:hint="cs"/>
          <w:sz w:val="26"/>
          <w:szCs w:val="30"/>
          <w:rtl/>
        </w:rPr>
        <w:t>, על פי היחס בין ה</w:t>
      </w:r>
      <w:r w:rsidR="00064DBF">
        <w:rPr>
          <w:rFonts w:hint="cs"/>
          <w:sz w:val="26"/>
          <w:szCs w:val="30"/>
          <w:rtl/>
        </w:rPr>
        <w:t xml:space="preserve">סכומים </w:t>
      </w:r>
      <w:r w:rsidR="00591A39">
        <w:rPr>
          <w:rFonts w:hint="cs"/>
          <w:sz w:val="26"/>
          <w:szCs w:val="30"/>
          <w:rtl/>
        </w:rPr>
        <w:t>הנוגעים לדירות השונות לפי "טבלת עמידר".</w:t>
      </w:r>
    </w:p>
    <w:p w:rsidR="00591A39" w:rsidRDefault="00591A39" w:rsidP="00591A39">
      <w:pPr>
        <w:pStyle w:val="Arial"/>
        <w:rPr>
          <w:sz w:val="26"/>
          <w:szCs w:val="30"/>
          <w:rtl/>
        </w:rPr>
      </w:pPr>
    </w:p>
    <w:p w:rsidR="00064DBF" w:rsidRDefault="00591A39" w:rsidP="00F17FF7">
      <w:pPr>
        <w:pStyle w:val="Arial"/>
        <w:rPr>
          <w:sz w:val="26"/>
          <w:szCs w:val="30"/>
          <w:rtl/>
        </w:rPr>
      </w:pPr>
      <w:bookmarkStart w:id="0" w:name="_GoBack"/>
      <w:bookmarkEnd w:id="0"/>
      <w:r>
        <w:rPr>
          <w:rFonts w:hint="cs"/>
          <w:sz w:val="26"/>
          <w:szCs w:val="30"/>
          <w:rtl/>
        </w:rPr>
        <w:t>הרק</w:t>
      </w:r>
      <w:r w:rsidR="0065367E">
        <w:rPr>
          <w:rFonts w:hint="cs"/>
          <w:sz w:val="26"/>
          <w:szCs w:val="30"/>
          <w:rtl/>
        </w:rPr>
        <w:t>ע לבקשה זו מצוי בפסק דין מיום 17.9.98 שניתן בבית משפט זה במסגרת ת"א 449/93 מפי כב' השופט (כתוארו אז) ד' חשין</w:t>
      </w:r>
      <w:r w:rsidR="00D657CB">
        <w:rPr>
          <w:rFonts w:hint="cs"/>
          <w:sz w:val="26"/>
          <w:szCs w:val="30"/>
          <w:rtl/>
        </w:rPr>
        <w:t xml:space="preserve"> (</w:t>
      </w:r>
      <w:r w:rsidR="00D657CB" w:rsidRPr="00554062">
        <w:rPr>
          <w:rFonts w:cs="Miriam" w:hint="cs"/>
          <w:szCs w:val="24"/>
          <w:rtl/>
        </w:rPr>
        <w:t xml:space="preserve">להלן </w:t>
      </w:r>
      <w:r w:rsidR="00D657CB" w:rsidRPr="00554062">
        <w:rPr>
          <w:rFonts w:cs="Miriam"/>
          <w:szCs w:val="24"/>
          <w:rtl/>
        </w:rPr>
        <w:t>–</w:t>
      </w:r>
      <w:r w:rsidR="00D657CB" w:rsidRPr="00554062">
        <w:rPr>
          <w:rFonts w:cs="Miriam" w:hint="cs"/>
          <w:szCs w:val="24"/>
          <w:rtl/>
        </w:rPr>
        <w:t xml:space="preserve"> פסק הדין</w:t>
      </w:r>
      <w:r w:rsidR="00D657CB">
        <w:rPr>
          <w:rFonts w:hint="cs"/>
          <w:sz w:val="26"/>
          <w:szCs w:val="30"/>
          <w:rtl/>
        </w:rPr>
        <w:t>)</w:t>
      </w:r>
      <w:r>
        <w:rPr>
          <w:rFonts w:hint="cs"/>
          <w:sz w:val="26"/>
          <w:szCs w:val="30"/>
          <w:rtl/>
        </w:rPr>
        <w:t>:</w:t>
      </w:r>
      <w:r w:rsidR="0065367E">
        <w:rPr>
          <w:rFonts w:hint="cs"/>
          <w:sz w:val="26"/>
          <w:szCs w:val="30"/>
          <w:rtl/>
        </w:rPr>
        <w:t xml:space="preserve"> בית פיינגולד, </w:t>
      </w:r>
      <w:r w:rsidR="0065367E">
        <w:rPr>
          <w:rFonts w:hint="cs"/>
          <w:sz w:val="26"/>
          <w:szCs w:val="30"/>
          <w:rtl/>
        </w:rPr>
        <w:lastRenderedPageBreak/>
        <w:t>הוא מבנה שנמצא</w:t>
      </w:r>
      <w:r>
        <w:rPr>
          <w:rFonts w:hint="cs"/>
          <w:sz w:val="26"/>
          <w:szCs w:val="30"/>
          <w:rtl/>
        </w:rPr>
        <w:t>, כאמור,</w:t>
      </w:r>
      <w:r w:rsidR="0065367E">
        <w:rPr>
          <w:rFonts w:hint="cs"/>
          <w:sz w:val="26"/>
          <w:szCs w:val="30"/>
          <w:rtl/>
        </w:rPr>
        <w:t xml:space="preserve"> במרכז העיר ירושלים, בשכונת נחלת שבעה. הבית מכיל עשרות יחידות שחלקן משמשות כדירות מגורים וחלקן כבתי עסק</w:t>
      </w:r>
      <w:r w:rsidR="00064DBF">
        <w:rPr>
          <w:rFonts w:hint="cs"/>
          <w:sz w:val="26"/>
          <w:szCs w:val="30"/>
          <w:rtl/>
        </w:rPr>
        <w:t xml:space="preserve"> (בפס</w:t>
      </w:r>
      <w:r w:rsidR="00F17FF7">
        <w:rPr>
          <w:rFonts w:hint="cs"/>
          <w:sz w:val="26"/>
          <w:szCs w:val="30"/>
          <w:rtl/>
        </w:rPr>
        <w:t>ק הדין</w:t>
      </w:r>
      <w:r w:rsidR="00064DBF">
        <w:rPr>
          <w:rFonts w:hint="cs"/>
          <w:sz w:val="26"/>
          <w:szCs w:val="30"/>
          <w:rtl/>
        </w:rPr>
        <w:t xml:space="preserve"> צוין כי הוא מכיל 69 יחידות דיור)</w:t>
      </w:r>
      <w:r w:rsidR="0065367E">
        <w:rPr>
          <w:rFonts w:hint="cs"/>
          <w:sz w:val="26"/>
          <w:szCs w:val="30"/>
          <w:rtl/>
        </w:rPr>
        <w:t xml:space="preserve">. </w:t>
      </w:r>
      <w:r w:rsidR="00D26445">
        <w:rPr>
          <w:rFonts w:hint="cs"/>
          <w:sz w:val="26"/>
          <w:szCs w:val="30"/>
          <w:rtl/>
        </w:rPr>
        <w:t xml:space="preserve"> </w:t>
      </w:r>
    </w:p>
    <w:p w:rsidR="00064DBF" w:rsidRDefault="00064DBF" w:rsidP="00064DBF">
      <w:pPr>
        <w:pStyle w:val="Arial"/>
        <w:rPr>
          <w:sz w:val="26"/>
          <w:szCs w:val="30"/>
          <w:rtl/>
        </w:rPr>
      </w:pPr>
    </w:p>
    <w:p w:rsidR="0065367E" w:rsidRDefault="0065367E" w:rsidP="00064DBF">
      <w:pPr>
        <w:pStyle w:val="Arial"/>
        <w:rPr>
          <w:sz w:val="26"/>
          <w:szCs w:val="30"/>
          <w:rtl/>
        </w:rPr>
      </w:pPr>
      <w:r>
        <w:rPr>
          <w:rFonts w:hint="cs"/>
          <w:sz w:val="26"/>
          <w:szCs w:val="30"/>
          <w:rtl/>
        </w:rPr>
        <w:t>עובר לתחילת הפרשה דנן, נחלקה הבעלות בבית פיינגולד כדלקמן: 75.15% בבעלות כונס נכסים מטעם בנק הפועלים</w:t>
      </w:r>
      <w:r w:rsidR="005A67A3">
        <w:rPr>
          <w:rFonts w:hint="cs"/>
          <w:sz w:val="26"/>
          <w:szCs w:val="30"/>
          <w:rtl/>
        </w:rPr>
        <w:t xml:space="preserve"> (להלן </w:t>
      </w:r>
      <w:r w:rsidR="005A67A3">
        <w:rPr>
          <w:sz w:val="26"/>
          <w:szCs w:val="30"/>
          <w:rtl/>
        </w:rPr>
        <w:t>–</w:t>
      </w:r>
      <w:r w:rsidR="005A67A3">
        <w:rPr>
          <w:rFonts w:hint="cs"/>
          <w:sz w:val="26"/>
          <w:szCs w:val="30"/>
          <w:rtl/>
        </w:rPr>
        <w:t xml:space="preserve"> הכונס)</w:t>
      </w:r>
      <w:r>
        <w:rPr>
          <w:rFonts w:hint="cs"/>
          <w:sz w:val="26"/>
          <w:szCs w:val="30"/>
          <w:rtl/>
        </w:rPr>
        <w:t>; 24.85% בידי האפוטרופוס הכללי לנכסי נפקדים באמצעות עמידר. בפועל הו</w:t>
      </w:r>
      <w:r w:rsidR="00064DBF">
        <w:rPr>
          <w:rFonts w:hint="cs"/>
          <w:sz w:val="26"/>
          <w:szCs w:val="30"/>
          <w:rtl/>
        </w:rPr>
        <w:t>ח</w:t>
      </w:r>
      <w:r>
        <w:rPr>
          <w:rFonts w:hint="cs"/>
          <w:sz w:val="26"/>
          <w:szCs w:val="30"/>
          <w:rtl/>
        </w:rPr>
        <w:t xml:space="preserve">זקו היחידות על ידי דיירים שונים שחלקם הארי היו דיירים מוגנים. </w:t>
      </w:r>
    </w:p>
    <w:p w:rsidR="0065367E" w:rsidRDefault="0065367E" w:rsidP="0065367E">
      <w:pPr>
        <w:pStyle w:val="Arial"/>
        <w:rPr>
          <w:sz w:val="26"/>
          <w:szCs w:val="30"/>
          <w:rtl/>
        </w:rPr>
      </w:pPr>
    </w:p>
    <w:p w:rsidR="00064DBF" w:rsidRDefault="0065367E" w:rsidP="003E4630">
      <w:pPr>
        <w:pStyle w:val="Arial"/>
        <w:rPr>
          <w:sz w:val="26"/>
          <w:szCs w:val="30"/>
          <w:rtl/>
        </w:rPr>
      </w:pPr>
      <w:r>
        <w:rPr>
          <w:rFonts w:hint="cs"/>
          <w:sz w:val="26"/>
          <w:szCs w:val="30"/>
          <w:rtl/>
        </w:rPr>
        <w:t>לקראת סוף שנת 1989 הודע לדיירים כי בכוונת הכונס למכור את חלקו בבית פיינ</w:t>
      </w:r>
      <w:r w:rsidR="00DF62B4">
        <w:rPr>
          <w:rFonts w:hint="cs"/>
          <w:sz w:val="26"/>
          <w:szCs w:val="30"/>
          <w:rtl/>
        </w:rPr>
        <w:t>גו</w:t>
      </w:r>
      <w:r>
        <w:rPr>
          <w:rFonts w:hint="cs"/>
          <w:sz w:val="26"/>
          <w:szCs w:val="30"/>
          <w:rtl/>
        </w:rPr>
        <w:t>לד</w:t>
      </w:r>
      <w:r w:rsidR="00F17FF7">
        <w:rPr>
          <w:rFonts w:hint="cs"/>
          <w:sz w:val="26"/>
          <w:szCs w:val="30"/>
          <w:rtl/>
        </w:rPr>
        <w:t>.</w:t>
      </w:r>
      <w:r w:rsidR="00DF62B4">
        <w:rPr>
          <w:rFonts w:hint="cs"/>
          <w:sz w:val="26"/>
          <w:szCs w:val="30"/>
          <w:rtl/>
        </w:rPr>
        <w:t xml:space="preserve"> </w:t>
      </w:r>
      <w:r w:rsidR="00F17FF7">
        <w:rPr>
          <w:rFonts w:hint="cs"/>
          <w:sz w:val="26"/>
          <w:szCs w:val="30"/>
          <w:rtl/>
        </w:rPr>
        <w:t xml:space="preserve">נוכח כך </w:t>
      </w:r>
      <w:r w:rsidR="00DF62B4">
        <w:rPr>
          <w:rFonts w:hint="cs"/>
          <w:sz w:val="26"/>
          <w:szCs w:val="30"/>
          <w:rtl/>
        </w:rPr>
        <w:t xml:space="preserve">החלה התארגנות </w:t>
      </w:r>
      <w:r w:rsidR="00064DBF">
        <w:rPr>
          <w:rFonts w:hint="cs"/>
          <w:sz w:val="26"/>
          <w:szCs w:val="30"/>
          <w:rtl/>
        </w:rPr>
        <w:t xml:space="preserve">של הדיירים המוגנים </w:t>
      </w:r>
      <w:r w:rsidR="00DF62B4">
        <w:rPr>
          <w:rFonts w:hint="cs"/>
          <w:sz w:val="26"/>
          <w:szCs w:val="30"/>
          <w:rtl/>
        </w:rPr>
        <w:t>לרכישת הזכויות מן הכונס. בעניין טיפלו עורכי הדין הלברייך ומנדל</w:t>
      </w:r>
      <w:r w:rsidR="00C30707">
        <w:rPr>
          <w:rFonts w:hint="cs"/>
          <w:sz w:val="26"/>
          <w:szCs w:val="30"/>
          <w:rtl/>
        </w:rPr>
        <w:t>,</w:t>
      </w:r>
      <w:r w:rsidR="00DF62B4">
        <w:rPr>
          <w:rFonts w:hint="cs"/>
          <w:sz w:val="26"/>
          <w:szCs w:val="30"/>
          <w:rtl/>
        </w:rPr>
        <w:t xml:space="preserve"> אשר הוסמכו לכך בידי ועד הדיירים, ואף התבקשו לטפל ברכישת חלק</w:t>
      </w:r>
      <w:r w:rsidR="00064DBF">
        <w:rPr>
          <w:rFonts w:hint="cs"/>
          <w:sz w:val="26"/>
          <w:szCs w:val="30"/>
          <w:rtl/>
        </w:rPr>
        <w:t xml:space="preserve">ה של עמידר בנכס לטובת </w:t>
      </w:r>
      <w:r w:rsidR="00DF62B4">
        <w:rPr>
          <w:rFonts w:hint="cs"/>
          <w:sz w:val="26"/>
          <w:szCs w:val="30"/>
          <w:rtl/>
        </w:rPr>
        <w:t xml:space="preserve">הדיירים. </w:t>
      </w:r>
      <w:r w:rsidR="005E7B0F">
        <w:rPr>
          <w:rFonts w:hint="cs"/>
          <w:sz w:val="26"/>
          <w:szCs w:val="30"/>
          <w:rtl/>
        </w:rPr>
        <w:t xml:space="preserve">לצורך כך נערכה </w:t>
      </w:r>
      <w:r w:rsidR="00F21F79">
        <w:rPr>
          <w:rFonts w:hint="cs"/>
          <w:sz w:val="26"/>
          <w:szCs w:val="30"/>
          <w:rtl/>
        </w:rPr>
        <w:t>טבל</w:t>
      </w:r>
      <w:r w:rsidR="005E7B0F">
        <w:rPr>
          <w:rFonts w:hint="cs"/>
          <w:sz w:val="26"/>
          <w:szCs w:val="30"/>
          <w:rtl/>
        </w:rPr>
        <w:t>ה</w:t>
      </w:r>
      <w:r w:rsidR="00F21F79">
        <w:rPr>
          <w:rFonts w:hint="cs"/>
          <w:sz w:val="26"/>
          <w:szCs w:val="30"/>
          <w:rtl/>
        </w:rPr>
        <w:t xml:space="preserve"> בה פורטו הסכומים שיש לשלם בגין הדירות השונות לצורך רכישת </w:t>
      </w:r>
      <w:r w:rsidR="003E4630">
        <w:rPr>
          <w:rFonts w:hint="cs"/>
          <w:sz w:val="26"/>
          <w:szCs w:val="30"/>
          <w:rtl/>
        </w:rPr>
        <w:t>ה</w:t>
      </w:r>
      <w:r w:rsidR="00F21F79">
        <w:rPr>
          <w:rFonts w:hint="cs"/>
          <w:sz w:val="26"/>
          <w:szCs w:val="30"/>
          <w:rtl/>
        </w:rPr>
        <w:t>זכויות</w:t>
      </w:r>
      <w:r w:rsidR="003E4630">
        <w:rPr>
          <w:rFonts w:hint="cs"/>
          <w:sz w:val="26"/>
          <w:szCs w:val="30"/>
          <w:rtl/>
        </w:rPr>
        <w:t>.</w:t>
      </w:r>
    </w:p>
    <w:p w:rsidR="003E4630" w:rsidRDefault="003E4630" w:rsidP="003E4630">
      <w:pPr>
        <w:pStyle w:val="Arial"/>
        <w:rPr>
          <w:sz w:val="26"/>
          <w:szCs w:val="30"/>
          <w:rtl/>
        </w:rPr>
      </w:pPr>
    </w:p>
    <w:p w:rsidR="005E7B0F" w:rsidRDefault="00DF62B4" w:rsidP="003E4630">
      <w:pPr>
        <w:pStyle w:val="Arial"/>
        <w:rPr>
          <w:sz w:val="26"/>
          <w:szCs w:val="30"/>
          <w:rtl/>
        </w:rPr>
      </w:pPr>
      <w:r>
        <w:rPr>
          <w:rFonts w:hint="cs"/>
          <w:sz w:val="26"/>
          <w:szCs w:val="30"/>
          <w:rtl/>
        </w:rPr>
        <w:t>כ</w:t>
      </w:r>
      <w:r w:rsidR="001A03A8">
        <w:rPr>
          <w:rFonts w:hint="cs"/>
          <w:sz w:val="26"/>
          <w:szCs w:val="30"/>
          <w:rtl/>
        </w:rPr>
        <w:t xml:space="preserve">עולה מפסק הדין, </w:t>
      </w:r>
      <w:r w:rsidR="00D26445">
        <w:rPr>
          <w:rFonts w:hint="cs"/>
          <w:sz w:val="26"/>
          <w:szCs w:val="30"/>
          <w:rtl/>
        </w:rPr>
        <w:t xml:space="preserve">בתחילה </w:t>
      </w:r>
      <w:r w:rsidR="001A03A8">
        <w:rPr>
          <w:rFonts w:hint="cs"/>
          <w:sz w:val="26"/>
          <w:szCs w:val="30"/>
          <w:rtl/>
        </w:rPr>
        <w:t xml:space="preserve">חלק מהדיירים לא היו מעוניינים או מסוגלים לרכוש את יחידות הדיור בהן </w:t>
      </w:r>
      <w:r w:rsidR="003E4630">
        <w:rPr>
          <w:rFonts w:hint="cs"/>
          <w:sz w:val="26"/>
          <w:szCs w:val="30"/>
          <w:rtl/>
        </w:rPr>
        <w:t>החזיקו הם</w:t>
      </w:r>
      <w:r w:rsidR="001A03A8">
        <w:rPr>
          <w:rFonts w:hint="cs"/>
          <w:sz w:val="26"/>
          <w:szCs w:val="30"/>
          <w:rtl/>
        </w:rPr>
        <w:t xml:space="preserve"> כדיירים מוגנים</w:t>
      </w:r>
      <w:r w:rsidR="00595883">
        <w:rPr>
          <w:rFonts w:hint="cs"/>
          <w:sz w:val="26"/>
          <w:szCs w:val="30"/>
          <w:rtl/>
        </w:rPr>
        <w:t xml:space="preserve">. </w:t>
      </w:r>
      <w:r w:rsidR="001A03A8">
        <w:rPr>
          <w:rFonts w:hint="cs"/>
          <w:sz w:val="26"/>
          <w:szCs w:val="30"/>
          <w:rtl/>
        </w:rPr>
        <w:t>בנוסף התברר כי קיימות מספר יחידות פנויות וכן יחידות המושכרות בשכירות חופשית ולא תפוסות בידי דיירים מוגנים</w:t>
      </w:r>
      <w:r w:rsidR="005E7B0F">
        <w:rPr>
          <w:rFonts w:hint="cs"/>
          <w:sz w:val="26"/>
          <w:szCs w:val="30"/>
          <w:rtl/>
        </w:rPr>
        <w:t>, דבר שיצר קושי משום שהכונס ועמידר ביקשו למכור את מלוא זכויותיהם  בבניין</w:t>
      </w:r>
      <w:r w:rsidR="00064DBF">
        <w:rPr>
          <w:rFonts w:hint="cs"/>
          <w:sz w:val="26"/>
          <w:szCs w:val="30"/>
          <w:rtl/>
        </w:rPr>
        <w:t xml:space="preserve">. </w:t>
      </w:r>
      <w:r w:rsidR="0057413D">
        <w:rPr>
          <w:rFonts w:hint="cs"/>
          <w:sz w:val="26"/>
          <w:szCs w:val="30"/>
          <w:rtl/>
        </w:rPr>
        <w:t>הלכה למעשה הזכויות ביחידות אלו נרכשו מעמידר, וזכויותיה בהן נרשמו</w:t>
      </w:r>
      <w:r w:rsidR="005E7B0F">
        <w:rPr>
          <w:rFonts w:hint="cs"/>
          <w:sz w:val="26"/>
          <w:szCs w:val="30"/>
          <w:rtl/>
        </w:rPr>
        <w:t xml:space="preserve"> על שם מר משה זקן ו/או מר ניסים עדיקא, שהיו דיירים מוגנים במספר יחידות אחרות</w:t>
      </w:r>
      <w:r w:rsidR="0057413D">
        <w:rPr>
          <w:rFonts w:hint="cs"/>
          <w:sz w:val="26"/>
          <w:szCs w:val="30"/>
          <w:rtl/>
        </w:rPr>
        <w:t xml:space="preserve"> בבית פיינגולד</w:t>
      </w:r>
      <w:r w:rsidR="005E7B0F">
        <w:rPr>
          <w:rFonts w:hint="cs"/>
          <w:sz w:val="26"/>
          <w:szCs w:val="30"/>
          <w:rtl/>
        </w:rPr>
        <w:t xml:space="preserve">. </w:t>
      </w:r>
    </w:p>
    <w:p w:rsidR="005E7B0F" w:rsidRDefault="005E7B0F" w:rsidP="00F17FF7">
      <w:pPr>
        <w:pStyle w:val="Arial"/>
        <w:rPr>
          <w:sz w:val="26"/>
          <w:szCs w:val="30"/>
          <w:rtl/>
        </w:rPr>
      </w:pPr>
    </w:p>
    <w:p w:rsidR="006F7E6C" w:rsidRDefault="0057413D" w:rsidP="0057413D">
      <w:pPr>
        <w:pStyle w:val="Arial"/>
        <w:rPr>
          <w:sz w:val="26"/>
          <w:szCs w:val="30"/>
          <w:rtl/>
        </w:rPr>
      </w:pPr>
      <w:r>
        <w:rPr>
          <w:rFonts w:hint="cs"/>
          <w:sz w:val="26"/>
          <w:szCs w:val="30"/>
          <w:rtl/>
        </w:rPr>
        <w:t xml:space="preserve">בעקבות כך הוגשה תובענה מטעם </w:t>
      </w:r>
      <w:r w:rsidR="005E7B0F">
        <w:rPr>
          <w:rFonts w:hint="cs"/>
          <w:sz w:val="26"/>
          <w:szCs w:val="30"/>
          <w:rtl/>
        </w:rPr>
        <w:t xml:space="preserve">בעלי זכויות בשלוש דירות </w:t>
      </w:r>
      <w:r>
        <w:rPr>
          <w:rFonts w:hint="cs"/>
          <w:sz w:val="26"/>
          <w:szCs w:val="30"/>
          <w:rtl/>
        </w:rPr>
        <w:t xml:space="preserve">בבניין נגד </w:t>
      </w:r>
      <w:r w:rsidR="00064DBF">
        <w:rPr>
          <w:rFonts w:hint="cs"/>
          <w:sz w:val="26"/>
          <w:szCs w:val="30"/>
          <w:rtl/>
        </w:rPr>
        <w:t>מר משה זקן המנוח ומר ניסים עדיקה</w:t>
      </w:r>
      <w:r>
        <w:rPr>
          <w:rFonts w:hint="cs"/>
          <w:sz w:val="26"/>
          <w:szCs w:val="30"/>
          <w:rtl/>
        </w:rPr>
        <w:t xml:space="preserve"> בענין דירות אלו. הדירות תכוננה</w:t>
      </w:r>
      <w:r w:rsidR="00064DBF">
        <w:rPr>
          <w:rFonts w:hint="cs"/>
          <w:sz w:val="26"/>
          <w:szCs w:val="30"/>
          <w:rtl/>
        </w:rPr>
        <w:t xml:space="preserve"> </w:t>
      </w:r>
      <w:r w:rsidR="006F7E6C">
        <w:rPr>
          <w:rFonts w:hint="cs"/>
          <w:sz w:val="26"/>
          <w:szCs w:val="30"/>
          <w:rtl/>
        </w:rPr>
        <w:t xml:space="preserve"> </w:t>
      </w:r>
      <w:r w:rsidR="006F7E6C" w:rsidRPr="00554062">
        <w:rPr>
          <w:rFonts w:cs="Miriam" w:hint="cs"/>
          <w:szCs w:val="24"/>
          <w:rtl/>
        </w:rPr>
        <w:t>להלן</w:t>
      </w:r>
      <w:r w:rsidR="001A03A8" w:rsidRPr="00554062">
        <w:rPr>
          <w:rFonts w:cs="Miriam" w:hint="cs"/>
          <w:szCs w:val="24"/>
          <w:rtl/>
        </w:rPr>
        <w:t xml:space="preserve"> </w:t>
      </w:r>
      <w:r w:rsidR="001A03A8" w:rsidRPr="00554062">
        <w:rPr>
          <w:rFonts w:cs="Miriam"/>
          <w:szCs w:val="24"/>
          <w:rtl/>
        </w:rPr>
        <w:t>–</w:t>
      </w:r>
      <w:r w:rsidR="001A03A8" w:rsidRPr="00554062">
        <w:rPr>
          <w:rFonts w:cs="Miriam" w:hint="cs"/>
          <w:szCs w:val="24"/>
          <w:rtl/>
        </w:rPr>
        <w:t xml:space="preserve"> דירות המריבה</w:t>
      </w:r>
      <w:r w:rsidR="006F7E6C" w:rsidRPr="00554062">
        <w:rPr>
          <w:rFonts w:cs="Miriam" w:hint="cs"/>
          <w:szCs w:val="24"/>
          <w:rtl/>
        </w:rPr>
        <w:t>,</w:t>
      </w:r>
      <w:r w:rsidR="006F7E6C" w:rsidRPr="006F7E6C">
        <w:rPr>
          <w:rFonts w:hint="cs"/>
          <w:sz w:val="26"/>
          <w:szCs w:val="30"/>
          <w:rtl/>
        </w:rPr>
        <w:t xml:space="preserve"> כפי שכונו בפסק הדין</w:t>
      </w:r>
      <w:r>
        <w:rPr>
          <w:rFonts w:hint="cs"/>
          <w:sz w:val="26"/>
          <w:szCs w:val="30"/>
          <w:rtl/>
        </w:rPr>
        <w:t xml:space="preserve"> בתובענה זו</w:t>
      </w:r>
      <w:r w:rsidR="006F7E6C" w:rsidRPr="006F7E6C">
        <w:rPr>
          <w:rFonts w:hint="cs"/>
          <w:sz w:val="26"/>
          <w:szCs w:val="30"/>
          <w:rtl/>
        </w:rPr>
        <w:t>.</w:t>
      </w:r>
      <w:r w:rsidR="001A03A8">
        <w:rPr>
          <w:rFonts w:hint="cs"/>
          <w:sz w:val="26"/>
          <w:szCs w:val="30"/>
          <w:rtl/>
        </w:rPr>
        <w:t xml:space="preserve"> </w:t>
      </w:r>
    </w:p>
    <w:p w:rsidR="006F7E6C" w:rsidRDefault="006F7E6C" w:rsidP="006F7E6C">
      <w:pPr>
        <w:pStyle w:val="Arial"/>
        <w:rPr>
          <w:sz w:val="26"/>
          <w:szCs w:val="30"/>
          <w:rtl/>
        </w:rPr>
      </w:pPr>
    </w:p>
    <w:p w:rsidR="006F7E6C" w:rsidRDefault="001A03A8" w:rsidP="0057413D">
      <w:pPr>
        <w:pStyle w:val="Arial"/>
        <w:rPr>
          <w:sz w:val="26"/>
          <w:szCs w:val="30"/>
          <w:rtl/>
        </w:rPr>
      </w:pPr>
      <w:r>
        <w:rPr>
          <w:rFonts w:hint="cs"/>
          <w:sz w:val="26"/>
          <w:szCs w:val="30"/>
          <w:rtl/>
        </w:rPr>
        <w:lastRenderedPageBreak/>
        <w:t xml:space="preserve">בתובענה עתרו </w:t>
      </w:r>
      <w:r w:rsidR="0057413D">
        <w:rPr>
          <w:rFonts w:hint="cs"/>
          <w:sz w:val="26"/>
          <w:szCs w:val="30"/>
          <w:rtl/>
        </w:rPr>
        <w:t xml:space="preserve">בעלי אותן דירות </w:t>
      </w:r>
      <w:r>
        <w:rPr>
          <w:rFonts w:hint="cs"/>
          <w:sz w:val="26"/>
          <w:szCs w:val="30"/>
          <w:rtl/>
        </w:rPr>
        <w:t>לביטול רישום הזכויות שנרכשו מעמידר</w:t>
      </w:r>
      <w:r w:rsidR="006F7E6C">
        <w:rPr>
          <w:rFonts w:hint="cs"/>
          <w:sz w:val="26"/>
          <w:szCs w:val="30"/>
          <w:rtl/>
        </w:rPr>
        <w:t xml:space="preserve"> ב</w:t>
      </w:r>
      <w:r>
        <w:rPr>
          <w:rFonts w:hint="cs"/>
          <w:sz w:val="26"/>
          <w:szCs w:val="30"/>
          <w:rtl/>
        </w:rPr>
        <w:t>דירות המריבה</w:t>
      </w:r>
      <w:r w:rsidR="006F7E6C">
        <w:rPr>
          <w:rFonts w:hint="cs"/>
          <w:sz w:val="26"/>
          <w:szCs w:val="30"/>
          <w:rtl/>
        </w:rPr>
        <w:t xml:space="preserve"> </w:t>
      </w:r>
      <w:r>
        <w:rPr>
          <w:rFonts w:hint="cs"/>
          <w:sz w:val="26"/>
          <w:szCs w:val="30"/>
          <w:rtl/>
        </w:rPr>
        <w:t>על שמם של משה זקן המנוח ועדיקה</w:t>
      </w:r>
      <w:r w:rsidR="006F7E6C">
        <w:rPr>
          <w:rFonts w:hint="cs"/>
          <w:sz w:val="26"/>
          <w:szCs w:val="30"/>
          <w:rtl/>
        </w:rPr>
        <w:t>, וזאת</w:t>
      </w:r>
      <w:r>
        <w:rPr>
          <w:rFonts w:hint="cs"/>
          <w:sz w:val="26"/>
          <w:szCs w:val="30"/>
          <w:rtl/>
        </w:rPr>
        <w:t xml:space="preserve"> על מנת של</w:t>
      </w:r>
      <w:r w:rsidR="00D657CB">
        <w:rPr>
          <w:rFonts w:hint="cs"/>
          <w:sz w:val="26"/>
          <w:szCs w:val="30"/>
          <w:rtl/>
        </w:rPr>
        <w:t>כלל ה</w:t>
      </w:r>
      <w:r>
        <w:rPr>
          <w:rFonts w:hint="cs"/>
          <w:sz w:val="26"/>
          <w:szCs w:val="30"/>
          <w:rtl/>
        </w:rPr>
        <w:t xml:space="preserve">דיירים תינתן הזדמנות לרכישת הדירות. </w:t>
      </w:r>
    </w:p>
    <w:p w:rsidR="006F7E6C" w:rsidRDefault="006F7E6C" w:rsidP="006F7E6C">
      <w:pPr>
        <w:pStyle w:val="Arial"/>
        <w:rPr>
          <w:sz w:val="26"/>
          <w:szCs w:val="30"/>
          <w:rtl/>
        </w:rPr>
      </w:pPr>
    </w:p>
    <w:p w:rsidR="00D657CB" w:rsidRDefault="006F7E6C" w:rsidP="003E4630">
      <w:pPr>
        <w:pStyle w:val="Arial"/>
        <w:rPr>
          <w:sz w:val="26"/>
          <w:szCs w:val="30"/>
          <w:rtl/>
        </w:rPr>
      </w:pPr>
      <w:r>
        <w:rPr>
          <w:rFonts w:hint="cs"/>
          <w:sz w:val="26"/>
          <w:szCs w:val="30"/>
          <w:rtl/>
        </w:rPr>
        <w:t xml:space="preserve">כעולה מפסק הדין, </w:t>
      </w:r>
      <w:r w:rsidR="001A03A8">
        <w:rPr>
          <w:rFonts w:hint="cs"/>
          <w:sz w:val="26"/>
          <w:szCs w:val="30"/>
          <w:rtl/>
        </w:rPr>
        <w:t>התובענה התקבלה</w:t>
      </w:r>
      <w:r w:rsidR="00D657CB">
        <w:rPr>
          <w:rFonts w:hint="cs"/>
          <w:sz w:val="26"/>
          <w:szCs w:val="30"/>
          <w:rtl/>
        </w:rPr>
        <w:t xml:space="preserve">. נקבע כי הסכום שנגבה מכלל הדיירים </w:t>
      </w:r>
      <w:r w:rsidR="00F21F79">
        <w:rPr>
          <w:rFonts w:hint="cs"/>
          <w:sz w:val="26"/>
          <w:szCs w:val="30"/>
          <w:rtl/>
        </w:rPr>
        <w:t xml:space="preserve">לפי "טבלת עמידר" </w:t>
      </w:r>
      <w:r w:rsidR="00D657CB">
        <w:rPr>
          <w:rFonts w:hint="cs"/>
          <w:sz w:val="26"/>
          <w:szCs w:val="30"/>
          <w:rtl/>
        </w:rPr>
        <w:t xml:space="preserve">כלל מרכיב (15%) שנועד לכיסוי הוצאות לרכישת </w:t>
      </w:r>
      <w:r w:rsidR="000123C4">
        <w:rPr>
          <w:rFonts w:hint="cs"/>
          <w:sz w:val="26"/>
          <w:szCs w:val="30"/>
          <w:rtl/>
        </w:rPr>
        <w:t xml:space="preserve">הזכויות ביחידות מעין "דירות המריבה", </w:t>
      </w:r>
      <w:r w:rsidR="00D657CB">
        <w:rPr>
          <w:rFonts w:hint="cs"/>
          <w:sz w:val="26"/>
          <w:szCs w:val="30"/>
          <w:rtl/>
        </w:rPr>
        <w:t xml:space="preserve">בגינן לא תבוצע </w:t>
      </w:r>
      <w:r w:rsidR="000123C4">
        <w:rPr>
          <w:rFonts w:hint="cs"/>
          <w:sz w:val="26"/>
          <w:szCs w:val="30"/>
          <w:rtl/>
        </w:rPr>
        <w:t xml:space="preserve">הפקדה מטעם דייר מוגן ספציפי. עוד נקבע כי </w:t>
      </w:r>
      <w:r w:rsidR="00D657CB">
        <w:rPr>
          <w:rFonts w:hint="cs"/>
          <w:sz w:val="26"/>
          <w:szCs w:val="30"/>
          <w:rtl/>
        </w:rPr>
        <w:t xml:space="preserve">אמנם עדיקא וזקן שילמו לקופת הדיירים שיועדה לרכישת זכויות עמידר בבית פיינגולד סכום העולה על חלקם היחסי, אף כי לא בהיקף </w:t>
      </w:r>
      <w:r w:rsidR="001C33DF">
        <w:rPr>
          <w:rFonts w:hint="cs"/>
          <w:sz w:val="26"/>
          <w:szCs w:val="30"/>
          <w:rtl/>
        </w:rPr>
        <w:t>שנטען</w:t>
      </w:r>
      <w:r w:rsidR="001C6FFD">
        <w:rPr>
          <w:rFonts w:hint="cs"/>
          <w:sz w:val="26"/>
          <w:szCs w:val="30"/>
          <w:rtl/>
        </w:rPr>
        <w:t xml:space="preserve">. </w:t>
      </w:r>
      <w:r w:rsidR="000123C4">
        <w:rPr>
          <w:rFonts w:hint="cs"/>
          <w:sz w:val="26"/>
          <w:szCs w:val="30"/>
          <w:rtl/>
        </w:rPr>
        <w:t>מכל מקום</w:t>
      </w:r>
      <w:r w:rsidR="001C6FFD">
        <w:rPr>
          <w:rFonts w:hint="cs"/>
          <w:sz w:val="26"/>
          <w:szCs w:val="30"/>
          <w:rtl/>
        </w:rPr>
        <w:t>, כך נפסק,</w:t>
      </w:r>
      <w:r w:rsidR="000123C4">
        <w:rPr>
          <w:rFonts w:hint="cs"/>
          <w:sz w:val="26"/>
          <w:szCs w:val="30"/>
          <w:rtl/>
        </w:rPr>
        <w:t xml:space="preserve"> תשלום זה לא הקנה לזקן ולעדיקה זכות בדירות המריבה</w:t>
      </w:r>
      <w:r w:rsidR="00D657CB">
        <w:rPr>
          <w:rFonts w:hint="cs"/>
          <w:sz w:val="26"/>
          <w:szCs w:val="30"/>
          <w:rtl/>
        </w:rPr>
        <w:t>.</w:t>
      </w:r>
      <w:r w:rsidR="005A67A3">
        <w:rPr>
          <w:rFonts w:hint="cs"/>
          <w:sz w:val="26"/>
          <w:szCs w:val="30"/>
          <w:rtl/>
        </w:rPr>
        <w:t xml:space="preserve"> </w:t>
      </w:r>
      <w:r w:rsidR="000123C4">
        <w:rPr>
          <w:rFonts w:hint="cs"/>
          <w:sz w:val="26"/>
          <w:szCs w:val="30"/>
          <w:rtl/>
        </w:rPr>
        <w:t xml:space="preserve">נוכח כך הורה </w:t>
      </w:r>
      <w:r w:rsidR="0057413D">
        <w:rPr>
          <w:rFonts w:hint="cs"/>
          <w:sz w:val="26"/>
          <w:szCs w:val="30"/>
          <w:rtl/>
        </w:rPr>
        <w:t>כב' ה</w:t>
      </w:r>
      <w:r w:rsidR="001C6FFD">
        <w:rPr>
          <w:rFonts w:hint="cs"/>
          <w:sz w:val="26"/>
          <w:szCs w:val="30"/>
          <w:rtl/>
        </w:rPr>
        <w:t>ש</w:t>
      </w:r>
      <w:r w:rsidR="0057413D">
        <w:rPr>
          <w:rFonts w:hint="cs"/>
          <w:sz w:val="26"/>
          <w:szCs w:val="30"/>
          <w:rtl/>
        </w:rPr>
        <w:t>ו</w:t>
      </w:r>
      <w:r w:rsidR="001C6FFD">
        <w:rPr>
          <w:rFonts w:hint="cs"/>
          <w:sz w:val="26"/>
          <w:szCs w:val="30"/>
          <w:rtl/>
        </w:rPr>
        <w:t>פט חשין</w:t>
      </w:r>
      <w:r w:rsidR="001A03A8">
        <w:rPr>
          <w:rFonts w:hint="cs"/>
          <w:sz w:val="26"/>
          <w:szCs w:val="30"/>
          <w:rtl/>
        </w:rPr>
        <w:t xml:space="preserve"> על ביטול רישום דירות המריבה ע</w:t>
      </w:r>
      <w:r w:rsidR="006C4FFD">
        <w:rPr>
          <w:rFonts w:hint="cs"/>
          <w:sz w:val="26"/>
          <w:szCs w:val="30"/>
          <w:rtl/>
        </w:rPr>
        <w:t>"</w:t>
      </w:r>
      <w:r w:rsidR="001A03A8">
        <w:rPr>
          <w:rFonts w:hint="cs"/>
          <w:sz w:val="26"/>
          <w:szCs w:val="30"/>
          <w:rtl/>
        </w:rPr>
        <w:t>ש זקן ועדיקה</w:t>
      </w:r>
      <w:r w:rsidR="00222047">
        <w:rPr>
          <w:rFonts w:hint="cs"/>
          <w:sz w:val="26"/>
          <w:szCs w:val="30"/>
          <w:rtl/>
        </w:rPr>
        <w:t xml:space="preserve"> ו</w:t>
      </w:r>
      <w:r w:rsidR="006C4FFD">
        <w:rPr>
          <w:rFonts w:hint="cs"/>
          <w:sz w:val="26"/>
          <w:szCs w:val="30"/>
          <w:rtl/>
        </w:rPr>
        <w:t xml:space="preserve">על </w:t>
      </w:r>
      <w:r w:rsidR="00222047">
        <w:rPr>
          <w:rFonts w:hint="cs"/>
          <w:sz w:val="26"/>
          <w:szCs w:val="30"/>
          <w:rtl/>
        </w:rPr>
        <w:t xml:space="preserve">העמדת דירות </w:t>
      </w:r>
      <w:r>
        <w:rPr>
          <w:rFonts w:hint="cs"/>
          <w:sz w:val="26"/>
          <w:szCs w:val="30"/>
          <w:rtl/>
        </w:rPr>
        <w:t>אלו</w:t>
      </w:r>
      <w:r w:rsidR="00222047">
        <w:rPr>
          <w:rFonts w:hint="cs"/>
          <w:sz w:val="26"/>
          <w:szCs w:val="30"/>
          <w:rtl/>
        </w:rPr>
        <w:t xml:space="preserve"> למכירה, לרכישת הדיירים שיחפצו בכך, על פי </w:t>
      </w:r>
      <w:r w:rsidR="0057413D">
        <w:rPr>
          <w:rFonts w:hint="cs"/>
          <w:sz w:val="26"/>
          <w:szCs w:val="30"/>
          <w:rtl/>
        </w:rPr>
        <w:t xml:space="preserve">תעריפי </w:t>
      </w:r>
      <w:r w:rsidR="003E4630">
        <w:rPr>
          <w:rFonts w:hint="cs"/>
          <w:sz w:val="26"/>
          <w:szCs w:val="30"/>
          <w:rtl/>
        </w:rPr>
        <w:t>ה</w:t>
      </w:r>
      <w:r w:rsidR="00222047">
        <w:rPr>
          <w:rFonts w:hint="cs"/>
          <w:sz w:val="26"/>
          <w:szCs w:val="30"/>
          <w:rtl/>
        </w:rPr>
        <w:t>טבל</w:t>
      </w:r>
      <w:r w:rsidR="003E4630">
        <w:rPr>
          <w:rFonts w:hint="cs"/>
          <w:sz w:val="26"/>
          <w:szCs w:val="30"/>
          <w:rtl/>
        </w:rPr>
        <w:t>ה השמאית</w:t>
      </w:r>
      <w:r w:rsidR="00222047">
        <w:rPr>
          <w:rFonts w:hint="cs"/>
          <w:sz w:val="26"/>
          <w:szCs w:val="30"/>
          <w:rtl/>
        </w:rPr>
        <w:t xml:space="preserve">. </w:t>
      </w:r>
      <w:r w:rsidR="006548D9">
        <w:rPr>
          <w:rFonts w:hint="cs"/>
          <w:sz w:val="26"/>
          <w:szCs w:val="30"/>
          <w:rtl/>
        </w:rPr>
        <w:t>כמו כן נ</w:t>
      </w:r>
      <w:r w:rsidR="008A7B0E">
        <w:rPr>
          <w:rFonts w:hint="cs"/>
          <w:sz w:val="26"/>
          <w:szCs w:val="30"/>
          <w:rtl/>
        </w:rPr>
        <w:t>י</w:t>
      </w:r>
      <w:r w:rsidR="006548D9">
        <w:rPr>
          <w:rFonts w:hint="cs"/>
          <w:sz w:val="26"/>
          <w:szCs w:val="30"/>
          <w:rtl/>
        </w:rPr>
        <w:t>תנו הוראות באשר לחלוקת הכספים שיתקבלו ממכירת ה</w:t>
      </w:r>
      <w:r w:rsidR="002E5177">
        <w:rPr>
          <w:rFonts w:hint="cs"/>
          <w:sz w:val="26"/>
          <w:szCs w:val="30"/>
          <w:rtl/>
        </w:rPr>
        <w:t>יחיד</w:t>
      </w:r>
      <w:r w:rsidR="006548D9">
        <w:rPr>
          <w:rFonts w:hint="cs"/>
          <w:sz w:val="26"/>
          <w:szCs w:val="30"/>
          <w:rtl/>
        </w:rPr>
        <w:t>ות, ובכלל כך החזר לזקן ולעדיקא בגין תשלום היתר ששילמו.</w:t>
      </w:r>
    </w:p>
    <w:p w:rsidR="00D657CB" w:rsidRDefault="00D657CB" w:rsidP="0015517F">
      <w:pPr>
        <w:pStyle w:val="Arial"/>
        <w:rPr>
          <w:sz w:val="26"/>
          <w:szCs w:val="30"/>
          <w:rtl/>
        </w:rPr>
      </w:pPr>
    </w:p>
    <w:p w:rsidR="00077046" w:rsidRDefault="00222047" w:rsidP="008B57F4">
      <w:pPr>
        <w:pStyle w:val="Arial"/>
        <w:rPr>
          <w:sz w:val="26"/>
          <w:szCs w:val="30"/>
          <w:rtl/>
        </w:rPr>
      </w:pPr>
      <w:r>
        <w:rPr>
          <w:rFonts w:hint="cs"/>
          <w:sz w:val="26"/>
          <w:szCs w:val="30"/>
          <w:rtl/>
        </w:rPr>
        <w:t xml:space="preserve">על פסק </w:t>
      </w:r>
      <w:r w:rsidR="0015517F">
        <w:rPr>
          <w:rFonts w:hint="cs"/>
          <w:sz w:val="26"/>
          <w:szCs w:val="30"/>
          <w:rtl/>
        </w:rPr>
        <w:t>ה</w:t>
      </w:r>
      <w:r>
        <w:rPr>
          <w:rFonts w:hint="cs"/>
          <w:sz w:val="26"/>
          <w:szCs w:val="30"/>
          <w:rtl/>
        </w:rPr>
        <w:t>דין הוגש ערעור</w:t>
      </w:r>
      <w:r w:rsidR="0015517F">
        <w:rPr>
          <w:rFonts w:hint="cs"/>
          <w:sz w:val="26"/>
          <w:szCs w:val="30"/>
          <w:rtl/>
        </w:rPr>
        <w:t xml:space="preserve"> לבית המשפט העליון,</w:t>
      </w:r>
      <w:r>
        <w:rPr>
          <w:rFonts w:hint="cs"/>
          <w:sz w:val="26"/>
          <w:szCs w:val="30"/>
          <w:rtl/>
        </w:rPr>
        <w:t xml:space="preserve"> אשר הסתיים בהסכם פשרה שקיבל תוקף של פסק דין במסגרת ע"א 299/99</w:t>
      </w:r>
      <w:r w:rsidR="008B57F4">
        <w:rPr>
          <w:rFonts w:hint="cs"/>
          <w:sz w:val="26"/>
          <w:szCs w:val="30"/>
          <w:rtl/>
        </w:rPr>
        <w:t>, בו הובהר כי הסכם הפשרה ופסק הדין המאשר אותו מחייבים את בעלי הדין בערעורים ואותם בלבד</w:t>
      </w:r>
      <w:r>
        <w:rPr>
          <w:rFonts w:hint="cs"/>
          <w:sz w:val="26"/>
          <w:szCs w:val="30"/>
          <w:rtl/>
        </w:rPr>
        <w:t xml:space="preserve">. </w:t>
      </w:r>
    </w:p>
    <w:p w:rsidR="00077046" w:rsidRDefault="00077046" w:rsidP="00077046">
      <w:pPr>
        <w:pStyle w:val="Arial"/>
        <w:rPr>
          <w:sz w:val="26"/>
          <w:szCs w:val="30"/>
          <w:rtl/>
        </w:rPr>
      </w:pPr>
    </w:p>
    <w:p w:rsidR="008B57F4" w:rsidRDefault="00222047" w:rsidP="002E5177">
      <w:pPr>
        <w:pStyle w:val="Arial"/>
        <w:rPr>
          <w:sz w:val="26"/>
          <w:szCs w:val="30"/>
          <w:rtl/>
        </w:rPr>
      </w:pPr>
      <w:r>
        <w:rPr>
          <w:rFonts w:hint="cs"/>
          <w:sz w:val="26"/>
          <w:szCs w:val="30"/>
          <w:rtl/>
        </w:rPr>
        <w:t>על פי האמור בהסכם הפשרה,</w:t>
      </w:r>
      <w:r w:rsidR="001C33DF">
        <w:rPr>
          <w:rFonts w:hint="cs"/>
          <w:sz w:val="26"/>
          <w:szCs w:val="30"/>
          <w:rtl/>
        </w:rPr>
        <w:t xml:space="preserve"> </w:t>
      </w:r>
      <w:r w:rsidR="008B57F4">
        <w:rPr>
          <w:rFonts w:hint="cs"/>
          <w:sz w:val="26"/>
          <w:szCs w:val="30"/>
          <w:rtl/>
        </w:rPr>
        <w:t xml:space="preserve">ההוראה שבפסק הדין אודות ביטול </w:t>
      </w:r>
      <w:r w:rsidR="001C33DF">
        <w:rPr>
          <w:rFonts w:hint="cs"/>
          <w:sz w:val="26"/>
          <w:szCs w:val="30"/>
          <w:rtl/>
        </w:rPr>
        <w:t>רישומן</w:t>
      </w:r>
      <w:r w:rsidR="00077046">
        <w:rPr>
          <w:rFonts w:hint="cs"/>
          <w:sz w:val="26"/>
          <w:szCs w:val="30"/>
          <w:rtl/>
        </w:rPr>
        <w:t xml:space="preserve"> של דירות המריבה</w:t>
      </w:r>
      <w:r w:rsidR="001C33DF">
        <w:rPr>
          <w:rFonts w:hint="cs"/>
          <w:sz w:val="26"/>
          <w:szCs w:val="30"/>
          <w:rtl/>
        </w:rPr>
        <w:t xml:space="preserve"> ע"ש </w:t>
      </w:r>
      <w:r w:rsidR="00077046">
        <w:rPr>
          <w:rFonts w:hint="cs"/>
          <w:sz w:val="26"/>
          <w:szCs w:val="30"/>
          <w:rtl/>
        </w:rPr>
        <w:t xml:space="preserve">זקן ועדיקא </w:t>
      </w:r>
      <w:r w:rsidR="002E5177">
        <w:rPr>
          <w:rFonts w:hint="cs"/>
          <w:sz w:val="26"/>
          <w:szCs w:val="30"/>
          <w:rtl/>
        </w:rPr>
        <w:t>נותרה בעינה</w:t>
      </w:r>
      <w:r w:rsidR="008B57F4">
        <w:rPr>
          <w:rFonts w:hint="cs"/>
          <w:sz w:val="26"/>
          <w:szCs w:val="30"/>
          <w:rtl/>
        </w:rPr>
        <w:t>, וניתנו הוראות בדבר אופן מכירת הזכויות והחזר הכספים.</w:t>
      </w:r>
    </w:p>
    <w:p w:rsidR="006F7E6C" w:rsidRDefault="006F7E6C" w:rsidP="006F7E6C">
      <w:pPr>
        <w:pStyle w:val="Arial"/>
        <w:rPr>
          <w:sz w:val="26"/>
          <w:szCs w:val="30"/>
          <w:rtl/>
        </w:rPr>
      </w:pPr>
    </w:p>
    <w:p w:rsidR="006F7E6C" w:rsidRDefault="008B57F4" w:rsidP="003E4630">
      <w:pPr>
        <w:pStyle w:val="Arial"/>
        <w:rPr>
          <w:sz w:val="26"/>
          <w:szCs w:val="30"/>
          <w:rtl/>
        </w:rPr>
      </w:pPr>
      <w:r>
        <w:rPr>
          <w:rFonts w:hint="cs"/>
          <w:sz w:val="26"/>
          <w:szCs w:val="30"/>
          <w:rtl/>
        </w:rPr>
        <w:t xml:space="preserve">בפניי הובאה </w:t>
      </w:r>
      <w:r w:rsidR="006F7E6C">
        <w:rPr>
          <w:rFonts w:hint="cs"/>
          <w:sz w:val="26"/>
          <w:szCs w:val="30"/>
          <w:rtl/>
        </w:rPr>
        <w:t>בקשה לחלוקת חלק מהיתרה שקיימת</w:t>
      </w:r>
      <w:r w:rsidR="00B221FC">
        <w:rPr>
          <w:rFonts w:hint="cs"/>
          <w:sz w:val="26"/>
          <w:szCs w:val="30"/>
          <w:rtl/>
        </w:rPr>
        <w:t xml:space="preserve"> בקופת הנאמנים.</w:t>
      </w:r>
      <w:r w:rsidR="0023512A">
        <w:rPr>
          <w:rFonts w:hint="cs"/>
          <w:sz w:val="26"/>
          <w:szCs w:val="30"/>
          <w:rtl/>
        </w:rPr>
        <w:t xml:space="preserve"> כפי שמציינים הנאמנים היתרה מורכבת </w:t>
      </w:r>
      <w:r>
        <w:rPr>
          <w:rFonts w:hint="cs"/>
          <w:sz w:val="26"/>
          <w:szCs w:val="30"/>
          <w:rtl/>
        </w:rPr>
        <w:t xml:space="preserve">מ: </w:t>
      </w:r>
      <w:r w:rsidR="001A2421">
        <w:rPr>
          <w:rFonts w:hint="cs"/>
          <w:sz w:val="26"/>
          <w:szCs w:val="30"/>
          <w:rtl/>
        </w:rPr>
        <w:t xml:space="preserve">(1) </w:t>
      </w:r>
      <w:r w:rsidR="0023512A">
        <w:rPr>
          <w:rFonts w:hint="cs"/>
          <w:sz w:val="26"/>
          <w:szCs w:val="30"/>
          <w:rtl/>
        </w:rPr>
        <w:t>הסך העודף שנגבה בזמנו מהדיירים בשיעור של 15% מחלקו היחסי של כל דייר</w:t>
      </w:r>
      <w:r w:rsidR="001A2421">
        <w:rPr>
          <w:rFonts w:hint="cs"/>
          <w:sz w:val="26"/>
          <w:szCs w:val="30"/>
          <w:rtl/>
        </w:rPr>
        <w:t>, על מנת לממן את הרכישה מעמידר לכיסוי תשלום בגין חלק מן היחידות אשר לא י</w:t>
      </w:r>
      <w:r w:rsidR="003E4630">
        <w:rPr>
          <w:rFonts w:hint="cs"/>
          <w:sz w:val="26"/>
          <w:szCs w:val="30"/>
          <w:rtl/>
        </w:rPr>
        <w:t>רכשו בידי הדיירים</w:t>
      </w:r>
      <w:r w:rsidR="0023512A">
        <w:rPr>
          <w:rFonts w:hint="cs"/>
          <w:sz w:val="26"/>
          <w:szCs w:val="30"/>
          <w:rtl/>
        </w:rPr>
        <w:t xml:space="preserve">; </w:t>
      </w:r>
      <w:r w:rsidR="001A2421">
        <w:rPr>
          <w:rFonts w:hint="cs"/>
          <w:sz w:val="26"/>
          <w:szCs w:val="30"/>
          <w:rtl/>
        </w:rPr>
        <w:t xml:space="preserve">(2) </w:t>
      </w:r>
      <w:r>
        <w:rPr>
          <w:rFonts w:hint="cs"/>
          <w:sz w:val="26"/>
          <w:szCs w:val="30"/>
          <w:rtl/>
        </w:rPr>
        <w:t xml:space="preserve">חלק </w:t>
      </w:r>
      <w:r w:rsidR="0023512A">
        <w:rPr>
          <w:rFonts w:hint="cs"/>
          <w:sz w:val="26"/>
          <w:szCs w:val="30"/>
          <w:rtl/>
        </w:rPr>
        <w:t xml:space="preserve">מיתרת תמורה </w:t>
      </w:r>
      <w:r w:rsidR="0023512A">
        <w:rPr>
          <w:rFonts w:hint="cs"/>
          <w:sz w:val="26"/>
          <w:szCs w:val="30"/>
          <w:rtl/>
        </w:rPr>
        <w:lastRenderedPageBreak/>
        <w:t>שהתקבלה עבור דירה 28 שנמכרה בידי הנאמנים</w:t>
      </w:r>
      <w:r w:rsidR="007D6223">
        <w:rPr>
          <w:rFonts w:hint="cs"/>
          <w:sz w:val="26"/>
          <w:szCs w:val="30"/>
          <w:rtl/>
        </w:rPr>
        <w:t xml:space="preserve"> בשנת 2010</w:t>
      </w:r>
      <w:r w:rsidR="0023512A">
        <w:rPr>
          <w:rFonts w:hint="cs"/>
          <w:sz w:val="26"/>
          <w:szCs w:val="30"/>
          <w:rtl/>
        </w:rPr>
        <w:t xml:space="preserve">; </w:t>
      </w:r>
      <w:r w:rsidR="001A2421">
        <w:rPr>
          <w:rFonts w:hint="cs"/>
          <w:sz w:val="26"/>
          <w:szCs w:val="30"/>
          <w:rtl/>
        </w:rPr>
        <w:t xml:space="preserve">(3) </w:t>
      </w:r>
      <w:r w:rsidR="0048143F">
        <w:rPr>
          <w:rFonts w:hint="cs"/>
          <w:sz w:val="26"/>
          <w:szCs w:val="30"/>
          <w:rtl/>
        </w:rPr>
        <w:t>ו</w:t>
      </w:r>
      <w:r w:rsidR="006F5300">
        <w:rPr>
          <w:rFonts w:hint="cs"/>
          <w:sz w:val="26"/>
          <w:szCs w:val="30"/>
          <w:rtl/>
        </w:rPr>
        <w:t xml:space="preserve">כן סכום מסויים </w:t>
      </w:r>
      <w:r w:rsidR="0048143F">
        <w:rPr>
          <w:rFonts w:hint="cs"/>
          <w:sz w:val="26"/>
          <w:szCs w:val="30"/>
          <w:rtl/>
        </w:rPr>
        <w:t xml:space="preserve">מיתרה </w:t>
      </w:r>
      <w:r w:rsidR="006F5300">
        <w:rPr>
          <w:rFonts w:hint="cs"/>
          <w:sz w:val="26"/>
          <w:szCs w:val="30"/>
          <w:rtl/>
        </w:rPr>
        <w:t>קודמת</w:t>
      </w:r>
      <w:r w:rsidR="0048143F">
        <w:rPr>
          <w:rFonts w:hint="cs"/>
          <w:sz w:val="26"/>
          <w:szCs w:val="30"/>
          <w:rtl/>
        </w:rPr>
        <w:t>.</w:t>
      </w:r>
    </w:p>
    <w:p w:rsidR="00B221FC" w:rsidRDefault="00B221FC" w:rsidP="006F7E6C">
      <w:pPr>
        <w:pStyle w:val="Arial"/>
        <w:rPr>
          <w:sz w:val="26"/>
          <w:szCs w:val="30"/>
          <w:rtl/>
        </w:rPr>
      </w:pPr>
    </w:p>
    <w:p w:rsidR="00C924D6" w:rsidRDefault="00B221FC" w:rsidP="003E4630">
      <w:pPr>
        <w:pStyle w:val="Arial"/>
        <w:rPr>
          <w:sz w:val="26"/>
          <w:szCs w:val="30"/>
          <w:rtl/>
        </w:rPr>
      </w:pPr>
      <w:r>
        <w:rPr>
          <w:rFonts w:hint="cs"/>
          <w:sz w:val="26"/>
          <w:szCs w:val="30"/>
          <w:rtl/>
        </w:rPr>
        <w:t>עמדתם של הנאמנים היא</w:t>
      </w:r>
      <w:r w:rsidR="006F5300">
        <w:rPr>
          <w:rFonts w:hint="cs"/>
          <w:sz w:val="26"/>
          <w:szCs w:val="30"/>
          <w:rtl/>
        </w:rPr>
        <w:t>, כאמור,</w:t>
      </w:r>
      <w:r w:rsidR="00C924D6">
        <w:rPr>
          <w:rFonts w:hint="cs"/>
          <w:sz w:val="26"/>
          <w:szCs w:val="30"/>
          <w:rtl/>
        </w:rPr>
        <w:t xml:space="preserve"> שיש לחלק את הסכום הנדון </w:t>
      </w:r>
      <w:r>
        <w:rPr>
          <w:rFonts w:hint="cs"/>
          <w:sz w:val="26"/>
          <w:szCs w:val="30"/>
          <w:rtl/>
        </w:rPr>
        <w:t>על פי היחס בין התשלומים שש</w:t>
      </w:r>
      <w:r w:rsidR="00C924D6">
        <w:rPr>
          <w:rFonts w:hint="cs"/>
          <w:sz w:val="26"/>
          <w:szCs w:val="30"/>
          <w:rtl/>
        </w:rPr>
        <w:t>י</w:t>
      </w:r>
      <w:r>
        <w:rPr>
          <w:rFonts w:hint="cs"/>
          <w:sz w:val="26"/>
          <w:szCs w:val="30"/>
          <w:rtl/>
        </w:rPr>
        <w:t xml:space="preserve">למו </w:t>
      </w:r>
      <w:r w:rsidR="00C924D6">
        <w:rPr>
          <w:rFonts w:hint="cs"/>
          <w:sz w:val="26"/>
          <w:szCs w:val="30"/>
          <w:rtl/>
        </w:rPr>
        <w:t xml:space="preserve">הדיירים השונים </w:t>
      </w:r>
      <w:r>
        <w:rPr>
          <w:rFonts w:hint="cs"/>
          <w:sz w:val="26"/>
          <w:szCs w:val="30"/>
          <w:rtl/>
        </w:rPr>
        <w:t>בזמנו בהתאם לטבל</w:t>
      </w:r>
      <w:r w:rsidR="003E4630">
        <w:rPr>
          <w:rFonts w:hint="cs"/>
          <w:sz w:val="26"/>
          <w:szCs w:val="30"/>
          <w:rtl/>
        </w:rPr>
        <w:t>ה השמאית</w:t>
      </w:r>
      <w:r w:rsidR="00C924D6">
        <w:rPr>
          <w:rFonts w:hint="cs"/>
          <w:sz w:val="26"/>
          <w:szCs w:val="30"/>
          <w:rtl/>
        </w:rPr>
        <w:t>.</w:t>
      </w:r>
    </w:p>
    <w:p w:rsidR="006F5300" w:rsidRDefault="006F5300" w:rsidP="00C924D6">
      <w:pPr>
        <w:pStyle w:val="Arial"/>
        <w:rPr>
          <w:sz w:val="26"/>
          <w:szCs w:val="30"/>
          <w:rtl/>
        </w:rPr>
      </w:pPr>
    </w:p>
    <w:p w:rsidR="001E08AA" w:rsidRDefault="00B221FC" w:rsidP="009034E5">
      <w:pPr>
        <w:pStyle w:val="Arial"/>
        <w:rPr>
          <w:sz w:val="26"/>
          <w:szCs w:val="30"/>
          <w:rtl/>
        </w:rPr>
      </w:pPr>
      <w:r>
        <w:rPr>
          <w:rFonts w:hint="cs"/>
          <w:sz w:val="26"/>
          <w:szCs w:val="30"/>
          <w:rtl/>
        </w:rPr>
        <w:t>על מנת לאפשר למתנגדים להגיב להצעה, בוצע פרסום בבית פיינגולד וכן פורסמה מודעה בעיתון אודות הכוונה לבצע חלוקה. בעקבות כך הוגשו עמדותיהם של צדדים שונים</w:t>
      </w:r>
      <w:r w:rsidR="00560453">
        <w:rPr>
          <w:rFonts w:hint="cs"/>
          <w:sz w:val="26"/>
          <w:szCs w:val="30"/>
          <w:rtl/>
        </w:rPr>
        <w:t>, התקיים דיון והתבקש פירוט שניתן בחלקו</w:t>
      </w:r>
      <w:r>
        <w:rPr>
          <w:rFonts w:hint="cs"/>
          <w:sz w:val="26"/>
          <w:szCs w:val="30"/>
          <w:rtl/>
        </w:rPr>
        <w:t xml:space="preserve">. </w:t>
      </w:r>
    </w:p>
    <w:p w:rsidR="001E08AA" w:rsidRDefault="001E08AA" w:rsidP="009034E5">
      <w:pPr>
        <w:pStyle w:val="Arial"/>
        <w:rPr>
          <w:sz w:val="26"/>
          <w:szCs w:val="30"/>
          <w:rtl/>
        </w:rPr>
      </w:pPr>
    </w:p>
    <w:p w:rsidR="001E08AA" w:rsidRDefault="00560453" w:rsidP="008A7B0E">
      <w:pPr>
        <w:pStyle w:val="Arial"/>
        <w:rPr>
          <w:sz w:val="26"/>
          <w:szCs w:val="30"/>
          <w:rtl/>
        </w:rPr>
      </w:pPr>
      <w:r>
        <w:rPr>
          <w:rFonts w:hint="cs"/>
          <w:sz w:val="26"/>
          <w:szCs w:val="30"/>
          <w:rtl/>
        </w:rPr>
        <w:t xml:space="preserve">לאחר שפורטו כל אלו נראה כי </w:t>
      </w:r>
      <w:r w:rsidR="007B04A5">
        <w:rPr>
          <w:rFonts w:hint="cs"/>
          <w:sz w:val="26"/>
          <w:szCs w:val="30"/>
          <w:rtl/>
        </w:rPr>
        <w:t>למעשה אין חולק כי "כלל החלוקה" המתאים באשר ליתרת הכספים שבנאמנות, שאינם אמורים להיות משולמים לגורם ספציפי זה או אחר, הוא</w:t>
      </w:r>
      <w:r>
        <w:rPr>
          <w:rFonts w:hint="cs"/>
          <w:sz w:val="26"/>
          <w:szCs w:val="30"/>
          <w:rtl/>
        </w:rPr>
        <w:t xml:space="preserve"> אכן על פי חלקה היחסי של כל </w:t>
      </w:r>
      <w:r w:rsidR="004A5815">
        <w:rPr>
          <w:rFonts w:hint="cs"/>
          <w:sz w:val="26"/>
          <w:szCs w:val="30"/>
          <w:rtl/>
        </w:rPr>
        <w:t>יחידה</w:t>
      </w:r>
      <w:r w:rsidR="003E4630">
        <w:rPr>
          <w:rFonts w:hint="cs"/>
          <w:sz w:val="26"/>
          <w:szCs w:val="30"/>
          <w:rtl/>
        </w:rPr>
        <w:t xml:space="preserve"> כאמור ב</w:t>
      </w:r>
      <w:r>
        <w:rPr>
          <w:rFonts w:hint="cs"/>
          <w:sz w:val="26"/>
          <w:szCs w:val="30"/>
          <w:rtl/>
        </w:rPr>
        <w:t>טבל</w:t>
      </w:r>
      <w:r w:rsidR="003E4630">
        <w:rPr>
          <w:rFonts w:hint="cs"/>
          <w:sz w:val="26"/>
          <w:szCs w:val="30"/>
          <w:rtl/>
        </w:rPr>
        <w:t>ה</w:t>
      </w:r>
      <w:r>
        <w:rPr>
          <w:rFonts w:hint="cs"/>
          <w:sz w:val="26"/>
          <w:szCs w:val="30"/>
          <w:rtl/>
        </w:rPr>
        <w:t>.</w:t>
      </w:r>
      <w:r w:rsidR="007B04A5">
        <w:rPr>
          <w:rFonts w:hint="cs"/>
          <w:sz w:val="26"/>
          <w:szCs w:val="30"/>
          <w:rtl/>
        </w:rPr>
        <w:t xml:space="preserve"> המחלוקת העיקרית היא באשר לטענות של מספר אנשים (מר מרדכי זקן </w:t>
      </w:r>
      <w:r w:rsidR="004A5815">
        <w:rPr>
          <w:rFonts w:hint="cs"/>
          <w:sz w:val="26"/>
          <w:szCs w:val="30"/>
          <w:rtl/>
        </w:rPr>
        <w:t>ו</w:t>
      </w:r>
      <w:r w:rsidR="007B04A5">
        <w:rPr>
          <w:rFonts w:hint="cs"/>
          <w:sz w:val="26"/>
          <w:szCs w:val="30"/>
          <w:rtl/>
        </w:rPr>
        <w:t>יורשי המנוח משה זקן) לחובות קודמים הרובצים לפיתחה של קופת הנאמנות</w:t>
      </w:r>
      <w:r w:rsidR="008A7B0E">
        <w:rPr>
          <w:rFonts w:hint="cs"/>
          <w:sz w:val="26"/>
          <w:szCs w:val="30"/>
          <w:rtl/>
        </w:rPr>
        <w:t xml:space="preserve"> (בתחילת התהליך הועלו גם טענות מפי מר ניסים עדיקא, ואולם לאחר מספר דיונים וכן בירורים שכללו גם פגישה עם הנאמנים ועיון במסמכיהם, כמו גם יועץ המס מר צרפתי שפעל בזמנו מטעם הנאמנים,  היום הודיע בא כוחו של מר עדיקא כי מרשו</w:t>
      </w:r>
      <w:r w:rsidR="009816F6">
        <w:rPr>
          <w:rFonts w:hint="cs"/>
          <w:sz w:val="26"/>
          <w:szCs w:val="30"/>
          <w:rtl/>
        </w:rPr>
        <w:t xml:space="preserve"> חוזר בו מטענותיו, ולכן לא אפרט באשר אליהן)</w:t>
      </w:r>
      <w:r w:rsidR="007B04A5">
        <w:rPr>
          <w:rFonts w:hint="cs"/>
          <w:sz w:val="26"/>
          <w:szCs w:val="30"/>
          <w:rtl/>
        </w:rPr>
        <w:t xml:space="preserve">. </w:t>
      </w:r>
    </w:p>
    <w:p w:rsidR="001E08AA" w:rsidRDefault="001E08AA" w:rsidP="009034E5">
      <w:pPr>
        <w:pStyle w:val="Arial"/>
        <w:rPr>
          <w:sz w:val="26"/>
          <w:szCs w:val="30"/>
          <w:rtl/>
        </w:rPr>
      </w:pPr>
    </w:p>
    <w:p w:rsidR="00560453" w:rsidRDefault="009034E5" w:rsidP="009034E5">
      <w:pPr>
        <w:pStyle w:val="Arial"/>
        <w:rPr>
          <w:sz w:val="26"/>
          <w:szCs w:val="30"/>
          <w:rtl/>
        </w:rPr>
      </w:pPr>
      <w:r>
        <w:rPr>
          <w:rFonts w:hint="cs"/>
          <w:sz w:val="26"/>
          <w:szCs w:val="30"/>
          <w:rtl/>
        </w:rPr>
        <w:t xml:space="preserve">סוגיה נוספת המתעוררת בשולי הדברים נוגעת לזהות האנשים שיקבלו את הכספים האמורים להשתלם לבעלי יחידות שהזכויות בהן הועברו במשך השנים </w:t>
      </w:r>
      <w:r>
        <w:rPr>
          <w:sz w:val="26"/>
          <w:szCs w:val="30"/>
          <w:rtl/>
        </w:rPr>
        <w:t>–</w:t>
      </w:r>
      <w:r>
        <w:rPr>
          <w:rFonts w:hint="cs"/>
          <w:sz w:val="26"/>
          <w:szCs w:val="30"/>
          <w:rtl/>
        </w:rPr>
        <w:t xml:space="preserve"> האם לבעלים המקוריים או לבעלים דהיום.</w:t>
      </w:r>
    </w:p>
    <w:p w:rsidR="009034E5" w:rsidRDefault="009034E5" w:rsidP="009034E5">
      <w:pPr>
        <w:pStyle w:val="Arial"/>
        <w:rPr>
          <w:sz w:val="26"/>
          <w:szCs w:val="30"/>
          <w:rtl/>
        </w:rPr>
      </w:pPr>
    </w:p>
    <w:p w:rsidR="00B221FC" w:rsidRDefault="00560453" w:rsidP="00560453">
      <w:pPr>
        <w:pStyle w:val="Arial"/>
        <w:rPr>
          <w:sz w:val="26"/>
          <w:szCs w:val="30"/>
          <w:rtl/>
        </w:rPr>
      </w:pPr>
      <w:r>
        <w:rPr>
          <w:rFonts w:hint="cs"/>
          <w:sz w:val="26"/>
          <w:szCs w:val="30"/>
          <w:rtl/>
        </w:rPr>
        <w:t xml:space="preserve"> להלן</w:t>
      </w:r>
      <w:r w:rsidR="006F5300">
        <w:rPr>
          <w:rFonts w:hint="cs"/>
          <w:sz w:val="26"/>
          <w:szCs w:val="30"/>
          <w:rtl/>
        </w:rPr>
        <w:t xml:space="preserve"> אסקור את טיעוני הצדדים</w:t>
      </w:r>
      <w:r w:rsidR="00933DA5">
        <w:rPr>
          <w:rFonts w:hint="cs"/>
          <w:sz w:val="26"/>
          <w:szCs w:val="30"/>
          <w:rtl/>
        </w:rPr>
        <w:t xml:space="preserve"> והטיעונים לקיומם של "חובות קודמים"</w:t>
      </w:r>
      <w:r w:rsidR="006F5300">
        <w:rPr>
          <w:rFonts w:hint="cs"/>
          <w:sz w:val="26"/>
          <w:szCs w:val="30"/>
          <w:rtl/>
        </w:rPr>
        <w:t>, ואתייחס אליהם אחד לאחד.</w:t>
      </w:r>
    </w:p>
    <w:p w:rsidR="00B221FC" w:rsidRDefault="00B221FC" w:rsidP="00B221FC">
      <w:pPr>
        <w:pStyle w:val="Arial"/>
        <w:rPr>
          <w:sz w:val="26"/>
          <w:szCs w:val="30"/>
          <w:rtl/>
        </w:rPr>
      </w:pPr>
    </w:p>
    <w:p w:rsidR="00B946E1" w:rsidRDefault="007D6223" w:rsidP="00B946E1">
      <w:pPr>
        <w:pStyle w:val="Arial"/>
        <w:rPr>
          <w:rFonts w:cs="Miriam"/>
          <w:szCs w:val="24"/>
          <w:rtl/>
        </w:rPr>
      </w:pPr>
      <w:r w:rsidRPr="003E2C0A">
        <w:rPr>
          <w:rFonts w:cs="Miriam" w:hint="cs"/>
          <w:szCs w:val="24"/>
          <w:rtl/>
        </w:rPr>
        <w:lastRenderedPageBreak/>
        <w:t>טענות יורשי המנוח משה זקן ז"ל</w:t>
      </w:r>
    </w:p>
    <w:p w:rsidR="009816F6" w:rsidRPr="003E2C0A" w:rsidRDefault="009816F6" w:rsidP="00B946E1">
      <w:pPr>
        <w:pStyle w:val="Arial"/>
        <w:rPr>
          <w:rFonts w:cs="Miriam"/>
          <w:szCs w:val="24"/>
          <w:rtl/>
        </w:rPr>
      </w:pPr>
    </w:p>
    <w:p w:rsidR="0046264B" w:rsidRDefault="0046264B" w:rsidP="0046264B">
      <w:pPr>
        <w:pStyle w:val="Arial"/>
        <w:rPr>
          <w:sz w:val="26"/>
          <w:szCs w:val="30"/>
          <w:rtl/>
        </w:rPr>
      </w:pPr>
      <w:r>
        <w:rPr>
          <w:rFonts w:hint="cs"/>
          <w:sz w:val="26"/>
          <w:szCs w:val="30"/>
          <w:rtl/>
        </w:rPr>
        <w:t>יורשי המנוח משה זקן ז"ל, באמצעות עו"ד מתן זקן (שהוא אחד היורשים), טוענים כדלקמן:</w:t>
      </w:r>
    </w:p>
    <w:p w:rsidR="005C7510" w:rsidRDefault="0046264B" w:rsidP="00044CF1">
      <w:pPr>
        <w:pStyle w:val="Arial"/>
        <w:ind w:left="720" w:hanging="720"/>
        <w:rPr>
          <w:sz w:val="26"/>
          <w:szCs w:val="30"/>
          <w:rtl/>
        </w:rPr>
      </w:pPr>
      <w:r>
        <w:rPr>
          <w:rFonts w:hint="cs"/>
          <w:sz w:val="26"/>
          <w:szCs w:val="30"/>
          <w:rtl/>
        </w:rPr>
        <w:t>א.</w:t>
      </w:r>
      <w:r>
        <w:rPr>
          <w:sz w:val="26"/>
          <w:szCs w:val="30"/>
          <w:rtl/>
        </w:rPr>
        <w:tab/>
      </w:r>
      <w:r w:rsidR="00482454">
        <w:rPr>
          <w:rFonts w:hint="cs"/>
          <w:sz w:val="26"/>
          <w:szCs w:val="30"/>
          <w:rtl/>
        </w:rPr>
        <w:t xml:space="preserve">נטען כי </w:t>
      </w:r>
      <w:r>
        <w:rPr>
          <w:rFonts w:hint="cs"/>
          <w:sz w:val="26"/>
          <w:szCs w:val="30"/>
          <w:rtl/>
        </w:rPr>
        <w:t>כספים המתייחסים ליחידה מס' 23</w:t>
      </w:r>
      <w:r w:rsidR="00707A0D">
        <w:rPr>
          <w:rFonts w:hint="cs"/>
          <w:sz w:val="26"/>
          <w:szCs w:val="30"/>
          <w:rtl/>
        </w:rPr>
        <w:t xml:space="preserve"> יש להעביר ל</w:t>
      </w:r>
      <w:r w:rsidR="00784100">
        <w:rPr>
          <w:rFonts w:hint="cs"/>
          <w:sz w:val="26"/>
          <w:szCs w:val="30"/>
          <w:rtl/>
        </w:rPr>
        <w:t xml:space="preserve">מרדכי </w:t>
      </w:r>
      <w:r w:rsidR="00707A0D">
        <w:rPr>
          <w:rFonts w:hint="cs"/>
          <w:sz w:val="26"/>
          <w:szCs w:val="30"/>
          <w:rtl/>
        </w:rPr>
        <w:t>זקן</w:t>
      </w:r>
      <w:r w:rsidR="00784100">
        <w:rPr>
          <w:rFonts w:hint="cs"/>
          <w:sz w:val="26"/>
          <w:szCs w:val="30"/>
          <w:rtl/>
        </w:rPr>
        <w:t xml:space="preserve"> (</w:t>
      </w:r>
      <w:r w:rsidR="00707A0D">
        <w:rPr>
          <w:rFonts w:hint="cs"/>
          <w:sz w:val="26"/>
          <w:szCs w:val="30"/>
          <w:rtl/>
        </w:rPr>
        <w:t>בהתאם להסכמה בין היורשים לבין מרדכי זקן</w:t>
      </w:r>
      <w:r w:rsidR="00784100">
        <w:rPr>
          <w:rFonts w:hint="cs"/>
          <w:sz w:val="26"/>
          <w:szCs w:val="30"/>
          <w:rtl/>
        </w:rPr>
        <w:t>)</w:t>
      </w:r>
      <w:r w:rsidR="00707A0D">
        <w:rPr>
          <w:rFonts w:hint="cs"/>
          <w:sz w:val="26"/>
          <w:szCs w:val="30"/>
          <w:rtl/>
        </w:rPr>
        <w:t>, וזאת בהמשך להסכם מיום 11.5.93, בו מכר המנוח אלברטל אלימלך את זכויותיו ביחידה זו לאחים זקן, תוך שהביע הסכמתו לכך שסכומים שהוחזרו ישולמו לזקן.</w:t>
      </w:r>
      <w:r w:rsidR="00482454">
        <w:rPr>
          <w:rFonts w:hint="cs"/>
          <w:sz w:val="26"/>
          <w:szCs w:val="30"/>
          <w:rtl/>
        </w:rPr>
        <w:t xml:space="preserve"> </w:t>
      </w:r>
      <w:r w:rsidR="00784100">
        <w:rPr>
          <w:rFonts w:hint="cs"/>
          <w:sz w:val="26"/>
          <w:szCs w:val="30"/>
          <w:rtl/>
        </w:rPr>
        <w:t>בקשת זקן בענין זה מקובלת על הנאמנים ומשעיינתי במסמכים היא מקובלת גם עליי והנאמנים ינהגו בהתאם.</w:t>
      </w:r>
    </w:p>
    <w:p w:rsidR="00707A0D" w:rsidRDefault="00784100" w:rsidP="00784100">
      <w:pPr>
        <w:pStyle w:val="Arial"/>
        <w:ind w:left="720" w:hanging="720"/>
        <w:rPr>
          <w:sz w:val="26"/>
          <w:szCs w:val="30"/>
          <w:rtl/>
        </w:rPr>
      </w:pPr>
      <w:r>
        <w:rPr>
          <w:rFonts w:hint="cs"/>
          <w:sz w:val="26"/>
          <w:szCs w:val="30"/>
          <w:rtl/>
        </w:rPr>
        <w:t>ב.</w:t>
      </w:r>
      <w:r>
        <w:rPr>
          <w:rFonts w:hint="cs"/>
          <w:sz w:val="26"/>
          <w:szCs w:val="30"/>
          <w:rtl/>
        </w:rPr>
        <w:tab/>
      </w:r>
      <w:r w:rsidR="00707A0D">
        <w:rPr>
          <w:rFonts w:hint="cs"/>
          <w:sz w:val="26"/>
          <w:szCs w:val="30"/>
          <w:rtl/>
        </w:rPr>
        <w:t xml:space="preserve">כספים המתייחסים ליחידה 22 </w:t>
      </w:r>
      <w:r w:rsidR="00707A0D">
        <w:rPr>
          <w:sz w:val="26"/>
          <w:szCs w:val="30"/>
          <w:rtl/>
        </w:rPr>
        <w:t>–</w:t>
      </w:r>
      <w:r w:rsidR="00707A0D">
        <w:rPr>
          <w:rFonts w:hint="cs"/>
          <w:sz w:val="26"/>
          <w:szCs w:val="30"/>
          <w:rtl/>
        </w:rPr>
        <w:t xml:space="preserve"> יש להעביר ליורשי המנוח משה זקן את מלוא הסכום, משום שיחידה זו רשומה על שמו כקונה מקורי.</w:t>
      </w:r>
      <w:r w:rsidR="00482454">
        <w:rPr>
          <w:rFonts w:hint="cs"/>
          <w:sz w:val="26"/>
          <w:szCs w:val="30"/>
          <w:rtl/>
        </w:rPr>
        <w:t xml:space="preserve"> </w:t>
      </w:r>
      <w:r>
        <w:rPr>
          <w:rFonts w:hint="cs"/>
          <w:sz w:val="26"/>
          <w:szCs w:val="30"/>
          <w:rtl/>
        </w:rPr>
        <w:t>גם בקשה זו מקובלת על הנאמנים והם ינהגו בהתאם.</w:t>
      </w:r>
    </w:p>
    <w:p w:rsidR="007101A3" w:rsidRDefault="007101A3" w:rsidP="00044CF1">
      <w:pPr>
        <w:pStyle w:val="Arial"/>
        <w:ind w:left="720" w:hanging="720"/>
        <w:rPr>
          <w:sz w:val="26"/>
          <w:szCs w:val="30"/>
          <w:highlight w:val="yellow"/>
          <w:rtl/>
        </w:rPr>
      </w:pPr>
      <w:r>
        <w:rPr>
          <w:rFonts w:hint="cs"/>
          <w:sz w:val="26"/>
          <w:szCs w:val="30"/>
          <w:rtl/>
        </w:rPr>
        <w:t>ג.</w:t>
      </w:r>
      <w:r>
        <w:rPr>
          <w:rFonts w:hint="cs"/>
          <w:sz w:val="26"/>
          <w:szCs w:val="30"/>
          <w:rtl/>
        </w:rPr>
        <w:tab/>
      </w:r>
      <w:r w:rsidR="00784100">
        <w:rPr>
          <w:rFonts w:hint="cs"/>
          <w:sz w:val="26"/>
          <w:szCs w:val="30"/>
          <w:rtl/>
        </w:rPr>
        <w:t>כספים המתייחסים ליחידות מס' 47 ו-48, המופיעות בטבלת הנאמנים כרשומות על שם דוד יצחקי, יש להעביר ליורשי המנוח משה זקן, ולאחיו יבדל"ח מרדכי זקן (60: 40), זאת אחר שיצחקי מכר את זכויות לאחי</w:t>
      </w:r>
      <w:r w:rsidR="00044CF1">
        <w:rPr>
          <w:rFonts w:hint="cs"/>
          <w:sz w:val="26"/>
          <w:szCs w:val="30"/>
          <w:rtl/>
        </w:rPr>
        <w:t>ם</w:t>
      </w:r>
      <w:r w:rsidR="00784100">
        <w:rPr>
          <w:rFonts w:hint="cs"/>
          <w:sz w:val="26"/>
          <w:szCs w:val="30"/>
          <w:rtl/>
        </w:rPr>
        <w:t xml:space="preserve"> זקן והסכים להעברת חלקו בכספים לידיהם (לטענה זו מצטרף ב"כ מרדכי זקן). </w:t>
      </w:r>
    </w:p>
    <w:p w:rsidR="00784100" w:rsidRDefault="00784100" w:rsidP="009F6B40">
      <w:pPr>
        <w:pStyle w:val="Arial"/>
        <w:ind w:left="720"/>
        <w:rPr>
          <w:sz w:val="26"/>
          <w:szCs w:val="30"/>
          <w:rtl/>
        </w:rPr>
      </w:pPr>
      <w:r w:rsidRPr="007D6223">
        <w:rPr>
          <w:rFonts w:hint="cs"/>
          <w:sz w:val="26"/>
          <w:szCs w:val="30"/>
          <w:rtl/>
        </w:rPr>
        <w:t>ב</w:t>
      </w:r>
      <w:r w:rsidR="009F6B40">
        <w:rPr>
          <w:rFonts w:hint="cs"/>
          <w:sz w:val="26"/>
          <w:szCs w:val="30"/>
          <w:rtl/>
        </w:rPr>
        <w:t xml:space="preserve">הקשר זה עלה עניין הטעון בירור: </w:t>
      </w:r>
      <w:r w:rsidRPr="007D6223">
        <w:rPr>
          <w:rFonts w:hint="cs"/>
          <w:sz w:val="26"/>
          <w:szCs w:val="30"/>
          <w:rtl/>
        </w:rPr>
        <w:t>יחידה 48 רשומה היתה ב"טבלת עמידר" כיחידה פנויה, וכך גם תוארה בפסק הדין בת"א 449/93 ובהסכם הפשרה שהושג במסגרת הערעור עליו</w:t>
      </w:r>
      <w:r w:rsidR="00044CF1">
        <w:rPr>
          <w:rFonts w:hint="cs"/>
          <w:sz w:val="26"/>
          <w:szCs w:val="30"/>
          <w:rtl/>
        </w:rPr>
        <w:t>.</w:t>
      </w:r>
      <w:r w:rsidR="007101A3" w:rsidRPr="007D6223">
        <w:rPr>
          <w:rFonts w:hint="cs"/>
          <w:sz w:val="26"/>
          <w:szCs w:val="30"/>
          <w:rtl/>
        </w:rPr>
        <w:t xml:space="preserve"> זקן התבקש</w:t>
      </w:r>
      <w:r w:rsidR="00044CF1">
        <w:rPr>
          <w:rFonts w:hint="cs"/>
          <w:sz w:val="26"/>
          <w:szCs w:val="30"/>
          <w:rtl/>
        </w:rPr>
        <w:t xml:space="preserve"> איפוא</w:t>
      </w:r>
      <w:r w:rsidR="007101A3" w:rsidRPr="007D6223">
        <w:rPr>
          <w:rFonts w:hint="cs"/>
          <w:sz w:val="26"/>
          <w:szCs w:val="30"/>
          <w:rtl/>
        </w:rPr>
        <w:t xml:space="preserve"> לצרף מסמכים שיסבירו </w:t>
      </w:r>
      <w:r w:rsidR="00174D76">
        <w:rPr>
          <w:rFonts w:hint="cs"/>
          <w:sz w:val="26"/>
          <w:szCs w:val="30"/>
          <w:rtl/>
        </w:rPr>
        <w:t>כיצד נרכש</w:t>
      </w:r>
      <w:r w:rsidRPr="007D6223">
        <w:rPr>
          <w:rFonts w:hint="cs"/>
          <w:sz w:val="26"/>
          <w:szCs w:val="30"/>
          <w:rtl/>
        </w:rPr>
        <w:t>ו הזכויות ביחידה זו בידי יצחקי (שמכר כ</w:t>
      </w:r>
      <w:r w:rsidR="00174D76">
        <w:rPr>
          <w:rFonts w:hint="cs"/>
          <w:sz w:val="26"/>
          <w:szCs w:val="30"/>
          <w:rtl/>
        </w:rPr>
        <w:t>מוסכם</w:t>
      </w:r>
      <w:r w:rsidRPr="007D6223">
        <w:rPr>
          <w:rFonts w:hint="cs"/>
          <w:sz w:val="26"/>
          <w:szCs w:val="30"/>
          <w:rtl/>
        </w:rPr>
        <w:t xml:space="preserve"> לזקן).</w:t>
      </w:r>
      <w:r w:rsidR="007101A3" w:rsidRPr="007D6223">
        <w:rPr>
          <w:rFonts w:hint="cs"/>
          <w:sz w:val="26"/>
          <w:szCs w:val="30"/>
          <w:rtl/>
        </w:rPr>
        <w:t xml:space="preserve"> </w:t>
      </w:r>
      <w:r w:rsidR="009F6B40">
        <w:rPr>
          <w:rFonts w:hint="cs"/>
          <w:sz w:val="26"/>
          <w:szCs w:val="30"/>
          <w:rtl/>
        </w:rPr>
        <w:t xml:space="preserve">ואמנם, </w:t>
      </w:r>
      <w:r w:rsidR="007101A3" w:rsidRPr="007D6223">
        <w:rPr>
          <w:rFonts w:hint="cs"/>
          <w:sz w:val="26"/>
          <w:szCs w:val="30"/>
          <w:rtl/>
        </w:rPr>
        <w:t xml:space="preserve"> יורשי </w:t>
      </w:r>
      <w:r w:rsidR="00206D79" w:rsidRPr="007D6223">
        <w:rPr>
          <w:rFonts w:hint="cs"/>
          <w:sz w:val="26"/>
          <w:szCs w:val="30"/>
          <w:rtl/>
        </w:rPr>
        <w:t>משה זקן אסמכתאות משכנעות לכך שאכן י</w:t>
      </w:r>
      <w:r w:rsidR="00044CF1">
        <w:rPr>
          <w:rFonts w:hint="cs"/>
          <w:sz w:val="26"/>
          <w:szCs w:val="30"/>
          <w:rtl/>
        </w:rPr>
        <w:t xml:space="preserve">צחקי רכש בזמנו יחידה זו ובכללם </w:t>
      </w:r>
      <w:r w:rsidR="00206D79" w:rsidRPr="007D6223">
        <w:rPr>
          <w:rFonts w:hint="cs"/>
          <w:sz w:val="26"/>
          <w:szCs w:val="30"/>
          <w:rtl/>
        </w:rPr>
        <w:t>פרוטוקול הגרלה מיום 25.8.94, כרטסת החשבונות שצורפה</w:t>
      </w:r>
      <w:r w:rsidR="00044CF1">
        <w:rPr>
          <w:rFonts w:hint="cs"/>
          <w:sz w:val="26"/>
          <w:szCs w:val="30"/>
          <w:rtl/>
        </w:rPr>
        <w:t xml:space="preserve"> ו</w:t>
      </w:r>
      <w:r w:rsidR="00206D79" w:rsidRPr="007D6223">
        <w:rPr>
          <w:rFonts w:hint="cs"/>
          <w:sz w:val="26"/>
          <w:szCs w:val="30"/>
          <w:rtl/>
        </w:rPr>
        <w:t>דיווח לרשויות המס</w:t>
      </w:r>
      <w:r w:rsidR="00B62C87" w:rsidRPr="007D6223">
        <w:rPr>
          <w:rFonts w:hint="cs"/>
          <w:sz w:val="26"/>
          <w:szCs w:val="30"/>
          <w:rtl/>
        </w:rPr>
        <w:t>. נוכח אסמכתאות אלו אכן יש להעביר את הכספים הנוגעים ליחיד</w:t>
      </w:r>
      <w:r w:rsidR="00044CF1">
        <w:rPr>
          <w:rFonts w:hint="cs"/>
          <w:sz w:val="26"/>
          <w:szCs w:val="30"/>
          <w:rtl/>
        </w:rPr>
        <w:t xml:space="preserve">ה 48 </w:t>
      </w:r>
      <w:r w:rsidR="00B62C87" w:rsidRPr="007D6223">
        <w:rPr>
          <w:rFonts w:hint="cs"/>
          <w:sz w:val="26"/>
          <w:szCs w:val="30"/>
          <w:rtl/>
        </w:rPr>
        <w:t>ליורשי המנוח זקן ולמרדכי זקן, על פי המוסכם בינהם.</w:t>
      </w:r>
    </w:p>
    <w:p w:rsidR="009816F6" w:rsidRDefault="009816F6">
      <w:pPr>
        <w:bidi w:val="0"/>
        <w:rPr>
          <w:rFonts w:ascii="Arial" w:hAnsi="Arial" w:cs="FrankRuehl"/>
          <w:spacing w:val="10"/>
          <w:szCs w:val="28"/>
          <w:rtl/>
        </w:rPr>
      </w:pPr>
      <w:r>
        <w:rPr>
          <w:rtl/>
        </w:rPr>
        <w:br w:type="page"/>
      </w:r>
    </w:p>
    <w:p w:rsidR="005C7510" w:rsidRPr="002E5177" w:rsidRDefault="002E5177" w:rsidP="005C7510">
      <w:pPr>
        <w:pStyle w:val="Arial"/>
        <w:ind w:left="720" w:hanging="720"/>
        <w:rPr>
          <w:rFonts w:cs="Miriam"/>
          <w:szCs w:val="24"/>
          <w:rtl/>
        </w:rPr>
      </w:pPr>
      <w:r w:rsidRPr="002E5177">
        <w:rPr>
          <w:rFonts w:cs="Miriam" w:hint="cs"/>
          <w:szCs w:val="24"/>
          <w:rtl/>
        </w:rPr>
        <w:lastRenderedPageBreak/>
        <w:t>טענות יורשי המנוח משה זקן באשר לתמורה שהתקבלה בגין מכירת יחידה 28</w:t>
      </w:r>
    </w:p>
    <w:p w:rsidR="009816F6" w:rsidRDefault="009816F6" w:rsidP="003E0E07">
      <w:pPr>
        <w:pStyle w:val="Arial"/>
        <w:rPr>
          <w:sz w:val="26"/>
          <w:szCs w:val="30"/>
          <w:rtl/>
        </w:rPr>
      </w:pPr>
    </w:p>
    <w:p w:rsidR="00E648A7" w:rsidRDefault="00B62C87" w:rsidP="003E0E07">
      <w:pPr>
        <w:pStyle w:val="Arial"/>
        <w:rPr>
          <w:sz w:val="26"/>
          <w:szCs w:val="30"/>
          <w:rtl/>
        </w:rPr>
      </w:pPr>
      <w:r>
        <w:rPr>
          <w:rFonts w:hint="cs"/>
          <w:sz w:val="26"/>
          <w:szCs w:val="30"/>
          <w:rtl/>
        </w:rPr>
        <w:t xml:space="preserve">טענה נוספת של </w:t>
      </w:r>
      <w:r w:rsidR="005C7510">
        <w:rPr>
          <w:rFonts w:hint="cs"/>
          <w:sz w:val="26"/>
          <w:szCs w:val="30"/>
          <w:rtl/>
        </w:rPr>
        <w:t xml:space="preserve">יורשי משה זקן </w:t>
      </w:r>
      <w:r>
        <w:rPr>
          <w:rFonts w:hint="cs"/>
          <w:sz w:val="26"/>
          <w:szCs w:val="30"/>
          <w:rtl/>
        </w:rPr>
        <w:t>המנוח נוגעת ל</w:t>
      </w:r>
      <w:r w:rsidR="002E5177">
        <w:rPr>
          <w:rFonts w:hint="cs"/>
          <w:sz w:val="26"/>
          <w:szCs w:val="30"/>
          <w:rtl/>
        </w:rPr>
        <w:t xml:space="preserve">תמורה שהתקבלה בגין מכירת </w:t>
      </w:r>
      <w:r>
        <w:rPr>
          <w:rFonts w:hint="cs"/>
          <w:sz w:val="26"/>
          <w:szCs w:val="30"/>
          <w:rtl/>
        </w:rPr>
        <w:t>יחידה 28</w:t>
      </w:r>
      <w:r w:rsidR="002E5177">
        <w:rPr>
          <w:rFonts w:hint="cs"/>
          <w:sz w:val="26"/>
          <w:szCs w:val="30"/>
          <w:rtl/>
        </w:rPr>
        <w:t xml:space="preserve"> בידי הנאמנים</w:t>
      </w:r>
      <w:r w:rsidR="00E648A7">
        <w:rPr>
          <w:rFonts w:hint="cs"/>
          <w:sz w:val="26"/>
          <w:szCs w:val="30"/>
          <w:rtl/>
        </w:rPr>
        <w:t>. לטענתם, בגין יחידת זו ש</w:t>
      </w:r>
      <w:r w:rsidR="003E0E07">
        <w:rPr>
          <w:rFonts w:hint="cs"/>
          <w:sz w:val="26"/>
          <w:szCs w:val="30"/>
          <w:rtl/>
        </w:rPr>
        <w:t xml:space="preserve">נמכרה </w:t>
      </w:r>
      <w:r w:rsidR="00E648A7">
        <w:rPr>
          <w:rFonts w:hint="cs"/>
          <w:sz w:val="26"/>
          <w:szCs w:val="30"/>
          <w:rtl/>
        </w:rPr>
        <w:t>בשנ</w:t>
      </w:r>
      <w:r w:rsidR="003E0E07">
        <w:rPr>
          <w:rFonts w:hint="cs"/>
          <w:sz w:val="26"/>
          <w:szCs w:val="30"/>
          <w:rtl/>
        </w:rPr>
        <w:t>ת</w:t>
      </w:r>
      <w:r w:rsidR="00E648A7">
        <w:rPr>
          <w:rFonts w:hint="cs"/>
          <w:sz w:val="26"/>
          <w:szCs w:val="30"/>
          <w:rtl/>
        </w:rPr>
        <w:t xml:space="preserve"> 2010 בידי הנאמנים למר תמיר, זכאים הם מן הנאמנים, בנוסף לס</w:t>
      </w:r>
      <w:r w:rsidR="000C7397">
        <w:rPr>
          <w:rFonts w:hint="cs"/>
          <w:sz w:val="26"/>
          <w:szCs w:val="30"/>
          <w:rtl/>
        </w:rPr>
        <w:t xml:space="preserve">ך 275,000 ₪ </w:t>
      </w:r>
      <w:r w:rsidR="00E648A7">
        <w:rPr>
          <w:rFonts w:hint="cs"/>
          <w:sz w:val="26"/>
          <w:szCs w:val="30"/>
          <w:rtl/>
        </w:rPr>
        <w:t xml:space="preserve">ששולם להם בזמנו, </w:t>
      </w:r>
      <w:r w:rsidR="000C7397">
        <w:rPr>
          <w:rFonts w:hint="cs"/>
          <w:sz w:val="26"/>
          <w:szCs w:val="30"/>
          <w:rtl/>
        </w:rPr>
        <w:t>ל</w:t>
      </w:r>
      <w:r w:rsidR="00E648A7">
        <w:rPr>
          <w:rFonts w:hint="cs"/>
          <w:sz w:val="26"/>
          <w:szCs w:val="30"/>
          <w:rtl/>
        </w:rPr>
        <w:t xml:space="preserve">סך </w:t>
      </w:r>
      <w:r w:rsidR="000C7397">
        <w:rPr>
          <w:rFonts w:hint="cs"/>
          <w:sz w:val="26"/>
          <w:szCs w:val="30"/>
          <w:rtl/>
        </w:rPr>
        <w:t xml:space="preserve">נוסף בשיעור של </w:t>
      </w:r>
      <w:r w:rsidR="00E648A7">
        <w:rPr>
          <w:rFonts w:hint="cs"/>
          <w:sz w:val="26"/>
          <w:szCs w:val="30"/>
          <w:rtl/>
        </w:rPr>
        <w:t>63,789.45 ₪</w:t>
      </w:r>
      <w:r w:rsidR="00044CF1">
        <w:rPr>
          <w:rFonts w:hint="cs"/>
          <w:sz w:val="26"/>
          <w:szCs w:val="30"/>
          <w:rtl/>
        </w:rPr>
        <w:t xml:space="preserve">. טענה זו מבקשת לבסס עצמה על </w:t>
      </w:r>
      <w:r w:rsidR="00E648A7">
        <w:rPr>
          <w:rFonts w:hint="cs"/>
          <w:sz w:val="26"/>
          <w:szCs w:val="30"/>
          <w:rtl/>
        </w:rPr>
        <w:t xml:space="preserve">הסדר </w:t>
      </w:r>
      <w:r w:rsidR="00044CF1">
        <w:rPr>
          <w:rFonts w:hint="cs"/>
          <w:sz w:val="26"/>
          <w:szCs w:val="30"/>
          <w:rtl/>
        </w:rPr>
        <w:t>ה</w:t>
      </w:r>
      <w:r w:rsidR="00E648A7">
        <w:rPr>
          <w:rFonts w:hint="cs"/>
          <w:sz w:val="26"/>
          <w:szCs w:val="30"/>
          <w:rtl/>
        </w:rPr>
        <w:t>פשרה שקיבל תוקף של פסק דין במסגרת ערעור על פסק דינו של כב' השופט דוד חשין</w:t>
      </w:r>
      <w:r w:rsidR="003D6324">
        <w:rPr>
          <w:rFonts w:hint="cs"/>
          <w:sz w:val="26"/>
          <w:szCs w:val="30"/>
          <w:rtl/>
        </w:rPr>
        <w:t xml:space="preserve"> האמור לעיל</w:t>
      </w:r>
      <w:r w:rsidR="00E648A7">
        <w:rPr>
          <w:rFonts w:hint="cs"/>
          <w:sz w:val="26"/>
          <w:szCs w:val="30"/>
          <w:rtl/>
        </w:rPr>
        <w:t>.</w:t>
      </w:r>
    </w:p>
    <w:p w:rsidR="000C7397" w:rsidRDefault="000C7397" w:rsidP="000C7397">
      <w:pPr>
        <w:pStyle w:val="Arial"/>
        <w:rPr>
          <w:sz w:val="26"/>
          <w:szCs w:val="30"/>
          <w:rtl/>
        </w:rPr>
      </w:pPr>
    </w:p>
    <w:p w:rsidR="000C7397" w:rsidRDefault="00E648A7" w:rsidP="000C7397">
      <w:pPr>
        <w:pStyle w:val="Arial"/>
        <w:rPr>
          <w:sz w:val="26"/>
          <w:szCs w:val="30"/>
          <w:rtl/>
        </w:rPr>
      </w:pPr>
      <w:r>
        <w:rPr>
          <w:rFonts w:hint="cs"/>
          <w:sz w:val="26"/>
          <w:szCs w:val="30"/>
          <w:rtl/>
        </w:rPr>
        <w:t>טענה זו</w:t>
      </w:r>
      <w:r w:rsidR="005C7510">
        <w:rPr>
          <w:rFonts w:hint="cs"/>
          <w:sz w:val="26"/>
          <w:szCs w:val="30"/>
          <w:rtl/>
        </w:rPr>
        <w:t xml:space="preserve"> </w:t>
      </w:r>
      <w:r w:rsidR="00B62C87">
        <w:rPr>
          <w:rFonts w:hint="cs"/>
          <w:sz w:val="26"/>
          <w:szCs w:val="30"/>
          <w:rtl/>
        </w:rPr>
        <w:t>איננה מקובלת על הנאמנים</w:t>
      </w:r>
      <w:r>
        <w:rPr>
          <w:rFonts w:hint="cs"/>
          <w:sz w:val="26"/>
          <w:szCs w:val="30"/>
          <w:rtl/>
        </w:rPr>
        <w:t>.</w:t>
      </w:r>
      <w:r w:rsidR="00B62C87">
        <w:rPr>
          <w:rFonts w:hint="cs"/>
          <w:sz w:val="26"/>
          <w:szCs w:val="30"/>
          <w:rtl/>
        </w:rPr>
        <w:t xml:space="preserve"> </w:t>
      </w:r>
    </w:p>
    <w:p w:rsidR="000C7397" w:rsidRDefault="000C7397" w:rsidP="000C7397">
      <w:pPr>
        <w:pStyle w:val="Arial"/>
        <w:rPr>
          <w:sz w:val="26"/>
          <w:szCs w:val="30"/>
          <w:rtl/>
        </w:rPr>
      </w:pPr>
    </w:p>
    <w:p w:rsidR="00B62C87" w:rsidRDefault="00B62C87" w:rsidP="002E5177">
      <w:pPr>
        <w:pStyle w:val="Arial"/>
        <w:rPr>
          <w:sz w:val="26"/>
          <w:szCs w:val="30"/>
          <w:rtl/>
        </w:rPr>
      </w:pPr>
      <w:r>
        <w:rPr>
          <w:rFonts w:hint="cs"/>
          <w:sz w:val="26"/>
          <w:szCs w:val="30"/>
          <w:rtl/>
        </w:rPr>
        <w:t xml:space="preserve">אחר שעיינתי במסמכים הנוגעים אליה ושמעתי טיעונים סבורה אני כי בדין אין היא מקובלת עליהם, ואין מקום לשלם ליורשי משה זקן </w:t>
      </w:r>
      <w:r w:rsidR="002E5177">
        <w:rPr>
          <w:rFonts w:hint="cs"/>
          <w:sz w:val="26"/>
          <w:szCs w:val="30"/>
          <w:rtl/>
        </w:rPr>
        <w:t>תשלום נוסף בגין דירה זו</w:t>
      </w:r>
      <w:r w:rsidR="00E648A7">
        <w:rPr>
          <w:rFonts w:hint="cs"/>
          <w:sz w:val="26"/>
          <w:szCs w:val="30"/>
          <w:rtl/>
        </w:rPr>
        <w:t>.</w:t>
      </w:r>
      <w:r w:rsidR="00175377">
        <w:rPr>
          <w:rFonts w:hint="cs"/>
          <w:sz w:val="26"/>
          <w:szCs w:val="30"/>
          <w:rtl/>
        </w:rPr>
        <w:t xml:space="preserve"> להלן אציג את הרקע לטענת יורשי המנוח זקן ואת הטעם למסקנתי כי אין לקבל טענה זו.</w:t>
      </w:r>
    </w:p>
    <w:p w:rsidR="005C7510" w:rsidRDefault="005C7510" w:rsidP="005C7510">
      <w:pPr>
        <w:pStyle w:val="Arial"/>
        <w:ind w:left="720" w:hanging="720"/>
        <w:rPr>
          <w:sz w:val="26"/>
          <w:szCs w:val="30"/>
          <w:rtl/>
        </w:rPr>
      </w:pPr>
    </w:p>
    <w:p w:rsidR="00144709" w:rsidRDefault="00E648A7" w:rsidP="001B201B">
      <w:pPr>
        <w:pStyle w:val="Arial"/>
        <w:rPr>
          <w:sz w:val="26"/>
          <w:szCs w:val="30"/>
          <w:rtl/>
        </w:rPr>
      </w:pPr>
      <w:r>
        <w:rPr>
          <w:rFonts w:hint="cs"/>
          <w:sz w:val="26"/>
          <w:szCs w:val="30"/>
          <w:rtl/>
        </w:rPr>
        <w:t xml:space="preserve">יחידה 28 היא </w:t>
      </w:r>
      <w:r w:rsidR="00DD3D38">
        <w:rPr>
          <w:rFonts w:hint="cs"/>
          <w:sz w:val="26"/>
          <w:szCs w:val="30"/>
          <w:rtl/>
        </w:rPr>
        <w:t>אחת מ"דירות המריבה"</w:t>
      </w:r>
      <w:r w:rsidR="00B53136">
        <w:rPr>
          <w:rFonts w:hint="cs"/>
          <w:sz w:val="26"/>
          <w:szCs w:val="30"/>
          <w:rtl/>
        </w:rPr>
        <w:t>, אשר זכויות עמידר בה נרשמו בתחילה על שם זקן המנוח ועדיקא במשותף(ראו עמ' 4 לפסק הדין)</w:t>
      </w:r>
      <w:r w:rsidR="00DD3D38">
        <w:rPr>
          <w:rFonts w:hint="cs"/>
          <w:sz w:val="26"/>
          <w:szCs w:val="30"/>
          <w:rtl/>
        </w:rPr>
        <w:t>.</w:t>
      </w:r>
      <w:r w:rsidR="00B53136">
        <w:rPr>
          <w:rFonts w:hint="cs"/>
          <w:sz w:val="26"/>
          <w:szCs w:val="30"/>
          <w:rtl/>
        </w:rPr>
        <w:t xml:space="preserve"> </w:t>
      </w:r>
      <w:r w:rsidR="00822244">
        <w:rPr>
          <w:rFonts w:hint="cs"/>
          <w:sz w:val="26"/>
          <w:szCs w:val="30"/>
          <w:rtl/>
        </w:rPr>
        <w:t xml:space="preserve">זקן ועדיקא טענו </w:t>
      </w:r>
      <w:r>
        <w:rPr>
          <w:rFonts w:hint="cs"/>
          <w:sz w:val="26"/>
          <w:szCs w:val="30"/>
          <w:rtl/>
        </w:rPr>
        <w:t xml:space="preserve">בזמנו </w:t>
      </w:r>
      <w:r w:rsidR="00822244">
        <w:rPr>
          <w:rFonts w:hint="cs"/>
          <w:sz w:val="26"/>
          <w:szCs w:val="30"/>
          <w:rtl/>
        </w:rPr>
        <w:t>שההצדקה ל</w:t>
      </w:r>
      <w:r>
        <w:rPr>
          <w:rFonts w:hint="cs"/>
          <w:sz w:val="26"/>
          <w:szCs w:val="30"/>
          <w:rtl/>
        </w:rPr>
        <w:t>רישו</w:t>
      </w:r>
      <w:r w:rsidR="000C7397">
        <w:rPr>
          <w:rFonts w:hint="cs"/>
          <w:sz w:val="26"/>
          <w:szCs w:val="30"/>
          <w:rtl/>
        </w:rPr>
        <w:t xml:space="preserve">ם יחידות אלו </w:t>
      </w:r>
      <w:r>
        <w:rPr>
          <w:rFonts w:hint="cs"/>
          <w:sz w:val="26"/>
          <w:szCs w:val="30"/>
          <w:rtl/>
        </w:rPr>
        <w:t xml:space="preserve">על שמם </w:t>
      </w:r>
      <w:r w:rsidR="00822244">
        <w:rPr>
          <w:rFonts w:hint="cs"/>
          <w:sz w:val="26"/>
          <w:szCs w:val="30"/>
          <w:rtl/>
        </w:rPr>
        <w:t>היא בכך שהם אלו שנשאו בת</w:t>
      </w:r>
      <w:r w:rsidR="00420AE3">
        <w:rPr>
          <w:rFonts w:hint="cs"/>
          <w:sz w:val="26"/>
          <w:szCs w:val="30"/>
          <w:rtl/>
        </w:rPr>
        <w:t xml:space="preserve">שלום שהיה נחוץ לרכישת </w:t>
      </w:r>
      <w:r>
        <w:rPr>
          <w:rFonts w:hint="cs"/>
          <w:sz w:val="26"/>
          <w:szCs w:val="30"/>
          <w:rtl/>
        </w:rPr>
        <w:t>זכויות עמידר יחידות אלו</w:t>
      </w:r>
      <w:r w:rsidR="00420AE3">
        <w:rPr>
          <w:rFonts w:hint="cs"/>
          <w:sz w:val="26"/>
          <w:szCs w:val="30"/>
          <w:rtl/>
        </w:rPr>
        <w:t xml:space="preserve">, </w:t>
      </w:r>
      <w:r>
        <w:rPr>
          <w:rFonts w:hint="cs"/>
          <w:sz w:val="26"/>
          <w:szCs w:val="30"/>
          <w:rtl/>
        </w:rPr>
        <w:t xml:space="preserve">יחידות </w:t>
      </w:r>
      <w:r w:rsidR="00420AE3">
        <w:rPr>
          <w:rFonts w:hint="cs"/>
          <w:sz w:val="26"/>
          <w:szCs w:val="30"/>
          <w:rtl/>
        </w:rPr>
        <w:t>ש</w:t>
      </w:r>
      <w:r w:rsidR="0014239C">
        <w:rPr>
          <w:rFonts w:hint="cs"/>
          <w:sz w:val="26"/>
          <w:szCs w:val="30"/>
          <w:rtl/>
        </w:rPr>
        <w:t>ד</w:t>
      </w:r>
      <w:r>
        <w:rPr>
          <w:rFonts w:hint="cs"/>
          <w:sz w:val="26"/>
          <w:szCs w:val="30"/>
          <w:rtl/>
        </w:rPr>
        <w:t>י</w:t>
      </w:r>
      <w:r w:rsidR="0014239C">
        <w:rPr>
          <w:rFonts w:hint="cs"/>
          <w:sz w:val="26"/>
          <w:szCs w:val="30"/>
          <w:rtl/>
        </w:rPr>
        <w:t>ירי</w:t>
      </w:r>
      <w:r w:rsidR="00E66C1D">
        <w:rPr>
          <w:rFonts w:hint="cs"/>
          <w:sz w:val="26"/>
          <w:szCs w:val="30"/>
          <w:rtl/>
        </w:rPr>
        <w:t>הן</w:t>
      </w:r>
      <w:r w:rsidR="0014239C">
        <w:rPr>
          <w:rFonts w:hint="cs"/>
          <w:sz w:val="26"/>
          <w:szCs w:val="30"/>
          <w:rtl/>
        </w:rPr>
        <w:t xml:space="preserve"> לא השתתפו ברכיש</w:t>
      </w:r>
      <w:r w:rsidR="00E66C1D">
        <w:rPr>
          <w:rFonts w:hint="cs"/>
          <w:sz w:val="26"/>
          <w:szCs w:val="30"/>
          <w:rtl/>
        </w:rPr>
        <w:t>ת</w:t>
      </w:r>
      <w:r w:rsidR="00175377">
        <w:rPr>
          <w:rFonts w:hint="cs"/>
          <w:sz w:val="26"/>
          <w:szCs w:val="30"/>
          <w:rtl/>
        </w:rPr>
        <w:t xml:space="preserve"> זכויות </w:t>
      </w:r>
      <w:r w:rsidR="0014239C">
        <w:rPr>
          <w:rFonts w:hint="cs"/>
          <w:sz w:val="26"/>
          <w:szCs w:val="30"/>
          <w:rtl/>
        </w:rPr>
        <w:t>עמידר</w:t>
      </w:r>
      <w:r w:rsidR="00175377">
        <w:rPr>
          <w:rFonts w:hint="cs"/>
          <w:sz w:val="26"/>
          <w:szCs w:val="30"/>
          <w:rtl/>
        </w:rPr>
        <w:t xml:space="preserve"> בקשר להן</w:t>
      </w:r>
      <w:r w:rsidR="0014239C">
        <w:rPr>
          <w:rFonts w:hint="cs"/>
          <w:sz w:val="26"/>
          <w:szCs w:val="30"/>
          <w:rtl/>
        </w:rPr>
        <w:t xml:space="preserve">. </w:t>
      </w:r>
      <w:r w:rsidR="00E66C1D">
        <w:rPr>
          <w:rFonts w:hint="cs"/>
          <w:sz w:val="26"/>
          <w:szCs w:val="30"/>
          <w:rtl/>
        </w:rPr>
        <w:t xml:space="preserve">אלא שכאמור בפסק הדין, </w:t>
      </w:r>
      <w:r w:rsidR="00420AE3">
        <w:rPr>
          <w:rFonts w:hint="cs"/>
          <w:sz w:val="26"/>
          <w:szCs w:val="30"/>
          <w:rtl/>
        </w:rPr>
        <w:t>כב' השופט חשין</w:t>
      </w:r>
      <w:r w:rsidR="0014239C">
        <w:rPr>
          <w:rFonts w:hint="cs"/>
          <w:sz w:val="26"/>
          <w:szCs w:val="30"/>
          <w:rtl/>
        </w:rPr>
        <w:t xml:space="preserve"> לא קיבל את עמדת</w:t>
      </w:r>
      <w:r w:rsidR="00E66C1D">
        <w:rPr>
          <w:rFonts w:hint="cs"/>
          <w:sz w:val="26"/>
          <w:szCs w:val="30"/>
          <w:rtl/>
        </w:rPr>
        <w:t xml:space="preserve"> </w:t>
      </w:r>
      <w:r w:rsidR="0014239C">
        <w:rPr>
          <w:rFonts w:hint="cs"/>
          <w:sz w:val="26"/>
          <w:szCs w:val="30"/>
          <w:rtl/>
        </w:rPr>
        <w:t>זקן ועדיקה ו</w:t>
      </w:r>
      <w:r w:rsidR="00420AE3">
        <w:rPr>
          <w:rFonts w:hint="cs"/>
          <w:sz w:val="26"/>
          <w:szCs w:val="30"/>
          <w:rtl/>
        </w:rPr>
        <w:t xml:space="preserve">ביטל </w:t>
      </w:r>
      <w:r w:rsidR="00822244">
        <w:rPr>
          <w:rFonts w:hint="cs"/>
          <w:sz w:val="26"/>
          <w:szCs w:val="30"/>
          <w:rtl/>
        </w:rPr>
        <w:t xml:space="preserve">את </w:t>
      </w:r>
      <w:r w:rsidR="0014239C">
        <w:rPr>
          <w:rFonts w:hint="cs"/>
          <w:sz w:val="26"/>
          <w:szCs w:val="30"/>
          <w:rtl/>
        </w:rPr>
        <w:t xml:space="preserve">רישום </w:t>
      </w:r>
      <w:r w:rsidR="00822244">
        <w:rPr>
          <w:rFonts w:hint="cs"/>
          <w:sz w:val="26"/>
          <w:szCs w:val="30"/>
          <w:rtl/>
        </w:rPr>
        <w:t xml:space="preserve">זכויות </w:t>
      </w:r>
      <w:r w:rsidR="002E5177">
        <w:rPr>
          <w:rFonts w:hint="cs"/>
          <w:sz w:val="26"/>
          <w:szCs w:val="30"/>
          <w:rtl/>
        </w:rPr>
        <w:t xml:space="preserve">עמידר </w:t>
      </w:r>
      <w:r w:rsidR="00420AE3">
        <w:rPr>
          <w:rFonts w:hint="cs"/>
          <w:sz w:val="26"/>
          <w:szCs w:val="30"/>
          <w:rtl/>
        </w:rPr>
        <w:t xml:space="preserve">בדירות המריבה </w:t>
      </w:r>
      <w:r w:rsidR="00822244">
        <w:rPr>
          <w:rFonts w:hint="cs"/>
          <w:sz w:val="26"/>
          <w:szCs w:val="30"/>
          <w:rtl/>
        </w:rPr>
        <w:t>על שם זקן ועדיקא</w:t>
      </w:r>
      <w:r w:rsidR="00175377">
        <w:rPr>
          <w:rFonts w:hint="cs"/>
          <w:sz w:val="26"/>
          <w:szCs w:val="30"/>
          <w:rtl/>
        </w:rPr>
        <w:t xml:space="preserve"> בקובעו </w:t>
      </w:r>
      <w:r w:rsidR="00420AE3">
        <w:rPr>
          <w:rFonts w:hint="cs"/>
          <w:sz w:val="26"/>
          <w:szCs w:val="30"/>
          <w:rtl/>
        </w:rPr>
        <w:t xml:space="preserve">כי </w:t>
      </w:r>
      <w:r w:rsidR="005603C6">
        <w:rPr>
          <w:rFonts w:hint="cs"/>
          <w:sz w:val="26"/>
          <w:szCs w:val="30"/>
          <w:rtl/>
        </w:rPr>
        <w:t>התשלום שנגבה מכל אחד מהדיירים ששילם עבור דירתו, כלל סכום העולה ב 15% על שווי הזכות הנרכשת</w:t>
      </w:r>
      <w:r w:rsidR="002E5177">
        <w:rPr>
          <w:rFonts w:hint="cs"/>
          <w:sz w:val="26"/>
          <w:szCs w:val="30"/>
          <w:rtl/>
        </w:rPr>
        <w:t>, לצורך מימון רכישת זכויות עמידר ביחידות דיור שבעליהן לא ישתתפו ברכישה</w:t>
      </w:r>
      <w:r w:rsidR="00420AE3">
        <w:rPr>
          <w:rFonts w:hint="cs"/>
          <w:sz w:val="26"/>
          <w:szCs w:val="30"/>
          <w:rtl/>
        </w:rPr>
        <w:t xml:space="preserve">. </w:t>
      </w:r>
      <w:r w:rsidR="003D6324">
        <w:rPr>
          <w:rFonts w:hint="cs"/>
          <w:sz w:val="26"/>
          <w:szCs w:val="30"/>
          <w:rtl/>
        </w:rPr>
        <w:t xml:space="preserve">כלומר, </w:t>
      </w:r>
      <w:r w:rsidR="00420AE3">
        <w:rPr>
          <w:rFonts w:hint="cs"/>
          <w:sz w:val="26"/>
          <w:szCs w:val="30"/>
          <w:rtl/>
        </w:rPr>
        <w:t>הסכום ששילם כל דייר עמד למעשה על 115% משווי הזכות שרכש</w:t>
      </w:r>
      <w:r w:rsidR="002E5177">
        <w:rPr>
          <w:rFonts w:hint="cs"/>
          <w:sz w:val="26"/>
          <w:szCs w:val="30"/>
          <w:rtl/>
        </w:rPr>
        <w:t>, כאמור, לשם</w:t>
      </w:r>
      <w:r w:rsidR="005603C6">
        <w:rPr>
          <w:rFonts w:hint="cs"/>
          <w:sz w:val="26"/>
          <w:szCs w:val="30"/>
          <w:rtl/>
        </w:rPr>
        <w:t xml:space="preserve"> מימון רכישת זכויות עמידר ביחידות דיור </w:t>
      </w:r>
      <w:r w:rsidR="005603C6" w:rsidRPr="00BA74C3">
        <w:rPr>
          <w:rFonts w:hint="cs"/>
          <w:sz w:val="26"/>
          <w:szCs w:val="30"/>
          <w:rtl/>
        </w:rPr>
        <w:t>שבעליהן לא ישתתפו ברכישה</w:t>
      </w:r>
      <w:r w:rsidR="002E5177" w:rsidRPr="00BA74C3">
        <w:rPr>
          <w:rFonts w:hint="cs"/>
          <w:sz w:val="26"/>
          <w:szCs w:val="30"/>
          <w:rtl/>
        </w:rPr>
        <w:t xml:space="preserve">. </w:t>
      </w:r>
      <w:r w:rsidR="00E66C1D" w:rsidRPr="00BA74C3">
        <w:rPr>
          <w:rFonts w:hint="cs"/>
          <w:sz w:val="26"/>
          <w:szCs w:val="30"/>
          <w:rtl/>
        </w:rPr>
        <w:t xml:space="preserve">נפסק </w:t>
      </w:r>
      <w:r w:rsidR="00175377" w:rsidRPr="00BA74C3">
        <w:rPr>
          <w:rFonts w:hint="cs"/>
          <w:sz w:val="26"/>
          <w:szCs w:val="30"/>
          <w:rtl/>
        </w:rPr>
        <w:t xml:space="preserve">איפוא </w:t>
      </w:r>
      <w:r w:rsidR="00E66C1D" w:rsidRPr="00BA74C3">
        <w:rPr>
          <w:rFonts w:hint="cs"/>
          <w:sz w:val="26"/>
          <w:szCs w:val="30"/>
          <w:rtl/>
        </w:rPr>
        <w:t>ש</w:t>
      </w:r>
      <w:r w:rsidR="00420AE3" w:rsidRPr="00BA74C3">
        <w:rPr>
          <w:rFonts w:hint="cs"/>
          <w:sz w:val="26"/>
          <w:szCs w:val="30"/>
          <w:rtl/>
        </w:rPr>
        <w:t>לא רק זקן ועדיקא מימנו את רכישת דירות המריבה, אלא כלל הדיירים</w:t>
      </w:r>
      <w:r w:rsidR="002E5177" w:rsidRPr="00BA74C3">
        <w:rPr>
          <w:rFonts w:hint="cs"/>
          <w:sz w:val="26"/>
          <w:szCs w:val="30"/>
          <w:rtl/>
        </w:rPr>
        <w:t xml:space="preserve">, </w:t>
      </w:r>
      <w:r w:rsidR="003D6324">
        <w:rPr>
          <w:rFonts w:hint="cs"/>
          <w:sz w:val="26"/>
          <w:szCs w:val="30"/>
          <w:rtl/>
        </w:rPr>
        <w:t>כך ש</w:t>
      </w:r>
      <w:r w:rsidR="002E5177" w:rsidRPr="00BA74C3">
        <w:rPr>
          <w:rFonts w:hint="cs"/>
          <w:sz w:val="26"/>
          <w:szCs w:val="30"/>
          <w:rtl/>
        </w:rPr>
        <w:t>זקן וע</w:t>
      </w:r>
      <w:r w:rsidR="00BA74C3" w:rsidRPr="00BA74C3">
        <w:rPr>
          <w:rFonts w:hint="cs"/>
          <w:sz w:val="26"/>
          <w:szCs w:val="30"/>
          <w:rtl/>
        </w:rPr>
        <w:t xml:space="preserve">דיקא לא היו זכאים לרשום את דירות </w:t>
      </w:r>
      <w:r w:rsidR="00BA74C3" w:rsidRPr="00BA74C3">
        <w:rPr>
          <w:rFonts w:hint="cs"/>
          <w:sz w:val="26"/>
          <w:szCs w:val="30"/>
          <w:rtl/>
        </w:rPr>
        <w:lastRenderedPageBreak/>
        <w:t>המריבה על שמם</w:t>
      </w:r>
      <w:r w:rsidR="00420AE3" w:rsidRPr="00BA74C3">
        <w:rPr>
          <w:rFonts w:hint="cs"/>
          <w:sz w:val="26"/>
          <w:szCs w:val="30"/>
          <w:rtl/>
        </w:rPr>
        <w:t>.</w:t>
      </w:r>
      <w:r w:rsidR="00BA74C3">
        <w:rPr>
          <w:rFonts w:hint="cs"/>
          <w:sz w:val="26"/>
          <w:szCs w:val="30"/>
          <w:rtl/>
        </w:rPr>
        <w:t xml:space="preserve"> </w:t>
      </w:r>
      <w:r w:rsidR="00420AE3">
        <w:rPr>
          <w:rFonts w:hint="cs"/>
          <w:sz w:val="26"/>
          <w:szCs w:val="30"/>
          <w:rtl/>
        </w:rPr>
        <w:t xml:space="preserve">עם זאת, </w:t>
      </w:r>
      <w:r w:rsidR="00E66C1D">
        <w:rPr>
          <w:rFonts w:hint="cs"/>
          <w:sz w:val="26"/>
          <w:szCs w:val="30"/>
          <w:rtl/>
        </w:rPr>
        <w:t xml:space="preserve">נמצא </w:t>
      </w:r>
      <w:r w:rsidR="00822244">
        <w:rPr>
          <w:rFonts w:hint="cs"/>
          <w:sz w:val="26"/>
          <w:szCs w:val="30"/>
          <w:rtl/>
        </w:rPr>
        <w:t xml:space="preserve">בפסק הדין </w:t>
      </w:r>
      <w:r w:rsidR="00E66C1D">
        <w:rPr>
          <w:rFonts w:hint="cs"/>
          <w:sz w:val="26"/>
          <w:szCs w:val="30"/>
          <w:rtl/>
        </w:rPr>
        <w:t xml:space="preserve">כי הסכום ששילמו עדיקה ומשה זקן אכן עלה במידה מסויימת על מה ששילמו הדיירים האחרים. לצורך זיהוי "גביית יתר" מזקן ומעדיקא,  </w:t>
      </w:r>
      <w:r w:rsidR="00822244">
        <w:rPr>
          <w:rFonts w:hint="cs"/>
          <w:sz w:val="26"/>
          <w:szCs w:val="30"/>
          <w:rtl/>
        </w:rPr>
        <w:t xml:space="preserve">נעשה חישוב של הסכומים ששילמו זקן ועדיקה </w:t>
      </w:r>
      <w:r w:rsidR="00F63289">
        <w:rPr>
          <w:rFonts w:hint="cs"/>
          <w:sz w:val="26"/>
          <w:szCs w:val="30"/>
          <w:rtl/>
        </w:rPr>
        <w:t>בפועל עבור רכישת זכויות עמידר, א</w:t>
      </w:r>
      <w:r w:rsidR="00822244">
        <w:rPr>
          <w:rFonts w:hint="cs"/>
          <w:sz w:val="26"/>
          <w:szCs w:val="30"/>
          <w:rtl/>
        </w:rPr>
        <w:t>ל מול הסכומים שהיו הם אמורים לשלם בהתאם למה ששילמו יתר הדיירים (כלומר</w:t>
      </w:r>
      <w:r w:rsidR="00E66C1D">
        <w:rPr>
          <w:rFonts w:hint="cs"/>
          <w:sz w:val="26"/>
          <w:szCs w:val="30"/>
          <w:rtl/>
        </w:rPr>
        <w:t xml:space="preserve"> כמה שילמו הם מעל </w:t>
      </w:r>
      <w:r w:rsidR="00F63289">
        <w:rPr>
          <w:rFonts w:hint="cs"/>
          <w:sz w:val="26"/>
          <w:szCs w:val="30"/>
          <w:rtl/>
        </w:rPr>
        <w:t>115%</w:t>
      </w:r>
      <w:r w:rsidR="003D6324">
        <w:rPr>
          <w:rFonts w:hint="cs"/>
          <w:sz w:val="26"/>
          <w:szCs w:val="30"/>
          <w:rtl/>
        </w:rPr>
        <w:t xml:space="preserve"> משווי זכויות עמידר ב</w:t>
      </w:r>
      <w:r w:rsidR="001B201B">
        <w:rPr>
          <w:rFonts w:hint="cs"/>
          <w:sz w:val="26"/>
          <w:szCs w:val="30"/>
          <w:rtl/>
        </w:rPr>
        <w:t>יחידות  האישיות. ובמילים אחרות: כמה שילמו הם יותר ממה</w:t>
      </w:r>
      <w:r w:rsidR="00F63289">
        <w:rPr>
          <w:rFonts w:hint="cs"/>
          <w:sz w:val="26"/>
          <w:szCs w:val="30"/>
          <w:rtl/>
        </w:rPr>
        <w:t xml:space="preserve"> ששילמו האחרים</w:t>
      </w:r>
      <w:r w:rsidR="00794F23">
        <w:rPr>
          <w:rFonts w:hint="cs"/>
          <w:sz w:val="26"/>
          <w:szCs w:val="30"/>
          <w:rtl/>
        </w:rPr>
        <w:t>)</w:t>
      </w:r>
      <w:r w:rsidR="00F63289">
        <w:rPr>
          <w:rFonts w:hint="cs"/>
          <w:sz w:val="26"/>
          <w:szCs w:val="30"/>
          <w:rtl/>
        </w:rPr>
        <w:t>.ממצאי פסק הדין ה</w:t>
      </w:r>
      <w:r w:rsidR="000C7397">
        <w:rPr>
          <w:rFonts w:hint="cs"/>
          <w:sz w:val="26"/>
          <w:szCs w:val="30"/>
          <w:rtl/>
        </w:rPr>
        <w:t>ם</w:t>
      </w:r>
      <w:r w:rsidR="00F63289">
        <w:rPr>
          <w:rFonts w:hint="cs"/>
          <w:sz w:val="26"/>
          <w:szCs w:val="30"/>
          <w:rtl/>
        </w:rPr>
        <w:t xml:space="preserve"> ש</w:t>
      </w:r>
      <w:r w:rsidR="00822244">
        <w:rPr>
          <w:rFonts w:hint="cs"/>
          <w:sz w:val="26"/>
          <w:szCs w:val="30"/>
          <w:rtl/>
        </w:rPr>
        <w:t xml:space="preserve">זקן שילם </w:t>
      </w:r>
      <w:r w:rsidR="00794F23">
        <w:rPr>
          <w:rFonts w:hint="cs"/>
          <w:sz w:val="26"/>
          <w:szCs w:val="30"/>
          <w:rtl/>
        </w:rPr>
        <w:t>ביתר סך 122,638 ₪ (סעיף 34 לפסק הדין)</w:t>
      </w:r>
      <w:r w:rsidR="00822244">
        <w:rPr>
          <w:rFonts w:hint="cs"/>
          <w:sz w:val="26"/>
          <w:szCs w:val="30"/>
          <w:rtl/>
        </w:rPr>
        <w:t xml:space="preserve">, ועדיקא שילם </w:t>
      </w:r>
      <w:r w:rsidR="00794F23">
        <w:rPr>
          <w:rFonts w:hint="cs"/>
          <w:sz w:val="26"/>
          <w:szCs w:val="30"/>
          <w:rtl/>
        </w:rPr>
        <w:t xml:space="preserve">ביתר </w:t>
      </w:r>
      <w:r w:rsidR="00822244">
        <w:rPr>
          <w:rFonts w:hint="cs"/>
          <w:sz w:val="26"/>
          <w:szCs w:val="30"/>
          <w:rtl/>
        </w:rPr>
        <w:t xml:space="preserve">סך שאיננו עולה על </w:t>
      </w:r>
      <w:r w:rsidR="00F63289">
        <w:rPr>
          <w:rFonts w:hint="cs"/>
          <w:sz w:val="26"/>
          <w:szCs w:val="30"/>
          <w:rtl/>
        </w:rPr>
        <w:t>13,150 ש"ח</w:t>
      </w:r>
      <w:r w:rsidR="00822244">
        <w:rPr>
          <w:rFonts w:hint="cs"/>
          <w:sz w:val="26"/>
          <w:szCs w:val="30"/>
          <w:rtl/>
        </w:rPr>
        <w:t xml:space="preserve"> </w:t>
      </w:r>
      <w:r w:rsidR="00F63289">
        <w:rPr>
          <w:rFonts w:hint="cs"/>
          <w:sz w:val="26"/>
          <w:szCs w:val="30"/>
          <w:rtl/>
        </w:rPr>
        <w:t>(סעיף 38 לפסק הדין)</w:t>
      </w:r>
      <w:r w:rsidR="00822244">
        <w:rPr>
          <w:rFonts w:hint="cs"/>
          <w:sz w:val="26"/>
          <w:szCs w:val="30"/>
          <w:rtl/>
        </w:rPr>
        <w:t xml:space="preserve">. </w:t>
      </w:r>
      <w:r w:rsidR="0014239C">
        <w:rPr>
          <w:rFonts w:hint="cs"/>
          <w:sz w:val="26"/>
          <w:szCs w:val="30"/>
          <w:rtl/>
        </w:rPr>
        <w:t xml:space="preserve"> </w:t>
      </w:r>
    </w:p>
    <w:p w:rsidR="00144709" w:rsidRDefault="00144709" w:rsidP="00794F23">
      <w:pPr>
        <w:pStyle w:val="Arial"/>
        <w:rPr>
          <w:sz w:val="26"/>
          <w:szCs w:val="30"/>
          <w:rtl/>
        </w:rPr>
      </w:pPr>
    </w:p>
    <w:p w:rsidR="00144709" w:rsidRDefault="0014239C" w:rsidP="00FE0DE5">
      <w:pPr>
        <w:pStyle w:val="Arial"/>
        <w:rPr>
          <w:sz w:val="26"/>
          <w:szCs w:val="30"/>
          <w:rtl/>
        </w:rPr>
      </w:pPr>
      <w:r>
        <w:rPr>
          <w:rFonts w:hint="cs"/>
          <w:sz w:val="26"/>
          <w:szCs w:val="30"/>
          <w:rtl/>
        </w:rPr>
        <w:t>בהתאם</w:t>
      </w:r>
      <w:r w:rsidR="00144709">
        <w:rPr>
          <w:rFonts w:hint="cs"/>
          <w:sz w:val="26"/>
          <w:szCs w:val="30"/>
          <w:rtl/>
        </w:rPr>
        <w:t>,</w:t>
      </w:r>
      <w:r>
        <w:rPr>
          <w:rFonts w:hint="cs"/>
          <w:sz w:val="26"/>
          <w:szCs w:val="30"/>
          <w:rtl/>
        </w:rPr>
        <w:t xml:space="preserve"> ב</w:t>
      </w:r>
      <w:r w:rsidR="00420AE3">
        <w:rPr>
          <w:rFonts w:hint="cs"/>
          <w:sz w:val="26"/>
          <w:szCs w:val="30"/>
          <w:rtl/>
        </w:rPr>
        <w:t>חלקו האופרטיבי של פסק הדין</w:t>
      </w:r>
      <w:r w:rsidR="00144709">
        <w:rPr>
          <w:rFonts w:hint="cs"/>
          <w:sz w:val="26"/>
          <w:szCs w:val="30"/>
          <w:rtl/>
        </w:rPr>
        <w:t xml:space="preserve"> </w:t>
      </w:r>
      <w:r w:rsidR="00174522">
        <w:rPr>
          <w:rFonts w:hint="cs"/>
          <w:sz w:val="26"/>
          <w:szCs w:val="30"/>
          <w:rtl/>
        </w:rPr>
        <w:t>נ</w:t>
      </w:r>
      <w:r w:rsidR="00144709">
        <w:rPr>
          <w:rFonts w:hint="cs"/>
          <w:sz w:val="26"/>
          <w:szCs w:val="30"/>
          <w:rtl/>
        </w:rPr>
        <w:t>יתנה הוראת בדבר ביטול רישום דירות המריבה ע"ש זקן ועדיקא</w:t>
      </w:r>
      <w:r w:rsidR="00174522">
        <w:rPr>
          <w:rFonts w:hint="cs"/>
          <w:sz w:val="26"/>
          <w:szCs w:val="30"/>
          <w:rtl/>
        </w:rPr>
        <w:t xml:space="preserve"> והעמדתן למכירה במסגרת מכרז פנימי אשר יופנה אל הדייר</w:t>
      </w:r>
      <w:r w:rsidR="00BA74C3">
        <w:rPr>
          <w:rFonts w:hint="cs"/>
          <w:sz w:val="26"/>
          <w:szCs w:val="30"/>
          <w:rtl/>
        </w:rPr>
        <w:t>י</w:t>
      </w:r>
      <w:r w:rsidR="00174522">
        <w:rPr>
          <w:rFonts w:hint="cs"/>
          <w:sz w:val="26"/>
          <w:szCs w:val="30"/>
          <w:rtl/>
        </w:rPr>
        <w:t>ם ששמותיהם מופיעים ב</w:t>
      </w:r>
      <w:r w:rsidR="00424ACA">
        <w:rPr>
          <w:rFonts w:hint="cs"/>
          <w:sz w:val="26"/>
          <w:szCs w:val="30"/>
          <w:rtl/>
        </w:rPr>
        <w:t>טבל</w:t>
      </w:r>
      <w:r w:rsidR="00FE0DE5">
        <w:rPr>
          <w:rFonts w:hint="cs"/>
          <w:sz w:val="26"/>
          <w:szCs w:val="30"/>
          <w:rtl/>
        </w:rPr>
        <w:t>ה</w:t>
      </w:r>
      <w:r w:rsidR="00424ACA">
        <w:rPr>
          <w:rFonts w:hint="cs"/>
          <w:sz w:val="26"/>
          <w:szCs w:val="30"/>
          <w:rtl/>
        </w:rPr>
        <w:t>. אשר להשבה</w:t>
      </w:r>
      <w:r w:rsidR="00144709">
        <w:rPr>
          <w:rFonts w:hint="cs"/>
          <w:sz w:val="26"/>
          <w:szCs w:val="30"/>
          <w:rtl/>
        </w:rPr>
        <w:t xml:space="preserve">, </w:t>
      </w:r>
      <w:r w:rsidR="00420AE3">
        <w:rPr>
          <w:rFonts w:hint="cs"/>
          <w:sz w:val="26"/>
          <w:szCs w:val="30"/>
          <w:rtl/>
        </w:rPr>
        <w:t xml:space="preserve">נקבע </w:t>
      </w:r>
      <w:r w:rsidR="000C7397">
        <w:rPr>
          <w:rFonts w:hint="cs"/>
          <w:sz w:val="26"/>
          <w:szCs w:val="30"/>
          <w:rtl/>
        </w:rPr>
        <w:t>כך: "בעקבות ביטול הרישום של דירות המריבה על שמם, זכאים עדיקא וזקן להשבה בגין הכספים ששילמו ביתר (מעל 11</w:t>
      </w:r>
      <w:r w:rsidR="00BA74C3">
        <w:rPr>
          <w:rFonts w:hint="cs"/>
          <w:sz w:val="26"/>
          <w:szCs w:val="30"/>
          <w:rtl/>
        </w:rPr>
        <w:t>5</w:t>
      </w:r>
      <w:r w:rsidR="000C7397">
        <w:rPr>
          <w:rFonts w:hint="cs"/>
          <w:sz w:val="26"/>
          <w:szCs w:val="30"/>
          <w:rtl/>
        </w:rPr>
        <w:t>% משווי דירותיהם האישיות עובר לרכישה)</w:t>
      </w:r>
      <w:r w:rsidR="00144709">
        <w:rPr>
          <w:rFonts w:hint="cs"/>
          <w:sz w:val="26"/>
          <w:szCs w:val="30"/>
          <w:rtl/>
        </w:rPr>
        <w:t>"</w:t>
      </w:r>
      <w:r w:rsidR="00424ACA">
        <w:rPr>
          <w:rFonts w:hint="cs"/>
          <w:sz w:val="26"/>
          <w:szCs w:val="30"/>
          <w:rtl/>
        </w:rPr>
        <w:t xml:space="preserve">. כעולה מן האמור שם, אמור סכום </w:t>
      </w:r>
      <w:r w:rsidR="00BA74C3">
        <w:rPr>
          <w:rFonts w:hint="cs"/>
          <w:sz w:val="26"/>
          <w:szCs w:val="30"/>
          <w:rtl/>
        </w:rPr>
        <w:t>ההשבה</w:t>
      </w:r>
      <w:r w:rsidR="00424ACA">
        <w:rPr>
          <w:rFonts w:hint="cs"/>
          <w:sz w:val="26"/>
          <w:szCs w:val="30"/>
          <w:rtl/>
        </w:rPr>
        <w:t xml:space="preserve"> להשתלם לזקן ולעדיקא מן התמורה שתתקבל ממכירת הדירות במסגרת המכרז </w:t>
      </w:r>
      <w:r w:rsidR="00175377">
        <w:rPr>
          <w:rFonts w:hint="cs"/>
          <w:sz w:val="26"/>
          <w:szCs w:val="30"/>
          <w:rtl/>
        </w:rPr>
        <w:t xml:space="preserve"> </w:t>
      </w:r>
      <w:r w:rsidR="00424ACA">
        <w:rPr>
          <w:rFonts w:hint="cs"/>
          <w:sz w:val="26"/>
          <w:szCs w:val="30"/>
          <w:rtl/>
        </w:rPr>
        <w:t>הפנימי.</w:t>
      </w:r>
    </w:p>
    <w:p w:rsidR="00175377" w:rsidRDefault="00175377" w:rsidP="00144709">
      <w:pPr>
        <w:pStyle w:val="Arial"/>
        <w:rPr>
          <w:sz w:val="26"/>
          <w:szCs w:val="30"/>
          <w:rtl/>
        </w:rPr>
      </w:pPr>
    </w:p>
    <w:p w:rsidR="00144709" w:rsidRDefault="00144709" w:rsidP="00144709">
      <w:pPr>
        <w:pStyle w:val="Arial"/>
        <w:rPr>
          <w:sz w:val="26"/>
          <w:szCs w:val="30"/>
          <w:rtl/>
        </w:rPr>
      </w:pPr>
      <w:r>
        <w:rPr>
          <w:rFonts w:hint="cs"/>
          <w:sz w:val="26"/>
          <w:szCs w:val="30"/>
          <w:rtl/>
        </w:rPr>
        <w:t xml:space="preserve">אשר לאופן בו ישוערך סכום ההשבה </w:t>
      </w:r>
      <w:r>
        <w:rPr>
          <w:sz w:val="26"/>
          <w:szCs w:val="30"/>
          <w:rtl/>
        </w:rPr>
        <w:t>–</w:t>
      </w:r>
      <w:r>
        <w:rPr>
          <w:rFonts w:hint="cs"/>
          <w:sz w:val="26"/>
          <w:szCs w:val="30"/>
          <w:rtl/>
        </w:rPr>
        <w:t xml:space="preserve"> נדחתה טענת משה זקן ועדיקא כי זכאים הם לשיערוך על פי העליה בשווי הדירות, ונפסק כי השיערוך יהיה:</w:t>
      </w:r>
    </w:p>
    <w:p w:rsidR="00175377" w:rsidRDefault="00175377" w:rsidP="00144709">
      <w:pPr>
        <w:pStyle w:val="Arial"/>
        <w:rPr>
          <w:sz w:val="26"/>
          <w:szCs w:val="30"/>
          <w:rtl/>
        </w:rPr>
      </w:pPr>
    </w:p>
    <w:p w:rsidR="00144709" w:rsidRDefault="00144709" w:rsidP="003D6324">
      <w:pPr>
        <w:pStyle w:val="Arial"/>
        <w:rPr>
          <w:sz w:val="26"/>
          <w:szCs w:val="30"/>
          <w:rtl/>
        </w:rPr>
      </w:pPr>
      <w:r>
        <w:rPr>
          <w:rFonts w:hint="cs"/>
          <w:sz w:val="26"/>
          <w:szCs w:val="30"/>
          <w:rtl/>
        </w:rPr>
        <w:t>"</w:t>
      </w:r>
      <w:r w:rsidR="000C7397">
        <w:rPr>
          <w:rFonts w:hint="cs"/>
          <w:sz w:val="26"/>
          <w:szCs w:val="30"/>
          <w:rtl/>
        </w:rPr>
        <w:t>לא לפי שווין של דירות המריבה היום, אלא לפי שווי השקעתם העודפת כשהיא משוערכת להיום. הווה אמור, בצירוף הצמדה ורי</w:t>
      </w:r>
      <w:r>
        <w:rPr>
          <w:rFonts w:hint="cs"/>
          <w:sz w:val="26"/>
          <w:szCs w:val="30"/>
          <w:rtl/>
        </w:rPr>
        <w:t>ב</w:t>
      </w:r>
      <w:r w:rsidR="000C7397">
        <w:rPr>
          <w:rFonts w:hint="cs"/>
          <w:sz w:val="26"/>
          <w:szCs w:val="30"/>
          <w:rtl/>
        </w:rPr>
        <w:t xml:space="preserve">ית כאמור ביום 15.11.91. שכן, </w:t>
      </w:r>
      <w:r>
        <w:rPr>
          <w:rFonts w:hint="cs"/>
          <w:sz w:val="26"/>
          <w:szCs w:val="30"/>
          <w:rtl/>
        </w:rPr>
        <w:t xml:space="preserve">לו הייתי פוסק להם השבה לפי ערכן של דירות המריבה היום, הם היו זוכים דרך </w:t>
      </w:r>
      <w:r w:rsidR="00175377">
        <w:rPr>
          <w:rFonts w:hint="cs"/>
          <w:sz w:val="26"/>
          <w:szCs w:val="30"/>
          <w:rtl/>
        </w:rPr>
        <w:t>"</w:t>
      </w:r>
      <w:r>
        <w:rPr>
          <w:rFonts w:hint="cs"/>
          <w:sz w:val="26"/>
          <w:szCs w:val="30"/>
          <w:rtl/>
        </w:rPr>
        <w:t>הדלת האחו</w:t>
      </w:r>
      <w:r w:rsidR="003D6324">
        <w:rPr>
          <w:rFonts w:hint="cs"/>
          <w:sz w:val="26"/>
          <w:szCs w:val="30"/>
          <w:rtl/>
        </w:rPr>
        <w:t>ר</w:t>
      </w:r>
      <w:r>
        <w:rPr>
          <w:rFonts w:hint="cs"/>
          <w:sz w:val="26"/>
          <w:szCs w:val="30"/>
          <w:rtl/>
        </w:rPr>
        <w:t>ית" באותו רוו</w:t>
      </w:r>
      <w:r w:rsidR="003D6324">
        <w:rPr>
          <w:rFonts w:hint="cs"/>
          <w:sz w:val="26"/>
          <w:szCs w:val="30"/>
          <w:rtl/>
        </w:rPr>
        <w:t>ח</w:t>
      </w:r>
      <w:r>
        <w:rPr>
          <w:rFonts w:hint="cs"/>
          <w:sz w:val="26"/>
          <w:szCs w:val="30"/>
          <w:rtl/>
        </w:rPr>
        <w:t xml:space="preserve"> שהם אינם זכאים לו על פי פסק דין זה דרך "הדלת הראשית".</w:t>
      </w:r>
    </w:p>
    <w:p w:rsidR="00175377" w:rsidRDefault="00175377" w:rsidP="00750CFF">
      <w:pPr>
        <w:pStyle w:val="Arial"/>
        <w:rPr>
          <w:sz w:val="26"/>
          <w:szCs w:val="30"/>
          <w:rtl/>
        </w:rPr>
      </w:pPr>
    </w:p>
    <w:p w:rsidR="00750CFF" w:rsidRDefault="00144709" w:rsidP="00BA74C3">
      <w:pPr>
        <w:pStyle w:val="Arial"/>
        <w:rPr>
          <w:sz w:val="26"/>
          <w:szCs w:val="30"/>
          <w:rtl/>
        </w:rPr>
      </w:pPr>
      <w:r>
        <w:rPr>
          <w:rFonts w:hint="cs"/>
          <w:sz w:val="26"/>
          <w:szCs w:val="30"/>
          <w:rtl/>
        </w:rPr>
        <w:lastRenderedPageBreak/>
        <w:t>על פסק דין הוגש ערעור</w:t>
      </w:r>
      <w:r w:rsidR="00175377">
        <w:rPr>
          <w:rFonts w:hint="cs"/>
          <w:sz w:val="26"/>
          <w:szCs w:val="30"/>
          <w:rtl/>
        </w:rPr>
        <w:t xml:space="preserve"> במסגרת תיק ע"א 299/99</w:t>
      </w:r>
      <w:r w:rsidR="00BA74C3">
        <w:rPr>
          <w:rFonts w:hint="cs"/>
          <w:sz w:val="26"/>
          <w:szCs w:val="30"/>
          <w:rtl/>
        </w:rPr>
        <w:t xml:space="preserve">. במסגרת הערעור </w:t>
      </w:r>
      <w:r>
        <w:rPr>
          <w:rFonts w:hint="cs"/>
          <w:sz w:val="26"/>
          <w:szCs w:val="30"/>
          <w:rtl/>
        </w:rPr>
        <w:t xml:space="preserve">הושג הסדר פשרה שקיבל תוקף של פסק דין. </w:t>
      </w:r>
      <w:r w:rsidR="00174522">
        <w:rPr>
          <w:rFonts w:hint="cs"/>
          <w:sz w:val="26"/>
          <w:szCs w:val="30"/>
          <w:rtl/>
        </w:rPr>
        <w:t>הסדר פשרה זה קבע כי</w:t>
      </w:r>
      <w:r w:rsidR="00424ACA">
        <w:rPr>
          <w:rFonts w:hint="cs"/>
          <w:sz w:val="26"/>
          <w:szCs w:val="30"/>
          <w:rtl/>
        </w:rPr>
        <w:t xml:space="preserve"> ל</w:t>
      </w:r>
      <w:r w:rsidR="00943B80">
        <w:rPr>
          <w:rFonts w:hint="cs"/>
          <w:sz w:val="26"/>
          <w:szCs w:val="30"/>
          <w:rtl/>
        </w:rPr>
        <w:t xml:space="preserve">גבי </w:t>
      </w:r>
      <w:r w:rsidR="00424ACA">
        <w:rPr>
          <w:rFonts w:hint="cs"/>
          <w:sz w:val="26"/>
          <w:szCs w:val="30"/>
          <w:rtl/>
        </w:rPr>
        <w:t xml:space="preserve">זכויות עמידר </w:t>
      </w:r>
      <w:r w:rsidR="00943B80">
        <w:rPr>
          <w:rFonts w:hint="cs"/>
          <w:sz w:val="26"/>
          <w:szCs w:val="30"/>
          <w:rtl/>
        </w:rPr>
        <w:t>ב</w:t>
      </w:r>
      <w:r w:rsidR="00424ACA">
        <w:rPr>
          <w:rFonts w:hint="cs"/>
          <w:sz w:val="26"/>
          <w:szCs w:val="30"/>
          <w:rtl/>
        </w:rPr>
        <w:t>דירות המריבה, שרישומן על שם זקן ועדיקא נמחק,</w:t>
      </w:r>
      <w:r w:rsidR="00943B80">
        <w:rPr>
          <w:rFonts w:hint="cs"/>
          <w:sz w:val="26"/>
          <w:szCs w:val="30"/>
          <w:rtl/>
        </w:rPr>
        <w:t xml:space="preserve"> </w:t>
      </w:r>
      <w:r w:rsidR="00424ACA">
        <w:rPr>
          <w:rFonts w:hint="cs"/>
          <w:sz w:val="26"/>
          <w:szCs w:val="30"/>
          <w:rtl/>
        </w:rPr>
        <w:t>תינתן זכות קדימה ל</w:t>
      </w:r>
      <w:r w:rsidR="00943B80">
        <w:rPr>
          <w:rFonts w:hint="cs"/>
          <w:sz w:val="26"/>
          <w:szCs w:val="30"/>
          <w:rtl/>
        </w:rPr>
        <w:t xml:space="preserve">רכישתן בידי </w:t>
      </w:r>
      <w:r w:rsidR="00424ACA">
        <w:rPr>
          <w:rFonts w:hint="cs"/>
          <w:sz w:val="26"/>
          <w:szCs w:val="30"/>
          <w:rtl/>
        </w:rPr>
        <w:t xml:space="preserve">דיירים שרכשו </w:t>
      </w:r>
      <w:r w:rsidR="00C43DE8">
        <w:rPr>
          <w:rFonts w:hint="cs"/>
          <w:sz w:val="26"/>
          <w:szCs w:val="30"/>
          <w:rtl/>
        </w:rPr>
        <w:t xml:space="preserve">את </w:t>
      </w:r>
      <w:r w:rsidR="00943B80">
        <w:rPr>
          <w:rFonts w:hint="cs"/>
          <w:sz w:val="26"/>
          <w:szCs w:val="30"/>
          <w:rtl/>
        </w:rPr>
        <w:t>זכויות כונס הנכסים שמטעם בנק הפועלים</w:t>
      </w:r>
      <w:r w:rsidR="00BA74C3">
        <w:rPr>
          <w:rFonts w:hint="cs"/>
          <w:sz w:val="26"/>
          <w:szCs w:val="30"/>
          <w:rtl/>
        </w:rPr>
        <w:t xml:space="preserve"> בדירה</w:t>
      </w:r>
      <w:r w:rsidR="00943B80">
        <w:rPr>
          <w:rFonts w:hint="cs"/>
          <w:sz w:val="26"/>
          <w:szCs w:val="30"/>
          <w:rtl/>
        </w:rPr>
        <w:t xml:space="preserve"> (כזכור 75% מהזכויות בנכס היו בחזקת כונס נכסים מטעם בנק הפועלים, ו 25% בחזקת עמידר). מהסדר זה הוחרגו דירה 59, בעניינה לא נרחיב עתה, וכן דירה 28 שבעניינה התגלעה כאמור מחלוקת. אשר לדירה 28 </w:t>
      </w:r>
      <w:r w:rsidR="002405DD">
        <w:rPr>
          <w:rFonts w:hint="cs"/>
          <w:sz w:val="26"/>
          <w:szCs w:val="30"/>
          <w:rtl/>
        </w:rPr>
        <w:t xml:space="preserve">(כמו גם </w:t>
      </w:r>
      <w:r w:rsidR="00943B80">
        <w:rPr>
          <w:rFonts w:hint="cs"/>
          <w:sz w:val="26"/>
          <w:szCs w:val="30"/>
          <w:rtl/>
        </w:rPr>
        <w:t>יתר הדירות שלא יירכשו לפי זכות הקדימה האמורה</w:t>
      </w:r>
      <w:r w:rsidR="002405DD">
        <w:rPr>
          <w:rFonts w:hint="cs"/>
          <w:sz w:val="26"/>
          <w:szCs w:val="30"/>
          <w:rtl/>
        </w:rPr>
        <w:t>)</w:t>
      </w:r>
      <w:r w:rsidR="00943B80">
        <w:rPr>
          <w:rFonts w:hint="cs"/>
          <w:sz w:val="26"/>
          <w:szCs w:val="30"/>
          <w:rtl/>
        </w:rPr>
        <w:t xml:space="preserve">, נקבע </w:t>
      </w:r>
      <w:r w:rsidR="00750CFF">
        <w:rPr>
          <w:rFonts w:hint="cs"/>
          <w:sz w:val="26"/>
          <w:szCs w:val="30"/>
          <w:rtl/>
        </w:rPr>
        <w:t>בסעיף ה' להסדר הפשרה כי</w:t>
      </w:r>
      <w:r w:rsidR="00943B80">
        <w:rPr>
          <w:rFonts w:hint="cs"/>
          <w:sz w:val="26"/>
          <w:szCs w:val="30"/>
          <w:rtl/>
        </w:rPr>
        <w:t xml:space="preserve"> אלו יוצעו במכרז פנימי לכלל הדיירים.</w:t>
      </w:r>
      <w:r w:rsidR="00C43DE8">
        <w:rPr>
          <w:rFonts w:hint="cs"/>
          <w:sz w:val="26"/>
          <w:szCs w:val="30"/>
          <w:rtl/>
        </w:rPr>
        <w:t xml:space="preserve"> </w:t>
      </w:r>
      <w:r w:rsidR="00750CFF">
        <w:rPr>
          <w:rFonts w:hint="cs"/>
          <w:sz w:val="26"/>
          <w:szCs w:val="30"/>
          <w:rtl/>
        </w:rPr>
        <w:t xml:space="preserve">אשר להשבת הכספים ששולמו ביתר בידי עדיקא וזקן קבעו הצדדים </w:t>
      </w:r>
      <w:r w:rsidR="00BA74C3">
        <w:rPr>
          <w:rFonts w:hint="cs"/>
          <w:sz w:val="26"/>
          <w:szCs w:val="30"/>
          <w:rtl/>
        </w:rPr>
        <w:t xml:space="preserve">בין היתר </w:t>
      </w:r>
      <w:r w:rsidR="00750CFF">
        <w:rPr>
          <w:rFonts w:hint="cs"/>
          <w:sz w:val="26"/>
          <w:szCs w:val="30"/>
          <w:rtl/>
        </w:rPr>
        <w:t>בסעיף ו' להסדר הפשרה:</w:t>
      </w:r>
      <w:r w:rsidR="00C43DE8">
        <w:rPr>
          <w:rFonts w:hint="cs"/>
          <w:sz w:val="26"/>
          <w:szCs w:val="30"/>
          <w:rtl/>
        </w:rPr>
        <w:t xml:space="preserve"> </w:t>
      </w:r>
      <w:r w:rsidR="00750CFF">
        <w:rPr>
          <w:rFonts w:hint="cs"/>
          <w:sz w:val="26"/>
          <w:szCs w:val="30"/>
          <w:rtl/>
        </w:rPr>
        <w:t>"ביחס לדירות</w:t>
      </w:r>
      <w:r w:rsidR="002405DD">
        <w:rPr>
          <w:rFonts w:hint="cs"/>
          <w:sz w:val="26"/>
          <w:szCs w:val="30"/>
          <w:rtl/>
        </w:rPr>
        <w:t xml:space="preserve"> שישולם בגינן עפ"י סעיף ה' לעיל </w:t>
      </w:r>
      <w:r w:rsidR="00750CFF">
        <w:rPr>
          <w:rFonts w:hint="cs"/>
          <w:sz w:val="26"/>
          <w:szCs w:val="30"/>
          <w:rtl/>
        </w:rPr>
        <w:t>יחול האמור להלן: בעקבות ביטול הרישום של דירות המריבה על שמם, זכאים עדיקה ויורשי זקן להשבה בגין הכספים ששילמו ביתר (מעל 115% משווי דירותיהם האישיות עובר לרכישה)</w:t>
      </w:r>
      <w:r w:rsidR="00C43DE8">
        <w:rPr>
          <w:rFonts w:hint="cs"/>
          <w:sz w:val="26"/>
          <w:szCs w:val="30"/>
          <w:rtl/>
        </w:rPr>
        <w:t>..</w:t>
      </w:r>
      <w:r w:rsidR="00377B04">
        <w:rPr>
          <w:rFonts w:hint="cs"/>
          <w:sz w:val="26"/>
          <w:szCs w:val="30"/>
          <w:rtl/>
        </w:rPr>
        <w:t>."</w:t>
      </w:r>
      <w:r w:rsidR="00BA74C3">
        <w:rPr>
          <w:rFonts w:hint="cs"/>
          <w:sz w:val="26"/>
          <w:szCs w:val="30"/>
          <w:rtl/>
        </w:rPr>
        <w:t xml:space="preserve">. </w:t>
      </w:r>
      <w:r w:rsidR="00377B04">
        <w:rPr>
          <w:rFonts w:hint="cs"/>
          <w:sz w:val="26"/>
          <w:szCs w:val="30"/>
          <w:rtl/>
        </w:rPr>
        <w:t xml:space="preserve">אשר לאופן השערוך </w:t>
      </w:r>
      <w:r w:rsidR="00377B04">
        <w:rPr>
          <w:sz w:val="26"/>
          <w:szCs w:val="30"/>
          <w:rtl/>
        </w:rPr>
        <w:t>–</w:t>
      </w:r>
      <w:r w:rsidR="00377B04">
        <w:rPr>
          <w:rFonts w:hint="cs"/>
          <w:sz w:val="26"/>
          <w:szCs w:val="30"/>
          <w:rtl/>
        </w:rPr>
        <w:t xml:space="preserve"> הצדדים הסכימו כי זה ייעשה "</w:t>
      </w:r>
      <w:r w:rsidR="00750CFF">
        <w:rPr>
          <w:rFonts w:hint="cs"/>
          <w:sz w:val="26"/>
          <w:szCs w:val="30"/>
          <w:rtl/>
        </w:rPr>
        <w:t xml:space="preserve">... לפי שווי השקעתם העודפת כשהיא משוערכת להיום (9.4.03). הווה אומר, בצירוף הצמדה וריבית צמודה ומצטברת של 7% מיום 15.11.91 ועד ליום התשלום בפועל". </w:t>
      </w:r>
    </w:p>
    <w:p w:rsidR="00750CFF" w:rsidRDefault="00750CFF" w:rsidP="00750CFF">
      <w:pPr>
        <w:pStyle w:val="Arial"/>
        <w:rPr>
          <w:sz w:val="26"/>
          <w:szCs w:val="30"/>
          <w:rtl/>
        </w:rPr>
      </w:pPr>
    </w:p>
    <w:p w:rsidR="002405DD" w:rsidRDefault="002405DD" w:rsidP="009816F6">
      <w:pPr>
        <w:pStyle w:val="Arial"/>
        <w:rPr>
          <w:sz w:val="26"/>
          <w:szCs w:val="30"/>
          <w:rtl/>
        </w:rPr>
      </w:pPr>
      <w:r>
        <w:rPr>
          <w:rFonts w:hint="cs"/>
          <w:sz w:val="26"/>
          <w:szCs w:val="30"/>
          <w:rtl/>
        </w:rPr>
        <w:t xml:space="preserve">על רקע זה טוענים יורשי המנוח זקן </w:t>
      </w:r>
      <w:r w:rsidR="00482454">
        <w:rPr>
          <w:rFonts w:hint="cs"/>
          <w:sz w:val="26"/>
          <w:szCs w:val="30"/>
          <w:rtl/>
        </w:rPr>
        <w:t xml:space="preserve">כי </w:t>
      </w:r>
      <w:r w:rsidR="009816F6">
        <w:rPr>
          <w:rFonts w:hint="cs"/>
          <w:sz w:val="26"/>
          <w:szCs w:val="30"/>
          <w:rtl/>
        </w:rPr>
        <w:t>הם</w:t>
      </w:r>
      <w:r w:rsidR="00707A0D">
        <w:rPr>
          <w:rFonts w:hint="cs"/>
          <w:sz w:val="26"/>
          <w:szCs w:val="30"/>
          <w:rtl/>
        </w:rPr>
        <w:t xml:space="preserve"> </w:t>
      </w:r>
      <w:r w:rsidR="00BA77E7">
        <w:rPr>
          <w:rFonts w:hint="cs"/>
          <w:sz w:val="26"/>
          <w:szCs w:val="30"/>
          <w:rtl/>
        </w:rPr>
        <w:t xml:space="preserve">זכאים </w:t>
      </w:r>
      <w:r>
        <w:rPr>
          <w:rFonts w:hint="cs"/>
          <w:sz w:val="26"/>
          <w:szCs w:val="30"/>
          <w:rtl/>
        </w:rPr>
        <w:t>לחלק מן הכספים שהתקבלו בגין דירה בגין יחידה זו, 28,</w:t>
      </w:r>
      <w:r w:rsidR="0043283A">
        <w:rPr>
          <w:rFonts w:hint="cs"/>
          <w:sz w:val="26"/>
          <w:szCs w:val="30"/>
          <w:rtl/>
        </w:rPr>
        <w:t xml:space="preserve"> </w:t>
      </w:r>
      <w:r w:rsidR="00707A0D">
        <w:rPr>
          <w:rFonts w:hint="cs"/>
          <w:sz w:val="26"/>
          <w:szCs w:val="30"/>
          <w:rtl/>
        </w:rPr>
        <w:t xml:space="preserve">מכוח </w:t>
      </w:r>
      <w:r w:rsidR="00013F81">
        <w:rPr>
          <w:rFonts w:hint="cs"/>
          <w:sz w:val="26"/>
          <w:szCs w:val="30"/>
          <w:rtl/>
        </w:rPr>
        <w:t>סעיף ו' להסכם הפשרה</w:t>
      </w:r>
      <w:r>
        <w:rPr>
          <w:rFonts w:hint="cs"/>
          <w:sz w:val="26"/>
          <w:szCs w:val="30"/>
          <w:rtl/>
        </w:rPr>
        <w:t xml:space="preserve">, בצירוף הפרשי הצמדה וריבית מצטברת בשיעור של 7%. את הסכום לו הם זכאים לטענתם בגין יחידה זו מחשבים הם לפי </w:t>
      </w:r>
      <w:r w:rsidR="00804C5A">
        <w:rPr>
          <w:rFonts w:hint="cs"/>
          <w:sz w:val="26"/>
          <w:szCs w:val="30"/>
          <w:rtl/>
        </w:rPr>
        <w:t xml:space="preserve">מחצית </w:t>
      </w:r>
      <w:r w:rsidR="00BA74C3">
        <w:rPr>
          <w:rFonts w:hint="cs"/>
          <w:sz w:val="26"/>
          <w:szCs w:val="30"/>
          <w:rtl/>
        </w:rPr>
        <w:t xml:space="preserve">סך התשלום בגין </w:t>
      </w:r>
      <w:r>
        <w:rPr>
          <w:rFonts w:hint="cs"/>
          <w:sz w:val="26"/>
          <w:szCs w:val="30"/>
          <w:rtl/>
        </w:rPr>
        <w:t xml:space="preserve">יחידה </w:t>
      </w:r>
      <w:r w:rsidR="00BA74C3">
        <w:rPr>
          <w:rFonts w:hint="cs"/>
          <w:sz w:val="26"/>
          <w:szCs w:val="30"/>
          <w:rtl/>
        </w:rPr>
        <w:t xml:space="preserve">זו </w:t>
      </w:r>
      <w:r>
        <w:rPr>
          <w:rFonts w:hint="cs"/>
          <w:sz w:val="26"/>
          <w:szCs w:val="30"/>
          <w:rtl/>
        </w:rPr>
        <w:t>לפי טבלת עמידר</w:t>
      </w:r>
      <w:r w:rsidR="00804C5A">
        <w:rPr>
          <w:rFonts w:hint="cs"/>
          <w:sz w:val="26"/>
          <w:szCs w:val="30"/>
          <w:rtl/>
        </w:rPr>
        <w:t xml:space="preserve"> (</w:t>
      </w:r>
      <w:r w:rsidR="00BA74C3">
        <w:rPr>
          <w:rFonts w:hint="cs"/>
          <w:sz w:val="26"/>
          <w:szCs w:val="30"/>
          <w:rtl/>
        </w:rPr>
        <w:t xml:space="preserve">מחצית בלבד, </w:t>
      </w:r>
      <w:r w:rsidR="00804C5A">
        <w:rPr>
          <w:rFonts w:hint="cs"/>
          <w:sz w:val="26"/>
          <w:szCs w:val="30"/>
          <w:rtl/>
        </w:rPr>
        <w:t>משום שדירה זו רשומה היתה בזמנו ע"ש זקן ועדיקא במשותף)</w:t>
      </w:r>
      <w:r>
        <w:rPr>
          <w:rFonts w:hint="cs"/>
          <w:sz w:val="26"/>
          <w:szCs w:val="30"/>
          <w:rtl/>
        </w:rPr>
        <w:t>, בצירוף הפרשי הצמדה וריבית כאמור</w:t>
      </w:r>
      <w:r w:rsidR="003D6324">
        <w:rPr>
          <w:rFonts w:hint="cs"/>
          <w:sz w:val="26"/>
          <w:szCs w:val="30"/>
          <w:rtl/>
        </w:rPr>
        <w:t>, בצירוף 15%</w:t>
      </w:r>
      <w:r>
        <w:rPr>
          <w:rFonts w:hint="cs"/>
          <w:sz w:val="26"/>
          <w:szCs w:val="30"/>
          <w:rtl/>
        </w:rPr>
        <w:t>.</w:t>
      </w:r>
    </w:p>
    <w:p w:rsidR="00996045" w:rsidRDefault="00013F81" w:rsidP="00BA74C3">
      <w:pPr>
        <w:pStyle w:val="Arial"/>
        <w:rPr>
          <w:sz w:val="26"/>
          <w:szCs w:val="30"/>
          <w:rtl/>
        </w:rPr>
      </w:pPr>
      <w:r>
        <w:rPr>
          <w:rFonts w:hint="cs"/>
          <w:sz w:val="26"/>
          <w:szCs w:val="30"/>
          <w:rtl/>
        </w:rPr>
        <w:t xml:space="preserve"> </w:t>
      </w:r>
    </w:p>
    <w:p w:rsidR="00F344BD" w:rsidRDefault="00BA77E7" w:rsidP="009816F6">
      <w:pPr>
        <w:pStyle w:val="Arial"/>
        <w:rPr>
          <w:sz w:val="26"/>
          <w:szCs w:val="30"/>
          <w:rtl/>
        </w:rPr>
      </w:pPr>
      <w:r>
        <w:rPr>
          <w:rFonts w:hint="cs"/>
          <w:sz w:val="26"/>
          <w:szCs w:val="30"/>
          <w:rtl/>
        </w:rPr>
        <w:t xml:space="preserve">יורשי זקן מציינים כי </w:t>
      </w:r>
      <w:r w:rsidR="002C62E2">
        <w:rPr>
          <w:rFonts w:hint="cs"/>
          <w:sz w:val="26"/>
          <w:szCs w:val="30"/>
          <w:rtl/>
        </w:rPr>
        <w:t>בשנת 2010</w:t>
      </w:r>
      <w:r w:rsidR="007D6223">
        <w:rPr>
          <w:rFonts w:hint="cs"/>
          <w:sz w:val="26"/>
          <w:szCs w:val="30"/>
          <w:rtl/>
        </w:rPr>
        <w:t>, עם מכירת היחידה לצד ג',</w:t>
      </w:r>
      <w:r w:rsidR="002C62E2">
        <w:rPr>
          <w:rFonts w:hint="cs"/>
          <w:sz w:val="26"/>
          <w:szCs w:val="30"/>
          <w:rtl/>
        </w:rPr>
        <w:t xml:space="preserve"> </w:t>
      </w:r>
      <w:r w:rsidR="00996045">
        <w:rPr>
          <w:rFonts w:hint="cs"/>
          <w:sz w:val="26"/>
          <w:szCs w:val="30"/>
          <w:rtl/>
        </w:rPr>
        <w:t xml:space="preserve">אכן </w:t>
      </w:r>
      <w:r w:rsidR="002C62E2">
        <w:rPr>
          <w:rFonts w:hint="cs"/>
          <w:sz w:val="26"/>
          <w:szCs w:val="30"/>
          <w:rtl/>
        </w:rPr>
        <w:t xml:space="preserve">שילמו הנאמנים ליורשי זקן </w:t>
      </w:r>
      <w:r w:rsidR="0043283A">
        <w:rPr>
          <w:rFonts w:hint="cs"/>
          <w:sz w:val="26"/>
          <w:szCs w:val="30"/>
          <w:rtl/>
        </w:rPr>
        <w:t xml:space="preserve">בגין יחידה זו </w:t>
      </w:r>
      <w:r w:rsidR="00996045">
        <w:rPr>
          <w:rFonts w:hint="cs"/>
          <w:sz w:val="26"/>
          <w:szCs w:val="30"/>
          <w:rtl/>
        </w:rPr>
        <w:t xml:space="preserve">סכום לא מבוטל - </w:t>
      </w:r>
      <w:r w:rsidR="0043283A">
        <w:rPr>
          <w:rFonts w:hint="cs"/>
          <w:sz w:val="26"/>
          <w:szCs w:val="30"/>
          <w:rtl/>
        </w:rPr>
        <w:t>סך 275,569 ₪</w:t>
      </w:r>
      <w:r w:rsidR="00996045">
        <w:rPr>
          <w:rFonts w:hint="cs"/>
          <w:sz w:val="26"/>
          <w:szCs w:val="30"/>
          <w:rtl/>
        </w:rPr>
        <w:t xml:space="preserve">, שהוא </w:t>
      </w:r>
      <w:r w:rsidR="00B3679A">
        <w:rPr>
          <w:rFonts w:hint="cs"/>
          <w:sz w:val="26"/>
          <w:szCs w:val="30"/>
          <w:rtl/>
        </w:rPr>
        <w:t xml:space="preserve">מחצית </w:t>
      </w:r>
      <w:r w:rsidR="002C62E2">
        <w:rPr>
          <w:rFonts w:hint="cs"/>
          <w:sz w:val="26"/>
          <w:szCs w:val="30"/>
          <w:rtl/>
        </w:rPr>
        <w:t xml:space="preserve">התשלום </w:t>
      </w:r>
      <w:r w:rsidR="00804C5A">
        <w:rPr>
          <w:rFonts w:hint="cs"/>
          <w:sz w:val="26"/>
          <w:szCs w:val="30"/>
          <w:rtl/>
        </w:rPr>
        <w:t>הסכום הנקוב בגין יחידה בו ב</w:t>
      </w:r>
      <w:r w:rsidR="00B3679A">
        <w:rPr>
          <w:rFonts w:hint="cs"/>
          <w:sz w:val="26"/>
          <w:szCs w:val="30"/>
          <w:rtl/>
        </w:rPr>
        <w:t xml:space="preserve">"טבלת </w:t>
      </w:r>
      <w:r w:rsidR="00BA74C3">
        <w:rPr>
          <w:rFonts w:hint="cs"/>
          <w:sz w:val="26"/>
          <w:szCs w:val="30"/>
          <w:rtl/>
        </w:rPr>
        <w:t>עמידר</w:t>
      </w:r>
      <w:r w:rsidR="00B3679A">
        <w:rPr>
          <w:rFonts w:hint="cs"/>
          <w:sz w:val="26"/>
          <w:szCs w:val="30"/>
          <w:rtl/>
        </w:rPr>
        <w:t xml:space="preserve">" (27,964 ₪), בצירוף </w:t>
      </w:r>
      <w:r w:rsidR="0043283A">
        <w:rPr>
          <w:rFonts w:hint="cs"/>
          <w:sz w:val="26"/>
          <w:szCs w:val="30"/>
          <w:rtl/>
        </w:rPr>
        <w:t>ריבית שנתית צמודה ומצטברת בסך 7%</w:t>
      </w:r>
      <w:r w:rsidR="006D74CE">
        <w:rPr>
          <w:rFonts w:hint="cs"/>
          <w:sz w:val="26"/>
          <w:szCs w:val="30"/>
          <w:rtl/>
        </w:rPr>
        <w:t xml:space="preserve">. </w:t>
      </w:r>
      <w:r w:rsidR="001744E2">
        <w:rPr>
          <w:rFonts w:hint="cs"/>
          <w:sz w:val="26"/>
          <w:szCs w:val="30"/>
          <w:rtl/>
        </w:rPr>
        <w:t xml:space="preserve">אלא </w:t>
      </w:r>
      <w:r w:rsidR="006D74CE">
        <w:rPr>
          <w:rFonts w:hint="cs"/>
          <w:sz w:val="26"/>
          <w:szCs w:val="30"/>
          <w:rtl/>
        </w:rPr>
        <w:t>לטענת יורשי המנוח זקן</w:t>
      </w:r>
      <w:r w:rsidR="001744E2">
        <w:rPr>
          <w:rFonts w:hint="cs"/>
          <w:sz w:val="26"/>
          <w:szCs w:val="30"/>
          <w:rtl/>
        </w:rPr>
        <w:t xml:space="preserve"> בטיעוניהם לפניי</w:t>
      </w:r>
      <w:r w:rsidR="006D74CE">
        <w:rPr>
          <w:rFonts w:hint="cs"/>
          <w:sz w:val="26"/>
          <w:szCs w:val="30"/>
          <w:rtl/>
        </w:rPr>
        <w:t xml:space="preserve">, </w:t>
      </w:r>
      <w:r w:rsidR="001744E2">
        <w:rPr>
          <w:rFonts w:hint="cs"/>
          <w:sz w:val="26"/>
          <w:szCs w:val="30"/>
          <w:rtl/>
        </w:rPr>
        <w:t xml:space="preserve">זכאים </w:t>
      </w:r>
      <w:r w:rsidR="001744E2">
        <w:rPr>
          <w:rFonts w:hint="cs"/>
          <w:sz w:val="26"/>
          <w:szCs w:val="30"/>
          <w:rtl/>
        </w:rPr>
        <w:lastRenderedPageBreak/>
        <w:t xml:space="preserve">הם, </w:t>
      </w:r>
      <w:r w:rsidR="00B3679A">
        <w:rPr>
          <w:rFonts w:hint="cs"/>
          <w:sz w:val="26"/>
          <w:szCs w:val="30"/>
          <w:rtl/>
        </w:rPr>
        <w:t>בנוסף לסכום שננקב בטבלת רוטש</w:t>
      </w:r>
      <w:r w:rsidR="001744E2">
        <w:rPr>
          <w:rFonts w:hint="cs"/>
          <w:sz w:val="26"/>
          <w:szCs w:val="30"/>
          <w:rtl/>
        </w:rPr>
        <w:t>ט</w:t>
      </w:r>
      <w:r w:rsidR="00B3679A">
        <w:rPr>
          <w:rFonts w:hint="cs"/>
          <w:sz w:val="26"/>
          <w:szCs w:val="30"/>
          <w:rtl/>
        </w:rPr>
        <w:t>יין, ל15% נוספים</w:t>
      </w:r>
      <w:r w:rsidR="00804C5A">
        <w:rPr>
          <w:rFonts w:hint="cs"/>
          <w:sz w:val="26"/>
          <w:szCs w:val="30"/>
          <w:rtl/>
        </w:rPr>
        <w:t xml:space="preserve"> על  ה</w:t>
      </w:r>
      <w:r w:rsidR="00B3679A">
        <w:rPr>
          <w:rFonts w:hint="cs"/>
          <w:sz w:val="26"/>
          <w:szCs w:val="30"/>
          <w:rtl/>
        </w:rPr>
        <w:t>סכום שננקב בטבלת רוטש</w:t>
      </w:r>
      <w:r w:rsidR="00804C5A">
        <w:rPr>
          <w:rFonts w:hint="cs"/>
          <w:sz w:val="26"/>
          <w:szCs w:val="30"/>
          <w:rtl/>
        </w:rPr>
        <w:t>ט</w:t>
      </w:r>
      <w:r w:rsidR="00B3679A">
        <w:rPr>
          <w:rFonts w:hint="cs"/>
          <w:sz w:val="26"/>
          <w:szCs w:val="30"/>
          <w:rtl/>
        </w:rPr>
        <w:t>יי</w:t>
      </w:r>
      <w:r w:rsidR="00804C5A">
        <w:rPr>
          <w:rFonts w:hint="cs"/>
          <w:sz w:val="26"/>
          <w:szCs w:val="30"/>
          <w:rtl/>
        </w:rPr>
        <w:t>ן</w:t>
      </w:r>
      <w:r w:rsidR="00395154">
        <w:rPr>
          <w:rFonts w:hint="cs"/>
          <w:sz w:val="26"/>
          <w:szCs w:val="30"/>
          <w:rtl/>
        </w:rPr>
        <w:t xml:space="preserve"> (</w:t>
      </w:r>
      <w:r w:rsidR="00B37417">
        <w:rPr>
          <w:rFonts w:hint="cs"/>
          <w:sz w:val="26"/>
          <w:szCs w:val="30"/>
          <w:rtl/>
        </w:rPr>
        <w:t>מחצית מ</w:t>
      </w:r>
      <w:r w:rsidR="00395154">
        <w:rPr>
          <w:rFonts w:hint="cs"/>
          <w:sz w:val="26"/>
          <w:szCs w:val="30"/>
          <w:rtl/>
        </w:rPr>
        <w:t>15% של 55,928 ₪</w:t>
      </w:r>
      <w:r>
        <w:rPr>
          <w:rFonts w:hint="cs"/>
          <w:sz w:val="26"/>
          <w:szCs w:val="30"/>
          <w:rtl/>
        </w:rPr>
        <w:t xml:space="preserve"> - כלומר כ 8,300 ש"ח</w:t>
      </w:r>
      <w:r w:rsidR="00395154">
        <w:rPr>
          <w:rFonts w:hint="cs"/>
          <w:sz w:val="26"/>
          <w:szCs w:val="30"/>
          <w:rtl/>
        </w:rPr>
        <w:t>)</w:t>
      </w:r>
      <w:r w:rsidR="0043283A">
        <w:rPr>
          <w:rFonts w:hint="cs"/>
          <w:sz w:val="26"/>
          <w:szCs w:val="30"/>
          <w:rtl/>
        </w:rPr>
        <w:t xml:space="preserve">, בצירוף </w:t>
      </w:r>
      <w:r w:rsidR="00395154">
        <w:rPr>
          <w:rFonts w:hint="cs"/>
          <w:sz w:val="26"/>
          <w:szCs w:val="30"/>
          <w:rtl/>
        </w:rPr>
        <w:t>ריבית צמודה ומצטברת בשיעור 7%</w:t>
      </w:r>
      <w:r w:rsidR="008D33FE">
        <w:rPr>
          <w:rFonts w:hint="cs"/>
          <w:sz w:val="26"/>
          <w:szCs w:val="30"/>
          <w:rtl/>
        </w:rPr>
        <w:t>, וכן 4.5% + מע"מ בגין שכר טרחה</w:t>
      </w:r>
      <w:r w:rsidR="00395154">
        <w:rPr>
          <w:rFonts w:hint="cs"/>
          <w:sz w:val="26"/>
          <w:szCs w:val="30"/>
          <w:rtl/>
        </w:rPr>
        <w:t>, כפי שנכתב, לטענתם, בהסדר הפשרה שקיבל תוקף של פסק דין בע"א</w:t>
      </w:r>
      <w:r>
        <w:rPr>
          <w:rFonts w:hint="cs"/>
          <w:sz w:val="26"/>
          <w:szCs w:val="30"/>
          <w:rtl/>
        </w:rPr>
        <w:t xml:space="preserve"> 299/99. </w:t>
      </w:r>
      <w:r w:rsidR="008D33FE">
        <w:rPr>
          <w:rFonts w:hint="cs"/>
          <w:sz w:val="26"/>
          <w:szCs w:val="30"/>
          <w:rtl/>
        </w:rPr>
        <w:t xml:space="preserve">על פי חשבונם, </w:t>
      </w:r>
      <w:r>
        <w:rPr>
          <w:rFonts w:hint="cs"/>
          <w:sz w:val="26"/>
          <w:szCs w:val="30"/>
          <w:rtl/>
        </w:rPr>
        <w:t xml:space="preserve">הסכום המשוערך עמד </w:t>
      </w:r>
      <w:r w:rsidR="00804C5A">
        <w:rPr>
          <w:rFonts w:hint="cs"/>
          <w:sz w:val="26"/>
          <w:szCs w:val="30"/>
          <w:rtl/>
        </w:rPr>
        <w:t xml:space="preserve">בחודש נובמבר </w:t>
      </w:r>
      <w:r>
        <w:rPr>
          <w:rFonts w:hint="cs"/>
          <w:sz w:val="26"/>
          <w:szCs w:val="30"/>
          <w:rtl/>
        </w:rPr>
        <w:t xml:space="preserve">על </w:t>
      </w:r>
      <w:r w:rsidR="008D33FE">
        <w:rPr>
          <w:rFonts w:hint="cs"/>
          <w:sz w:val="26"/>
          <w:szCs w:val="30"/>
          <w:rtl/>
        </w:rPr>
        <w:t>סך 125,343.08 ₪, אשר מחציתו שייך ליורשי המנוח זקן.</w:t>
      </w:r>
      <w:r w:rsidR="00804C5A">
        <w:rPr>
          <w:rFonts w:hint="cs"/>
          <w:sz w:val="26"/>
          <w:szCs w:val="30"/>
          <w:rtl/>
        </w:rPr>
        <w:t xml:space="preserve"> </w:t>
      </w:r>
    </w:p>
    <w:p w:rsidR="009E1012" w:rsidRDefault="009E1012" w:rsidP="00F4262D">
      <w:pPr>
        <w:pStyle w:val="Arial"/>
        <w:rPr>
          <w:sz w:val="26"/>
          <w:szCs w:val="30"/>
          <w:rtl/>
        </w:rPr>
      </w:pPr>
    </w:p>
    <w:p w:rsidR="001744E2" w:rsidRDefault="00395154" w:rsidP="001744E2">
      <w:pPr>
        <w:pStyle w:val="Arial"/>
        <w:rPr>
          <w:sz w:val="26"/>
          <w:szCs w:val="30"/>
          <w:rtl/>
        </w:rPr>
      </w:pPr>
      <w:r>
        <w:rPr>
          <w:rFonts w:hint="cs"/>
          <w:sz w:val="26"/>
          <w:szCs w:val="30"/>
          <w:rtl/>
        </w:rPr>
        <w:t xml:space="preserve">יצויין </w:t>
      </w:r>
      <w:r w:rsidR="00BA77E7">
        <w:rPr>
          <w:rFonts w:hint="cs"/>
          <w:sz w:val="26"/>
          <w:szCs w:val="30"/>
          <w:rtl/>
        </w:rPr>
        <w:t xml:space="preserve">טענתם זו של יורשי זקן </w:t>
      </w:r>
      <w:r w:rsidR="00F344BD">
        <w:rPr>
          <w:rFonts w:hint="cs"/>
          <w:sz w:val="26"/>
          <w:szCs w:val="30"/>
          <w:rtl/>
        </w:rPr>
        <w:t xml:space="preserve">כיום </w:t>
      </w:r>
      <w:r w:rsidR="00BA77E7">
        <w:rPr>
          <w:rFonts w:hint="cs"/>
          <w:sz w:val="26"/>
          <w:szCs w:val="30"/>
          <w:rtl/>
        </w:rPr>
        <w:t xml:space="preserve">שונה </w:t>
      </w:r>
      <w:r w:rsidR="001744E2">
        <w:rPr>
          <w:rFonts w:hint="cs"/>
          <w:sz w:val="26"/>
          <w:szCs w:val="30"/>
          <w:rtl/>
        </w:rPr>
        <w:t xml:space="preserve">בתכלית </w:t>
      </w:r>
      <w:r w:rsidR="00BA77E7">
        <w:rPr>
          <w:rFonts w:hint="cs"/>
          <w:sz w:val="26"/>
          <w:szCs w:val="30"/>
          <w:rtl/>
        </w:rPr>
        <w:t xml:space="preserve">מטענתם </w:t>
      </w:r>
      <w:r>
        <w:rPr>
          <w:rFonts w:hint="cs"/>
          <w:sz w:val="26"/>
          <w:szCs w:val="30"/>
          <w:rtl/>
        </w:rPr>
        <w:t xml:space="preserve">במכתב מיום </w:t>
      </w:r>
      <w:r w:rsidR="00F344BD">
        <w:rPr>
          <w:rFonts w:hint="cs"/>
          <w:sz w:val="26"/>
          <w:szCs w:val="30"/>
          <w:rtl/>
        </w:rPr>
        <w:t>1</w:t>
      </w:r>
      <w:r>
        <w:rPr>
          <w:rFonts w:hint="cs"/>
          <w:sz w:val="26"/>
          <w:szCs w:val="30"/>
          <w:rtl/>
        </w:rPr>
        <w:t>7.1</w:t>
      </w:r>
      <w:r w:rsidR="00F344BD">
        <w:rPr>
          <w:rFonts w:hint="cs"/>
          <w:sz w:val="26"/>
          <w:szCs w:val="30"/>
          <w:rtl/>
        </w:rPr>
        <w:t>1</w:t>
      </w:r>
      <w:r>
        <w:rPr>
          <w:rFonts w:hint="cs"/>
          <w:sz w:val="26"/>
          <w:szCs w:val="30"/>
          <w:rtl/>
        </w:rPr>
        <w:t>.10</w:t>
      </w:r>
      <w:r w:rsidR="00BA77E7">
        <w:rPr>
          <w:rFonts w:hint="cs"/>
          <w:sz w:val="26"/>
          <w:szCs w:val="30"/>
          <w:rtl/>
        </w:rPr>
        <w:t>, שם נטען כי ה</w:t>
      </w:r>
      <w:r>
        <w:rPr>
          <w:rFonts w:hint="cs"/>
          <w:sz w:val="26"/>
          <w:szCs w:val="30"/>
          <w:rtl/>
        </w:rPr>
        <w:t xml:space="preserve">סכום </w:t>
      </w:r>
      <w:r w:rsidR="00BA77E7">
        <w:rPr>
          <w:rFonts w:hint="cs"/>
          <w:sz w:val="26"/>
          <w:szCs w:val="30"/>
          <w:rtl/>
        </w:rPr>
        <w:t>ה</w:t>
      </w:r>
      <w:r>
        <w:rPr>
          <w:rFonts w:hint="cs"/>
          <w:sz w:val="26"/>
          <w:szCs w:val="30"/>
          <w:rtl/>
        </w:rPr>
        <w:t>נוסף לו זכאים יורשי זקן</w:t>
      </w:r>
      <w:r w:rsidR="00BA77E7">
        <w:rPr>
          <w:rFonts w:hint="cs"/>
          <w:sz w:val="26"/>
          <w:szCs w:val="30"/>
          <w:rtl/>
        </w:rPr>
        <w:t xml:space="preserve"> </w:t>
      </w:r>
      <w:r w:rsidR="001744E2">
        <w:rPr>
          <w:rFonts w:hint="cs"/>
          <w:sz w:val="26"/>
          <w:szCs w:val="30"/>
          <w:rtl/>
        </w:rPr>
        <w:t xml:space="preserve">בעקבות מכירת יחידה 28 הוא </w:t>
      </w:r>
      <w:r>
        <w:rPr>
          <w:rFonts w:hint="cs"/>
          <w:sz w:val="26"/>
          <w:szCs w:val="30"/>
          <w:rtl/>
        </w:rPr>
        <w:t xml:space="preserve">12.5% מהמחיר בו מכרו הנאמנים את </w:t>
      </w:r>
      <w:r w:rsidR="001744E2">
        <w:rPr>
          <w:rFonts w:hint="cs"/>
          <w:sz w:val="26"/>
          <w:szCs w:val="30"/>
          <w:rtl/>
        </w:rPr>
        <w:t>היחידה 28</w:t>
      </w:r>
      <w:r w:rsidR="00013112">
        <w:rPr>
          <w:rFonts w:hint="cs"/>
          <w:sz w:val="26"/>
          <w:szCs w:val="30"/>
          <w:rtl/>
        </w:rPr>
        <w:t xml:space="preserve"> (כלומר, מחצית מ</w:t>
      </w:r>
      <w:r w:rsidR="00FE0DE5">
        <w:rPr>
          <w:rFonts w:hint="cs"/>
          <w:sz w:val="26"/>
          <w:szCs w:val="30"/>
          <w:rtl/>
        </w:rPr>
        <w:t xml:space="preserve">שיעור </w:t>
      </w:r>
      <w:r w:rsidR="00013112">
        <w:rPr>
          <w:rFonts w:hint="cs"/>
          <w:sz w:val="26"/>
          <w:szCs w:val="30"/>
          <w:rtl/>
        </w:rPr>
        <w:t>זכויות עמידר בדירה, שעמדו על 25%)</w:t>
      </w:r>
      <w:r w:rsidR="001744E2">
        <w:rPr>
          <w:rFonts w:hint="cs"/>
          <w:sz w:val="26"/>
          <w:szCs w:val="30"/>
          <w:rtl/>
        </w:rPr>
        <w:t>.</w:t>
      </w:r>
    </w:p>
    <w:p w:rsidR="00887080" w:rsidRDefault="00887080" w:rsidP="001744E2">
      <w:pPr>
        <w:pStyle w:val="Arial"/>
        <w:rPr>
          <w:sz w:val="26"/>
          <w:szCs w:val="30"/>
          <w:rtl/>
        </w:rPr>
      </w:pPr>
    </w:p>
    <w:p w:rsidR="001744E2" w:rsidRDefault="00D81A2E" w:rsidP="00B37417">
      <w:pPr>
        <w:pStyle w:val="Arial"/>
        <w:rPr>
          <w:sz w:val="26"/>
          <w:szCs w:val="30"/>
          <w:rtl/>
        </w:rPr>
      </w:pPr>
      <w:r>
        <w:rPr>
          <w:rFonts w:hint="cs"/>
          <w:sz w:val="26"/>
          <w:szCs w:val="30"/>
          <w:rtl/>
        </w:rPr>
        <w:t xml:space="preserve">כך או אחרת, </w:t>
      </w:r>
      <w:r w:rsidR="001744E2">
        <w:rPr>
          <w:rFonts w:hint="cs"/>
          <w:sz w:val="26"/>
          <w:szCs w:val="30"/>
          <w:rtl/>
        </w:rPr>
        <w:t>טענת יורשי המנוח זקן כי זכאים הם לתשלום נוסף בגין יחידה זו מעבר למה ששולם להם על ידי הנאמנים</w:t>
      </w:r>
      <w:r w:rsidR="00013112">
        <w:rPr>
          <w:rFonts w:hint="cs"/>
          <w:sz w:val="26"/>
          <w:szCs w:val="30"/>
          <w:rtl/>
        </w:rPr>
        <w:t>, בשיעור של 15%,</w:t>
      </w:r>
      <w:r w:rsidR="001744E2">
        <w:rPr>
          <w:rFonts w:hint="cs"/>
          <w:sz w:val="26"/>
          <w:szCs w:val="30"/>
          <w:rtl/>
        </w:rPr>
        <w:t xml:space="preserve"> איננה </w:t>
      </w:r>
      <w:r w:rsidR="00B37417">
        <w:rPr>
          <w:rFonts w:hint="cs"/>
          <w:sz w:val="26"/>
          <w:szCs w:val="30"/>
          <w:rtl/>
        </w:rPr>
        <w:t>עולה מן המסמכים עליהם מבקשים הם לבססה ואיננה מבוססת בדין.</w:t>
      </w:r>
    </w:p>
    <w:p w:rsidR="00013112" w:rsidRDefault="00013112" w:rsidP="00B37417">
      <w:pPr>
        <w:pStyle w:val="Arial"/>
        <w:rPr>
          <w:sz w:val="26"/>
          <w:szCs w:val="30"/>
          <w:rtl/>
        </w:rPr>
      </w:pPr>
    </w:p>
    <w:p w:rsidR="006B6B65" w:rsidRDefault="00013112" w:rsidP="003B2EEF">
      <w:pPr>
        <w:pStyle w:val="Arial"/>
        <w:rPr>
          <w:sz w:val="26"/>
          <w:szCs w:val="30"/>
          <w:rtl/>
        </w:rPr>
      </w:pPr>
      <w:r>
        <w:rPr>
          <w:rFonts w:hint="cs"/>
          <w:sz w:val="26"/>
          <w:szCs w:val="30"/>
          <w:rtl/>
        </w:rPr>
        <w:t xml:space="preserve">אכן בהסכם ובפסק הדין נזכר תשלום בסך </w:t>
      </w:r>
      <w:r w:rsidR="006B6B65">
        <w:rPr>
          <w:rFonts w:hint="cs"/>
          <w:sz w:val="26"/>
          <w:szCs w:val="30"/>
          <w:rtl/>
        </w:rPr>
        <w:t xml:space="preserve"> </w:t>
      </w:r>
      <w:r>
        <w:rPr>
          <w:rFonts w:hint="cs"/>
          <w:sz w:val="26"/>
          <w:szCs w:val="30"/>
          <w:rtl/>
        </w:rPr>
        <w:t>115%</w:t>
      </w:r>
      <w:r w:rsidR="006B6B65">
        <w:rPr>
          <w:rFonts w:hint="cs"/>
          <w:sz w:val="26"/>
          <w:szCs w:val="30"/>
          <w:rtl/>
        </w:rPr>
        <w:t xml:space="preserve"> (נכתב כי עדיקה ויורשי זקן "זכאים להשבה בגין הכספים ששילמו ביתר (מעל 115% משווי דירותיהם האישיות עובר לרכישה)"</w:t>
      </w:r>
      <w:r w:rsidR="00FE0DE5">
        <w:rPr>
          <w:rFonts w:hint="cs"/>
          <w:sz w:val="26"/>
          <w:szCs w:val="30"/>
          <w:rtl/>
        </w:rPr>
        <w:t>)</w:t>
      </w:r>
      <w:r w:rsidR="006B6B65">
        <w:rPr>
          <w:rFonts w:hint="cs"/>
          <w:sz w:val="26"/>
          <w:szCs w:val="30"/>
          <w:rtl/>
        </w:rPr>
        <w:t>. דבר</w:t>
      </w:r>
      <w:r w:rsidR="003B2EEF">
        <w:rPr>
          <w:rFonts w:hint="cs"/>
          <w:sz w:val="26"/>
          <w:szCs w:val="30"/>
          <w:rtl/>
        </w:rPr>
        <w:t xml:space="preserve">ים אלו אינם מקימים כלל ועיקר </w:t>
      </w:r>
      <w:r>
        <w:rPr>
          <w:rFonts w:hint="cs"/>
          <w:sz w:val="26"/>
          <w:szCs w:val="30"/>
          <w:rtl/>
        </w:rPr>
        <w:t>זכאות להחזר בשיעור של 115%</w:t>
      </w:r>
      <w:r w:rsidR="006B6B65">
        <w:rPr>
          <w:rFonts w:hint="cs"/>
          <w:sz w:val="26"/>
          <w:szCs w:val="30"/>
          <w:rtl/>
        </w:rPr>
        <w:t xml:space="preserve"> משווי זכות עמידר בדירה</w:t>
      </w:r>
      <w:r>
        <w:rPr>
          <w:rFonts w:hint="cs"/>
          <w:sz w:val="26"/>
          <w:szCs w:val="30"/>
          <w:rtl/>
        </w:rPr>
        <w:t xml:space="preserve">. </w:t>
      </w:r>
      <w:r w:rsidR="006B6B65">
        <w:rPr>
          <w:rFonts w:hint="cs"/>
          <w:sz w:val="26"/>
          <w:szCs w:val="30"/>
          <w:rtl/>
        </w:rPr>
        <w:t>אכן, הוסכם ונפסק כי עדיקא וזקן זכאים להשבת מה ששילמו ביתר. אך לא הוסכם ולא נפסק שעדיקא וזקן שילמו</w:t>
      </w:r>
      <w:r w:rsidR="003B2EEF">
        <w:rPr>
          <w:rFonts w:hint="cs"/>
          <w:sz w:val="26"/>
          <w:szCs w:val="30"/>
          <w:rtl/>
        </w:rPr>
        <w:t xml:space="preserve"> ביתר</w:t>
      </w:r>
      <w:r w:rsidR="006B6B65">
        <w:rPr>
          <w:rFonts w:hint="cs"/>
          <w:sz w:val="26"/>
          <w:szCs w:val="30"/>
          <w:rtl/>
        </w:rPr>
        <w:t xml:space="preserve"> עבור דירה 28 </w:t>
      </w:r>
      <w:r w:rsidR="006B6B65">
        <w:rPr>
          <w:sz w:val="26"/>
          <w:szCs w:val="30"/>
          <w:rtl/>
        </w:rPr>
        <w:t>–</w:t>
      </w:r>
      <w:r w:rsidR="006B6B65">
        <w:rPr>
          <w:rFonts w:hint="cs"/>
          <w:sz w:val="26"/>
          <w:szCs w:val="30"/>
          <w:rtl/>
        </w:rPr>
        <w:t xml:space="preserve"> או דירה אחרת מדירות המריבה </w:t>
      </w:r>
      <w:r w:rsidR="006B6B65">
        <w:rPr>
          <w:sz w:val="26"/>
          <w:szCs w:val="30"/>
          <w:rtl/>
        </w:rPr>
        <w:t>–</w:t>
      </w:r>
      <w:r w:rsidR="006B6B65">
        <w:rPr>
          <w:rFonts w:hint="cs"/>
          <w:sz w:val="26"/>
          <w:szCs w:val="30"/>
          <w:rtl/>
        </w:rPr>
        <w:t xml:space="preserve"> סכום השווה ל 115% משווי זכות עמידר בה. </w:t>
      </w:r>
      <w:r w:rsidR="003B2EEF">
        <w:rPr>
          <w:rFonts w:hint="cs"/>
          <w:sz w:val="26"/>
          <w:szCs w:val="30"/>
          <w:rtl/>
        </w:rPr>
        <w:t xml:space="preserve">אדרבא, </w:t>
      </w:r>
      <w:r>
        <w:rPr>
          <w:rFonts w:hint="cs"/>
          <w:sz w:val="26"/>
          <w:szCs w:val="30"/>
          <w:rtl/>
        </w:rPr>
        <w:t>האיזכור של</w:t>
      </w:r>
      <w:r w:rsidR="006B6B65">
        <w:rPr>
          <w:rFonts w:hint="cs"/>
          <w:sz w:val="26"/>
          <w:szCs w:val="30"/>
          <w:rtl/>
        </w:rPr>
        <w:t xml:space="preserve"> 115%</w:t>
      </w:r>
      <w:r w:rsidR="009816F6">
        <w:rPr>
          <w:rFonts w:hint="cs"/>
          <w:sz w:val="26"/>
          <w:szCs w:val="30"/>
          <w:rtl/>
        </w:rPr>
        <w:t xml:space="preserve"> </w:t>
      </w:r>
      <w:r w:rsidR="006B6B65">
        <w:rPr>
          <w:rFonts w:hint="cs"/>
          <w:sz w:val="26"/>
          <w:szCs w:val="30"/>
          <w:rtl/>
        </w:rPr>
        <w:t xml:space="preserve">בפסק הדין ובהסכם הפשרה הינו לצורך הבהרה מה הוא הסכום ששולם בידי עדיקא וזקן אשר </w:t>
      </w:r>
      <w:r w:rsidR="006B6B65" w:rsidRPr="006B6B65">
        <w:rPr>
          <w:rFonts w:cs="Miriam" w:hint="cs"/>
          <w:szCs w:val="24"/>
          <w:u w:val="single"/>
          <w:rtl/>
        </w:rPr>
        <w:t xml:space="preserve">לא </w:t>
      </w:r>
      <w:r w:rsidR="006B6B65">
        <w:rPr>
          <w:rFonts w:hint="cs"/>
          <w:sz w:val="26"/>
          <w:szCs w:val="30"/>
          <w:rtl/>
        </w:rPr>
        <w:t xml:space="preserve">ייחשב בתשלום ביתר, ואשר </w:t>
      </w:r>
      <w:r w:rsidR="006B6B65" w:rsidRPr="003B2EEF">
        <w:rPr>
          <w:rFonts w:cs="Miriam" w:hint="cs"/>
          <w:szCs w:val="24"/>
          <w:u w:val="single"/>
          <w:rtl/>
        </w:rPr>
        <w:t>לא</w:t>
      </w:r>
      <w:r w:rsidR="006B6B65">
        <w:rPr>
          <w:rFonts w:hint="cs"/>
          <w:sz w:val="26"/>
          <w:szCs w:val="30"/>
          <w:rtl/>
        </w:rPr>
        <w:t xml:space="preserve"> יושב להם,</w:t>
      </w:r>
      <w:r w:rsidR="009816F6">
        <w:rPr>
          <w:rFonts w:hint="cs"/>
          <w:sz w:val="26"/>
          <w:szCs w:val="30"/>
          <w:rtl/>
        </w:rPr>
        <w:t xml:space="preserve"> </w:t>
      </w:r>
      <w:r w:rsidR="006B6B65">
        <w:rPr>
          <w:rFonts w:hint="cs"/>
          <w:sz w:val="26"/>
          <w:szCs w:val="30"/>
          <w:rtl/>
        </w:rPr>
        <w:t>ולא כפי שמבקשים עתה יורשי זקן לטעון.</w:t>
      </w:r>
    </w:p>
    <w:p w:rsidR="001744E2" w:rsidRDefault="001744E2" w:rsidP="001744E2">
      <w:pPr>
        <w:pStyle w:val="Arial"/>
        <w:rPr>
          <w:sz w:val="26"/>
          <w:szCs w:val="30"/>
          <w:rtl/>
        </w:rPr>
      </w:pPr>
    </w:p>
    <w:p w:rsidR="003B2EEF" w:rsidRDefault="003B2EEF" w:rsidP="001744E2">
      <w:pPr>
        <w:pStyle w:val="Arial"/>
        <w:rPr>
          <w:sz w:val="26"/>
          <w:szCs w:val="30"/>
          <w:rtl/>
        </w:rPr>
      </w:pPr>
      <w:r>
        <w:rPr>
          <w:rFonts w:hint="cs"/>
          <w:sz w:val="26"/>
          <w:szCs w:val="30"/>
          <w:rtl/>
        </w:rPr>
        <w:t>בדין דחו איפוא הנאמנים את טיעונם של יורשי המנוח זקן בהקשר זה.</w:t>
      </w:r>
    </w:p>
    <w:p w:rsidR="00FE0DE5" w:rsidRDefault="00FE0DE5" w:rsidP="00C54FEB">
      <w:pPr>
        <w:pStyle w:val="Arial"/>
        <w:rPr>
          <w:sz w:val="26"/>
          <w:szCs w:val="30"/>
          <w:rtl/>
        </w:rPr>
      </w:pPr>
    </w:p>
    <w:p w:rsidR="00FF362C" w:rsidRDefault="001C6FFD" w:rsidP="00C54FEB">
      <w:pPr>
        <w:pStyle w:val="Arial"/>
        <w:rPr>
          <w:sz w:val="26"/>
          <w:szCs w:val="30"/>
          <w:rtl/>
        </w:rPr>
      </w:pPr>
      <w:r>
        <w:rPr>
          <w:rFonts w:hint="cs"/>
          <w:sz w:val="26"/>
          <w:szCs w:val="30"/>
          <w:rtl/>
        </w:rPr>
        <w:t>טענת יורשי המנוח זקן לזכאות לסכום נוסף מעבר למה ששולם להם מן התמורה שהתקבלה ממכירת דירה 28 נדחית</w:t>
      </w:r>
      <w:r w:rsidR="00C54FEB">
        <w:rPr>
          <w:rFonts w:hint="cs"/>
          <w:sz w:val="26"/>
          <w:szCs w:val="30"/>
          <w:rtl/>
        </w:rPr>
        <w:t xml:space="preserve"> איפוא</w:t>
      </w:r>
      <w:r w:rsidR="00DA64DB">
        <w:rPr>
          <w:rFonts w:hint="cs"/>
          <w:sz w:val="26"/>
          <w:szCs w:val="30"/>
          <w:rtl/>
        </w:rPr>
        <w:t xml:space="preserve">. </w:t>
      </w:r>
      <w:r w:rsidR="00FF362C">
        <w:rPr>
          <w:rFonts w:hint="cs"/>
          <w:sz w:val="26"/>
          <w:szCs w:val="30"/>
          <w:rtl/>
        </w:rPr>
        <w:t xml:space="preserve"> </w:t>
      </w:r>
    </w:p>
    <w:p w:rsidR="00FF362C" w:rsidRDefault="00FF362C" w:rsidP="00FF362C">
      <w:pPr>
        <w:pStyle w:val="Arial"/>
        <w:rPr>
          <w:sz w:val="26"/>
          <w:szCs w:val="30"/>
          <w:highlight w:val="yellow"/>
          <w:rtl/>
        </w:rPr>
      </w:pPr>
    </w:p>
    <w:p w:rsidR="00C54FEB" w:rsidRDefault="00C54FEB" w:rsidP="00FF362C">
      <w:pPr>
        <w:pStyle w:val="Arial"/>
        <w:rPr>
          <w:rFonts w:cs="Miriam"/>
          <w:szCs w:val="24"/>
          <w:rtl/>
        </w:rPr>
      </w:pPr>
      <w:r w:rsidRPr="009816F6">
        <w:rPr>
          <w:rFonts w:cs="Miriam" w:hint="cs"/>
          <w:szCs w:val="24"/>
          <w:rtl/>
        </w:rPr>
        <w:t>טענות מר מרדכי זקן</w:t>
      </w:r>
    </w:p>
    <w:p w:rsidR="009816F6" w:rsidRPr="009816F6" w:rsidRDefault="009816F6" w:rsidP="00FF362C">
      <w:pPr>
        <w:pStyle w:val="Arial"/>
        <w:rPr>
          <w:rFonts w:cs="Miriam"/>
          <w:szCs w:val="24"/>
          <w:rtl/>
        </w:rPr>
      </w:pPr>
    </w:p>
    <w:p w:rsidR="001968EB" w:rsidRDefault="001968EB" w:rsidP="00F4262D">
      <w:pPr>
        <w:pStyle w:val="Arial"/>
        <w:rPr>
          <w:sz w:val="26"/>
          <w:szCs w:val="30"/>
          <w:rtl/>
        </w:rPr>
      </w:pPr>
      <w:r>
        <w:rPr>
          <w:rFonts w:hint="cs"/>
          <w:sz w:val="26"/>
          <w:szCs w:val="30"/>
          <w:rtl/>
        </w:rPr>
        <w:t>בנוסף, הועלו טענות מטעמו של מר מרדכי זקן</w:t>
      </w:r>
      <w:r w:rsidR="00395154">
        <w:rPr>
          <w:rFonts w:hint="cs"/>
          <w:sz w:val="26"/>
          <w:szCs w:val="30"/>
          <w:rtl/>
        </w:rPr>
        <w:t xml:space="preserve">, אחיו </w:t>
      </w:r>
      <w:r w:rsidR="003C2FF7">
        <w:rPr>
          <w:rFonts w:hint="cs"/>
          <w:sz w:val="26"/>
          <w:szCs w:val="30"/>
          <w:rtl/>
        </w:rPr>
        <w:t xml:space="preserve">יבלח"א </w:t>
      </w:r>
      <w:r w:rsidR="00395154">
        <w:rPr>
          <w:rFonts w:hint="cs"/>
          <w:sz w:val="26"/>
          <w:szCs w:val="30"/>
          <w:rtl/>
        </w:rPr>
        <w:t>של המנוח משה ז</w:t>
      </w:r>
      <w:r w:rsidR="003C2FF7">
        <w:rPr>
          <w:rFonts w:hint="cs"/>
          <w:sz w:val="26"/>
          <w:szCs w:val="30"/>
          <w:rtl/>
        </w:rPr>
        <w:t>ק</w:t>
      </w:r>
      <w:r w:rsidR="00395154">
        <w:rPr>
          <w:rFonts w:hint="cs"/>
          <w:sz w:val="26"/>
          <w:szCs w:val="30"/>
          <w:rtl/>
        </w:rPr>
        <w:t>ן</w:t>
      </w:r>
      <w:r w:rsidR="009816F6">
        <w:rPr>
          <w:rFonts w:hint="cs"/>
          <w:sz w:val="26"/>
          <w:szCs w:val="30"/>
          <w:rtl/>
        </w:rPr>
        <w:t xml:space="preserve"> כדלקמן</w:t>
      </w:r>
      <w:r>
        <w:rPr>
          <w:rFonts w:hint="cs"/>
          <w:sz w:val="26"/>
          <w:szCs w:val="30"/>
          <w:rtl/>
        </w:rPr>
        <w:t>:</w:t>
      </w:r>
    </w:p>
    <w:p w:rsidR="009816F6" w:rsidRDefault="009816F6" w:rsidP="00F4262D">
      <w:pPr>
        <w:pStyle w:val="Arial"/>
        <w:rPr>
          <w:sz w:val="26"/>
          <w:szCs w:val="30"/>
          <w:rtl/>
        </w:rPr>
      </w:pPr>
    </w:p>
    <w:p w:rsidR="001968EB" w:rsidRDefault="001968EB" w:rsidP="003B2EEF">
      <w:pPr>
        <w:pStyle w:val="Arial"/>
        <w:ind w:left="720" w:hanging="720"/>
        <w:rPr>
          <w:sz w:val="26"/>
          <w:szCs w:val="30"/>
          <w:rtl/>
        </w:rPr>
      </w:pPr>
      <w:r>
        <w:rPr>
          <w:rFonts w:hint="cs"/>
          <w:sz w:val="26"/>
          <w:szCs w:val="30"/>
          <w:rtl/>
        </w:rPr>
        <w:t>א.</w:t>
      </w:r>
      <w:r>
        <w:rPr>
          <w:sz w:val="26"/>
          <w:szCs w:val="30"/>
          <w:rtl/>
        </w:rPr>
        <w:tab/>
      </w:r>
      <w:r>
        <w:rPr>
          <w:rFonts w:hint="cs"/>
          <w:sz w:val="26"/>
          <w:szCs w:val="30"/>
          <w:rtl/>
        </w:rPr>
        <w:t>בקשר ליחידות מס' 47 ו-48 מצטרף מר זקן לטענות יורשי אחיו באשר לזכאותם לכספים שיש לחלק בגין יחידות אלו שנרכשו ממר דוד יצחקי</w:t>
      </w:r>
      <w:r w:rsidR="00251DD0">
        <w:rPr>
          <w:rFonts w:hint="cs"/>
          <w:sz w:val="26"/>
          <w:szCs w:val="30"/>
          <w:rtl/>
        </w:rPr>
        <w:t xml:space="preserve">, טענות שמקובלות </w:t>
      </w:r>
      <w:r w:rsidR="003B2EEF">
        <w:rPr>
          <w:rFonts w:hint="cs"/>
          <w:sz w:val="26"/>
          <w:szCs w:val="30"/>
          <w:rtl/>
        </w:rPr>
        <w:t>כאמור לעיל.</w:t>
      </w:r>
    </w:p>
    <w:p w:rsidR="009816F6" w:rsidRDefault="009816F6" w:rsidP="003B2EEF">
      <w:pPr>
        <w:pStyle w:val="Arial"/>
        <w:ind w:left="720" w:hanging="720"/>
        <w:rPr>
          <w:sz w:val="26"/>
          <w:szCs w:val="30"/>
          <w:rtl/>
        </w:rPr>
      </w:pPr>
    </w:p>
    <w:p w:rsidR="001968EB" w:rsidRDefault="001968EB" w:rsidP="00A42F9D">
      <w:pPr>
        <w:pStyle w:val="Arial"/>
        <w:ind w:left="720" w:hanging="720"/>
        <w:rPr>
          <w:sz w:val="26"/>
          <w:szCs w:val="30"/>
          <w:rtl/>
        </w:rPr>
      </w:pPr>
      <w:r>
        <w:rPr>
          <w:rFonts w:hint="cs"/>
          <w:sz w:val="26"/>
          <w:szCs w:val="30"/>
          <w:rtl/>
        </w:rPr>
        <w:t>ב.</w:t>
      </w:r>
      <w:r>
        <w:rPr>
          <w:rFonts w:hint="cs"/>
          <w:sz w:val="26"/>
          <w:szCs w:val="30"/>
          <w:rtl/>
        </w:rPr>
        <w:tab/>
        <w:t xml:space="preserve">בנוסף טוען מר מרדכי זקן כי </w:t>
      </w:r>
      <w:r w:rsidR="00B211C8">
        <w:rPr>
          <w:rFonts w:hint="cs"/>
          <w:sz w:val="26"/>
          <w:szCs w:val="30"/>
          <w:rtl/>
        </w:rPr>
        <w:t>עוד בשנת 93' רכש, לבדו, בשלמות, את כל זכויותיה של עמידר ביחידה זו</w:t>
      </w:r>
      <w:r w:rsidR="00A42F9D">
        <w:rPr>
          <w:rFonts w:hint="cs"/>
          <w:sz w:val="26"/>
          <w:szCs w:val="30"/>
          <w:rtl/>
        </w:rPr>
        <w:t xml:space="preserve"> מהנאמנים, אולם בטעות אלו מכרו את הזכויות ביחידה זו שנית למר דוד יצחקי. נטען כי יש להשיב למר מרדכי זקן את הסכום ששילם לנאמנים בעת הרכישה הראשונה בצירוף הפרשי הצמדה וריבית כדין. בנוסף יש לפצות את מר מרדכי זקן בגין עגמת נפש, אבדן זמן והוצאות, בשל התנהלות הנאמנים שאינם משיבים דבר באשר לטעות שביצעו ומגלים אי אכפתיות כלפי מר זקן משך תקופה ארוכה.</w:t>
      </w:r>
    </w:p>
    <w:p w:rsidR="003B2EEF" w:rsidRDefault="003B2EEF" w:rsidP="00A42F9D">
      <w:pPr>
        <w:pStyle w:val="Arial"/>
        <w:ind w:left="720" w:hanging="720"/>
        <w:rPr>
          <w:sz w:val="26"/>
          <w:szCs w:val="30"/>
          <w:rtl/>
        </w:rPr>
      </w:pPr>
    </w:p>
    <w:p w:rsidR="007F41E5" w:rsidRDefault="00C54FEB" w:rsidP="009816F6">
      <w:pPr>
        <w:pStyle w:val="Arial"/>
        <w:rPr>
          <w:sz w:val="26"/>
          <w:szCs w:val="30"/>
          <w:rtl/>
        </w:rPr>
      </w:pPr>
      <w:r>
        <w:rPr>
          <w:rFonts w:hint="cs"/>
          <w:sz w:val="26"/>
          <w:szCs w:val="30"/>
          <w:rtl/>
        </w:rPr>
        <w:t>אחר שעיינתי באסמכתאות שהציג מר מרדכי זקן לטענתו כי רכש מן נאמנים זכויות ביחידה 48 ושילם להם ממון הנמצא בקופת הנאמנות בגין כך, סבורה אני כי מר זקן לא הוכיח את טענתו ואין הוא זכאי להחזר המבוקש.</w:t>
      </w:r>
      <w:r w:rsidR="007F41E5">
        <w:rPr>
          <w:rFonts w:hint="cs"/>
          <w:sz w:val="26"/>
          <w:szCs w:val="30"/>
          <w:rtl/>
        </w:rPr>
        <w:t xml:space="preserve"> מר זקן לא הציג כל אסמכתא ישירה לתשלום אל הנאמנים. מדובר בטענה לתשלום שבוצע כנטען לפי עשרות בשנים, בלא שמר זקן דרש את החזרתו מהנאמנים. </w:t>
      </w:r>
      <w:r w:rsidR="00FE0DE5">
        <w:rPr>
          <w:rFonts w:hint="cs"/>
          <w:sz w:val="26"/>
          <w:szCs w:val="30"/>
          <w:rtl/>
        </w:rPr>
        <w:t xml:space="preserve">בנסיבות אלו נחוצות ראיות נכבדות להוכחת הטענה. ראיות כאלו לא הוצגו, אלא </w:t>
      </w:r>
      <w:r w:rsidR="00F575DE">
        <w:rPr>
          <w:rFonts w:hint="cs"/>
          <w:sz w:val="26"/>
          <w:szCs w:val="30"/>
          <w:rtl/>
        </w:rPr>
        <w:t xml:space="preserve">הוצג אוסף מסמכים שצירופם </w:t>
      </w:r>
      <w:r w:rsidR="00F575DE">
        <w:rPr>
          <w:rFonts w:hint="cs"/>
          <w:sz w:val="26"/>
          <w:szCs w:val="30"/>
          <w:rtl/>
        </w:rPr>
        <w:lastRenderedPageBreak/>
        <w:t xml:space="preserve">זה אל זה מבסס לא יותר מהשערה </w:t>
      </w:r>
      <w:r w:rsidR="009816F6">
        <w:rPr>
          <w:rFonts w:hint="cs"/>
          <w:sz w:val="26"/>
          <w:szCs w:val="30"/>
          <w:rtl/>
        </w:rPr>
        <w:t xml:space="preserve">ספקלוטיבית </w:t>
      </w:r>
      <w:r w:rsidR="00F575DE">
        <w:rPr>
          <w:rFonts w:hint="cs"/>
          <w:sz w:val="26"/>
          <w:szCs w:val="30"/>
          <w:rtl/>
        </w:rPr>
        <w:t xml:space="preserve">שמר מרדכי זקן רכש את הזכויות בזמנו. בהעדר אסמכתא משכנעת לטענה כי מר מרדכי זקן הפקיד בידי הנאמנים תשלום בגין יחידה 48, נדחית </w:t>
      </w:r>
      <w:r w:rsidR="007F41E5">
        <w:rPr>
          <w:rFonts w:hint="cs"/>
          <w:sz w:val="26"/>
          <w:szCs w:val="30"/>
          <w:rtl/>
        </w:rPr>
        <w:t>דרישתו של מר זקן להורות לנאמנים לשלם לו בגין מה שהפקיד בידיהם כנטען בקשר עם יחידה 48.</w:t>
      </w:r>
    </w:p>
    <w:p w:rsidR="00527541" w:rsidRDefault="00527541" w:rsidP="00527541">
      <w:pPr>
        <w:pStyle w:val="Arial"/>
        <w:rPr>
          <w:sz w:val="26"/>
          <w:szCs w:val="30"/>
          <w:rtl/>
        </w:rPr>
      </w:pPr>
    </w:p>
    <w:p w:rsidR="00C54FEB" w:rsidRPr="00527541" w:rsidRDefault="00527541" w:rsidP="00527541">
      <w:pPr>
        <w:pStyle w:val="Arial"/>
        <w:rPr>
          <w:rFonts w:cs="Miriam"/>
          <w:szCs w:val="24"/>
          <w:rtl/>
        </w:rPr>
      </w:pPr>
      <w:r w:rsidRPr="00527541">
        <w:rPr>
          <w:rFonts w:cs="Miriam" w:hint="cs"/>
          <w:szCs w:val="24"/>
          <w:rtl/>
        </w:rPr>
        <w:t>שונות</w:t>
      </w:r>
    </w:p>
    <w:p w:rsidR="00527541" w:rsidRDefault="00527541" w:rsidP="00532516">
      <w:pPr>
        <w:pStyle w:val="Arial"/>
        <w:rPr>
          <w:sz w:val="26"/>
          <w:szCs w:val="30"/>
          <w:rtl/>
        </w:rPr>
      </w:pPr>
    </w:p>
    <w:p w:rsidR="00DC08B3" w:rsidRDefault="00DC08B3" w:rsidP="00532516">
      <w:pPr>
        <w:pStyle w:val="Arial"/>
        <w:rPr>
          <w:sz w:val="26"/>
          <w:szCs w:val="30"/>
          <w:rtl/>
        </w:rPr>
      </w:pPr>
      <w:r>
        <w:rPr>
          <w:rFonts w:hint="cs"/>
          <w:sz w:val="26"/>
          <w:szCs w:val="30"/>
          <w:rtl/>
        </w:rPr>
        <w:t xml:space="preserve">בנוסף התייצבו לדיון עורכי דינם של מר משה כהן עדקי ובעז תמיר, כמו גם מר אלי לוי ואברהם כהן, שצידדו בעמדת </w:t>
      </w:r>
      <w:r w:rsidR="005A67A3">
        <w:rPr>
          <w:rFonts w:hint="cs"/>
          <w:sz w:val="26"/>
          <w:szCs w:val="30"/>
          <w:rtl/>
        </w:rPr>
        <w:t>הנאמנים</w:t>
      </w:r>
      <w:r>
        <w:rPr>
          <w:rFonts w:hint="cs"/>
          <w:sz w:val="26"/>
          <w:szCs w:val="30"/>
          <w:rtl/>
        </w:rPr>
        <w:t xml:space="preserve"> על פיה יש לבצע את החלוקה על פי הסכומים ששולמו בזמנו, ואין מקום לשלם סכומים עודפים כלשהם למר זקן, למר עדיקה או ליורשי זקן. </w:t>
      </w:r>
      <w:r w:rsidR="00532516">
        <w:rPr>
          <w:rFonts w:hint="cs"/>
          <w:sz w:val="26"/>
          <w:szCs w:val="30"/>
          <w:rtl/>
        </w:rPr>
        <w:t>כך גם היתה עורך דינו של מר שמואל ווהבה.</w:t>
      </w:r>
    </w:p>
    <w:p w:rsidR="00DC08B3" w:rsidRDefault="00DC08B3" w:rsidP="00DC08B3">
      <w:pPr>
        <w:pStyle w:val="Arial"/>
        <w:rPr>
          <w:sz w:val="26"/>
          <w:szCs w:val="30"/>
          <w:rtl/>
        </w:rPr>
      </w:pPr>
    </w:p>
    <w:p w:rsidR="00F575DE" w:rsidRDefault="00DC08B3" w:rsidP="00532516">
      <w:pPr>
        <w:pStyle w:val="Arial"/>
        <w:rPr>
          <w:sz w:val="26"/>
          <w:szCs w:val="30"/>
          <w:rtl/>
        </w:rPr>
      </w:pPr>
      <w:r>
        <w:rPr>
          <w:rFonts w:hint="cs"/>
          <w:sz w:val="26"/>
          <w:szCs w:val="30"/>
          <w:rtl/>
        </w:rPr>
        <w:t>עוד התייצב עו"ד אריאל אזולאי בשמם של מר אבי בנימיני, מר רונן מור ומר דניאל סבח, שאינם "רוכשים מקוריים", אולם לטענתם רכשו מרוכשים מקוריים את מלוא הזכויות בגין חלק מהיחידות ולטענתם זכאים הם לחלקם היחסי בסכום העומד לחלוקה.</w:t>
      </w:r>
      <w:r w:rsidR="00395154">
        <w:rPr>
          <w:rFonts w:hint="cs"/>
          <w:sz w:val="26"/>
          <w:szCs w:val="30"/>
          <w:rtl/>
        </w:rPr>
        <w:t xml:space="preserve"> עו"ד אזולאי הסכים כי לצורך הוכחת זכותו עליו להציג מסמך מטעם הרוכשים המקוריים, וביקש כי יוקצה לו פרק זמן למטרה זו, </w:t>
      </w:r>
      <w:r w:rsidR="00F46794">
        <w:rPr>
          <w:rFonts w:hint="cs"/>
          <w:sz w:val="26"/>
          <w:szCs w:val="30"/>
          <w:rtl/>
        </w:rPr>
        <w:t xml:space="preserve">על מנת שבפרק זמן זה יגיע להסכמה </w:t>
      </w:r>
      <w:r w:rsidR="00532516">
        <w:rPr>
          <w:rFonts w:hint="cs"/>
          <w:sz w:val="26"/>
          <w:szCs w:val="30"/>
          <w:rtl/>
        </w:rPr>
        <w:t>ע</w:t>
      </w:r>
      <w:r w:rsidR="00F46794">
        <w:rPr>
          <w:rFonts w:hint="cs"/>
          <w:sz w:val="26"/>
          <w:szCs w:val="30"/>
          <w:rtl/>
        </w:rPr>
        <w:t xml:space="preserve">ם הרוכשים המקוריים ולחלופין יפתח בהליך משפטי מולם, ואזיי תעוכב חלוקת היתרה הנוגעת לדירות מרשיו עד לתום ההליך. הנאמנים לא התנגדו להסדר זה. </w:t>
      </w:r>
    </w:p>
    <w:p w:rsidR="00F575DE" w:rsidRDefault="00F575DE" w:rsidP="00DF3F68">
      <w:pPr>
        <w:pStyle w:val="Arial"/>
        <w:rPr>
          <w:sz w:val="26"/>
          <w:szCs w:val="30"/>
          <w:rtl/>
        </w:rPr>
      </w:pPr>
    </w:p>
    <w:p w:rsidR="00E2793D" w:rsidRDefault="00F46794" w:rsidP="00532516">
      <w:pPr>
        <w:pStyle w:val="Arial"/>
        <w:rPr>
          <w:sz w:val="26"/>
          <w:szCs w:val="30"/>
          <w:rtl/>
        </w:rPr>
      </w:pPr>
      <w:r>
        <w:rPr>
          <w:rFonts w:hint="cs"/>
          <w:sz w:val="26"/>
          <w:szCs w:val="30"/>
          <w:rtl/>
        </w:rPr>
        <w:t>פרק הזמן המוקצה להשגת ה</w:t>
      </w:r>
      <w:r w:rsidR="00F575DE">
        <w:rPr>
          <w:rFonts w:hint="cs"/>
          <w:sz w:val="26"/>
          <w:szCs w:val="30"/>
          <w:rtl/>
        </w:rPr>
        <w:t xml:space="preserve">סכמה או הגשת תובענה הוא עד ליום </w:t>
      </w:r>
      <w:r w:rsidR="00532516">
        <w:rPr>
          <w:rFonts w:hint="cs"/>
          <w:sz w:val="26"/>
          <w:szCs w:val="30"/>
          <w:rtl/>
        </w:rPr>
        <w:t>1.7.18</w:t>
      </w:r>
      <w:r w:rsidR="008F460A">
        <w:rPr>
          <w:rFonts w:hint="cs"/>
          <w:sz w:val="26"/>
          <w:szCs w:val="30"/>
          <w:rtl/>
        </w:rPr>
        <w:t>. אם לא ינקטו מ</w:t>
      </w:r>
      <w:r>
        <w:rPr>
          <w:rFonts w:hint="cs"/>
          <w:sz w:val="26"/>
          <w:szCs w:val="30"/>
          <w:rtl/>
        </w:rPr>
        <w:t>רשיו של עו"ד אזולאי בצעד מתאים עד למועד זה, יחולק הסכום בגין יחידות אלו לבעלים המקוריים, ובהעדר בעלים מקוריים יוחזר הסכום לקופה לשם חלוקה בין כלל הדיירים לפי חלקם היחסי.</w:t>
      </w:r>
    </w:p>
    <w:p w:rsidR="008F460A" w:rsidRDefault="008F460A" w:rsidP="008F460A">
      <w:pPr>
        <w:pStyle w:val="Arial"/>
        <w:rPr>
          <w:sz w:val="26"/>
          <w:szCs w:val="30"/>
          <w:rtl/>
        </w:rPr>
      </w:pPr>
    </w:p>
    <w:p w:rsidR="00DF3F68" w:rsidRDefault="008F460A" w:rsidP="00532516">
      <w:pPr>
        <w:pStyle w:val="Arial"/>
        <w:rPr>
          <w:sz w:val="26"/>
          <w:szCs w:val="30"/>
          <w:rtl/>
        </w:rPr>
      </w:pPr>
      <w:r>
        <w:rPr>
          <w:rFonts w:hint="cs"/>
          <w:sz w:val="26"/>
          <w:szCs w:val="30"/>
          <w:rtl/>
        </w:rPr>
        <w:lastRenderedPageBreak/>
        <w:t xml:space="preserve">בנוסף, </w:t>
      </w:r>
      <w:r w:rsidR="007F41E5">
        <w:rPr>
          <w:rFonts w:hint="cs"/>
          <w:sz w:val="26"/>
          <w:szCs w:val="30"/>
          <w:rtl/>
        </w:rPr>
        <w:t xml:space="preserve">הוגשה בקשה מטעמו של עו"ד זאב דסברג, כמנהל מיוחד לנכסי יהודה יניב. נטען כי מר יהודה יניב </w:t>
      </w:r>
      <w:r w:rsidR="00DF3F68">
        <w:rPr>
          <w:rFonts w:hint="cs"/>
          <w:sz w:val="26"/>
          <w:szCs w:val="30"/>
          <w:rtl/>
        </w:rPr>
        <w:t xml:space="preserve">עם אחרים </w:t>
      </w:r>
      <w:r w:rsidR="007F41E5">
        <w:rPr>
          <w:rFonts w:hint="cs"/>
          <w:sz w:val="26"/>
          <w:szCs w:val="30"/>
          <w:rtl/>
        </w:rPr>
        <w:t xml:space="preserve">רכש מגב' </w:t>
      </w:r>
      <w:r w:rsidR="00DF3F68">
        <w:rPr>
          <w:rFonts w:hint="cs"/>
          <w:sz w:val="26"/>
          <w:szCs w:val="30"/>
          <w:rtl/>
        </w:rPr>
        <w:t>ציטשווילי את יחידה 59 ובהסכם המכר המחתה לו המוכרת את מלוא הזכויות הנוגעות לדירה, לרבות הזכות כלפי הנאמנים. על מנת לברר טענה זו יש לצרף את הגב' ציטשווילי. המנהל המיוחד לא עשה כן, כך שלא ניתן להכריע בטענה. נוכח כך, ובדומה למה שנקבע בעניין שולחיו של עו"ד אזולאי, תעוכב חלוקת התמורה הנוגעת לדירה 59 על מנת לאפשר לעו"ד דסברג להגיע להסכמה עם צטשווילי או לפתוח נגדם</w:t>
      </w:r>
      <w:r w:rsidR="00F575DE">
        <w:rPr>
          <w:rFonts w:hint="cs"/>
          <w:sz w:val="26"/>
          <w:szCs w:val="30"/>
          <w:rtl/>
        </w:rPr>
        <w:t xml:space="preserve"> בהליך, ובלבד שכך ייעשה עד ליום </w:t>
      </w:r>
      <w:r w:rsidR="00532516">
        <w:rPr>
          <w:rFonts w:hint="cs"/>
          <w:sz w:val="26"/>
          <w:szCs w:val="30"/>
          <w:rtl/>
        </w:rPr>
        <w:t>1.7.18</w:t>
      </w:r>
      <w:r w:rsidR="00DF3F68">
        <w:rPr>
          <w:rFonts w:hint="cs"/>
          <w:sz w:val="26"/>
          <w:szCs w:val="30"/>
          <w:rtl/>
        </w:rPr>
        <w:t>. אם לא ינקטו הטוענים לזכויות מכוח יחידה 59 בצעד מתאים עד למועד זה, יחולק הסכום בגין יחידות אלו לבעלים המקוריים, ובהעדר בעלים מקוריים יוחזר הסכום לקופה לשם חלוקה בין כלל הדיירים לפי חלקם היחסי.</w:t>
      </w:r>
    </w:p>
    <w:p w:rsidR="00527541" w:rsidRDefault="00527541" w:rsidP="00532516">
      <w:pPr>
        <w:pStyle w:val="Arial"/>
        <w:rPr>
          <w:sz w:val="26"/>
          <w:szCs w:val="30"/>
          <w:rtl/>
        </w:rPr>
      </w:pPr>
    </w:p>
    <w:p w:rsidR="00527541" w:rsidRDefault="00527541" w:rsidP="00532516">
      <w:pPr>
        <w:pStyle w:val="Arial"/>
        <w:rPr>
          <w:sz w:val="26"/>
          <w:szCs w:val="30"/>
          <w:rtl/>
        </w:rPr>
      </w:pPr>
      <w:r>
        <w:rPr>
          <w:rFonts w:hint="cs"/>
          <w:sz w:val="26"/>
          <w:szCs w:val="30"/>
          <w:rtl/>
        </w:rPr>
        <w:t>ככל שקיימות בפני הנאמנים מחלוקות נוספות אודות זהות הגורם שאמור לקבל את הכספים בגינם, ינהג גם לגבי מחלוקות אלו ההסדר האמור בשינויים המחוייבים.</w:t>
      </w:r>
    </w:p>
    <w:p w:rsidR="00532516" w:rsidRDefault="00532516" w:rsidP="00F575DE">
      <w:pPr>
        <w:pStyle w:val="Arial"/>
        <w:rPr>
          <w:sz w:val="26"/>
          <w:szCs w:val="30"/>
          <w:rtl/>
        </w:rPr>
      </w:pPr>
    </w:p>
    <w:p w:rsidR="001968EB" w:rsidRPr="009E1012" w:rsidRDefault="00060BD0" w:rsidP="00F4262D">
      <w:pPr>
        <w:pStyle w:val="Arial"/>
        <w:rPr>
          <w:sz w:val="26"/>
          <w:szCs w:val="30"/>
          <w:rtl/>
        </w:rPr>
      </w:pPr>
      <w:r>
        <w:rPr>
          <w:rFonts w:hint="cs"/>
          <w:sz w:val="26"/>
          <w:szCs w:val="30"/>
          <w:rtl/>
        </w:rPr>
        <w:t>הנאמנים ינהגו איפוא כאמור לעיל.</w:t>
      </w:r>
    </w:p>
    <w:p w:rsidR="00F4262D" w:rsidRDefault="00F4262D" w:rsidP="00F4262D">
      <w:pPr>
        <w:pStyle w:val="Arial"/>
        <w:rPr>
          <w:rtl/>
        </w:rPr>
      </w:pPr>
    </w:p>
    <w:p w:rsidR="00694556" w:rsidRDefault="00F46794" w:rsidP="006E5D86">
      <w:pPr>
        <w:spacing w:line="360" w:lineRule="auto"/>
        <w:jc w:val="both"/>
        <w:rPr>
          <w:rFonts w:ascii="Arial" w:hAnsi="Arial"/>
          <w:noProof w:val="0"/>
          <w:rtl/>
        </w:rPr>
      </w:pPr>
      <w:r>
        <w:rPr>
          <w:rFonts w:ascii="Arial" w:hAnsi="Arial" w:hint="cs"/>
          <w:noProof w:val="0"/>
          <w:rtl/>
        </w:rPr>
        <w:t>נ</w:t>
      </w:r>
      <w:r w:rsidR="0043502B">
        <w:rPr>
          <w:rFonts w:ascii="Arial" w:hAnsi="Arial"/>
          <w:noProof w:val="0"/>
          <w:rtl/>
        </w:rPr>
        <w:t>ית</w:t>
      </w:r>
      <w:r w:rsidR="0043502B">
        <w:rPr>
          <w:rFonts w:ascii="Arial" w:hAnsi="Arial" w:hint="cs"/>
          <w:noProof w:val="0"/>
          <w:rtl/>
        </w:rPr>
        <w:t>נה</w:t>
      </w:r>
      <w:r w:rsidR="00005C8B">
        <w:rPr>
          <w:rFonts w:ascii="Arial" w:hAnsi="Arial"/>
          <w:noProof w:val="0"/>
          <w:rtl/>
        </w:rPr>
        <w:t xml:space="preserve"> היום,  </w:t>
      </w:r>
      <w:r w:rsidR="006E5D86">
        <w:rPr>
          <w:rFonts w:ascii="Arial" w:hAnsi="Arial" w:hint="cs"/>
          <w:noProof w:val="0"/>
          <w:rtl/>
        </w:rPr>
        <w:t>כז' ניסן תשע"ח</w:t>
      </w:r>
      <w:r w:rsidR="00005C8B">
        <w:rPr>
          <w:rFonts w:ascii="Arial" w:hAnsi="Arial"/>
          <w:noProof w:val="0"/>
          <w:rtl/>
        </w:rPr>
        <w:t xml:space="preserve">, </w:t>
      </w:r>
      <w:r w:rsidR="006E5D86">
        <w:rPr>
          <w:rFonts w:ascii="Arial" w:hAnsi="Arial" w:hint="cs"/>
          <w:noProof w:val="0"/>
          <w:rtl/>
        </w:rPr>
        <w:t>12 ב אפריל 2018</w:t>
      </w:r>
      <w:r w:rsidR="00005C8B">
        <w:rPr>
          <w:rFonts w:ascii="Arial" w:hAnsi="Arial"/>
          <w:noProof w:val="0"/>
          <w:rtl/>
        </w:rPr>
        <w:t>, בהעדר הצדדים.</w:t>
      </w:r>
    </w:p>
    <w:p w:rsidR="00694556" w:rsidRDefault="00694556" w:rsidP="00F4262D">
      <w:pPr>
        <w:pStyle w:val="Arial"/>
        <w:rPr>
          <w:rtl/>
        </w:rPr>
      </w:pPr>
    </w:p>
    <w:tbl>
      <w:tblPr>
        <w:tblStyle w:val="a9"/>
        <w:bidiVisual/>
        <w:tblW w:w="2691" w:type="dxa"/>
        <w:tblInd w:w="5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91"/>
      </w:tblGrid>
      <w:tr w:rsidR="006E5D86" w:rsidTr="006E5D86">
        <w:tc>
          <w:tcPr>
            <w:tcW w:w="2691" w:type="dxa"/>
            <w:tcBorders>
              <w:top w:val="nil"/>
              <w:left w:val="nil"/>
              <w:bottom w:val="single" w:sz="4" w:space="0" w:color="auto"/>
              <w:right w:val="nil"/>
            </w:tcBorders>
            <w:vAlign w:val="center"/>
          </w:tcPr>
          <w:p w:rsidR="006E5D86" w:rsidRPr="007276F3" w:rsidRDefault="006E5D86">
            <w:pPr>
              <w:jc w:val="center"/>
              <w:rPr>
                <w:rFonts w:ascii="Courier New" w:hAnsi="Courier New" w:hint="cs"/>
                <w:b/>
                <w:bCs/>
              </w:rPr>
            </w:pPr>
            <w:r>
              <w:rPr>
                <w:rFonts w:ascii="Courier New" w:hAnsi="Courier New"/>
                <w:b/>
                <w:bCs/>
              </w:rPr>
              <w:drawing>
                <wp:inline distT="0" distB="0" distL="0" distR="0">
                  <wp:extent cx="781050" cy="1019175"/>
                  <wp:effectExtent l="0" t="0" r="0" b="9525"/>
                  <wp:docPr id="2" name="Picture 1" descr="בז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בזק"/>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1019175"/>
                          </a:xfrm>
                          <a:prstGeom prst="rect">
                            <a:avLst/>
                          </a:prstGeom>
                          <a:noFill/>
                          <a:ln>
                            <a:noFill/>
                          </a:ln>
                        </pic:spPr>
                      </pic:pic>
                    </a:graphicData>
                  </a:graphic>
                </wp:inline>
              </w:drawing>
            </w:r>
          </w:p>
        </w:tc>
      </w:tr>
      <w:tr w:rsidR="006E5D86" w:rsidTr="006E5D86">
        <w:tc>
          <w:tcPr>
            <w:tcW w:w="2691" w:type="dxa"/>
            <w:tcBorders>
              <w:top w:val="single" w:sz="4" w:space="0" w:color="auto"/>
              <w:left w:val="nil"/>
              <w:bottom w:val="nil"/>
              <w:right w:val="nil"/>
            </w:tcBorders>
          </w:tcPr>
          <w:p w:rsidR="006E5D86" w:rsidRDefault="006E5D86">
            <w:pPr>
              <w:pStyle w:val="3"/>
              <w:jc w:val="center"/>
              <w:outlineLvl w:val="2"/>
              <w:rPr>
                <w:sz w:val="28"/>
                <w:rtl/>
              </w:rPr>
            </w:pPr>
            <w:r>
              <w:rPr>
                <w:rFonts w:hint="cs"/>
                <w:sz w:val="28"/>
                <w:rtl/>
              </w:rPr>
              <w:t>תמר בזק רפפורט, שופטת</w:t>
            </w:r>
          </w:p>
        </w:tc>
      </w:tr>
    </w:tbl>
    <w:p w:rsidR="006E5D86" w:rsidRDefault="006E5D86">
      <w:pPr>
        <w:jc w:val="center"/>
        <w:rPr>
          <w:rtl/>
        </w:rPr>
      </w:pPr>
    </w:p>
    <w:p w:rsidR="00694556" w:rsidRDefault="00694556" w:rsidP="00F4262D">
      <w:pPr>
        <w:pStyle w:val="Arial"/>
        <w:rPr>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D86" w:rsidRDefault="006E5D8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Pr="004E6E3C" w:rsidRDefault="00F74C83">
    <w:pPr>
      <w:pStyle w:val="a4"/>
      <w:jc w:val="center"/>
      <w:rPr>
        <w:rStyle w:val="ab"/>
      </w:rPr>
    </w:pPr>
    <w:r w:rsidRPr="004E6E3C">
      <w:rPr>
        <w:rStyle w:val="ab"/>
        <w:rFonts w:cs="Times New Roman"/>
      </w:rPr>
      <w:fldChar w:fldCharType="begin"/>
    </w:r>
    <w:r w:rsidR="00005C8B" w:rsidRPr="004E6E3C">
      <w:rPr>
        <w:rStyle w:val="ab"/>
        <w:rFonts w:cs="Times New Roman"/>
      </w:rPr>
      <w:instrText xml:space="preserve"> PAGE </w:instrText>
    </w:r>
    <w:r w:rsidRPr="004E6E3C">
      <w:rPr>
        <w:rStyle w:val="ab"/>
        <w:rFonts w:cs="Times New Roman"/>
      </w:rPr>
      <w:fldChar w:fldCharType="separate"/>
    </w:r>
    <w:r w:rsidR="002D507B">
      <w:rPr>
        <w:rStyle w:val="ab"/>
        <w:rFonts w:cs="Times New Roman"/>
        <w:rtl/>
      </w:rPr>
      <w:t>1</w:t>
    </w:r>
    <w:r w:rsidRPr="004E6E3C">
      <w:rPr>
        <w:rStyle w:val="ab"/>
        <w:rFonts w:cs="Times New Roman"/>
      </w:rPr>
      <w:fldChar w:fldCharType="end"/>
    </w:r>
    <w:r w:rsidR="00005C8B" w:rsidRPr="004E6E3C">
      <w:rPr>
        <w:rStyle w:val="ab"/>
        <w:rFonts w:hint="cs"/>
        <w:rtl/>
      </w:rPr>
      <w:t xml:space="preserve"> מתוך </w:t>
    </w:r>
    <w:r w:rsidRPr="004E6E3C">
      <w:rPr>
        <w:rStyle w:val="ab"/>
      </w:rPr>
      <w:fldChar w:fldCharType="begin"/>
    </w:r>
    <w:r w:rsidR="00005C8B" w:rsidRPr="004E6E3C">
      <w:rPr>
        <w:rStyle w:val="ab"/>
      </w:rPr>
      <w:instrText xml:space="preserve"> NUMPAGES </w:instrText>
    </w:r>
    <w:r w:rsidRPr="004E6E3C">
      <w:rPr>
        <w:rStyle w:val="ab"/>
      </w:rPr>
      <w:fldChar w:fldCharType="separate"/>
    </w:r>
    <w:r w:rsidR="002D507B">
      <w:rPr>
        <w:rStyle w:val="ab"/>
        <w:rtl/>
      </w:rPr>
      <w:t>12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D86" w:rsidRDefault="006E5D8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D86" w:rsidRDefault="006E5D8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E5D86">
    <w:pPr>
      <w:pStyle w:val="a3"/>
      <w:jc w:val="center"/>
      <w:rPr>
        <w:rFonts w:cs="FrankRuehl"/>
        <w:noProof w:val="0"/>
        <w:sz w:val="28"/>
        <w:szCs w:val="28"/>
        <w:rtl/>
      </w:rPr>
    </w:pPr>
    <w:r>
      <w:rPr>
        <w:rFonts w:cs="FrankRuehl"/>
        <w:sz w:val="28"/>
        <w:szCs w:val="28"/>
      </w:rPr>
    </w:r>
    <w:r w:rsidR="004178EA">
      <w:rPr>
        <w:rFonts w:cs="FrankRuehl"/>
        <w:sz w:val="28"/>
        <w:szCs w:val="28"/>
      </w:rPr>
      <w:drawing>
        <wp:inline distT="0" distB="0" distL="0" distR="0" wp14:anchorId="35471346" wp14:editId="02BB402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2"/>
      <w:gridCol w:w="3593"/>
    </w:tblGrid>
    <w:tr w:rsidR="00694556">
      <w:trPr>
        <w:trHeight w:val="418" w:hRule="exact"/>
        <w:jc w:val="center"/>
      </w:trPr>
      <w:sdt>
        <w:sdtPr>
          <w:rPr>
            <w:rtl/>
          </w:rPr>
          <w:alias w:val="1174"/>
          <w:tag w:val="1174"/>
          <w:id w:val="1376276175"/>
          <w:text/>
        </w:sdtPr>
        <w:sdtEndPr/>
        <w:sdtContent>
          <w:tc>
            <w:tcPr>
              <w:tcW w:w="8721" w:type="dxa"/>
              <w:gridSpan w:val="2"/>
            </w:tcPr>
            <w:p w:rsidRPr="00011AED" w:rsidR="00694556" w:rsidRDefault="00005C8B">
              <w:pPr>
                <w:pStyle w:val="a3"/>
                <w:jc w:val="center"/>
                <w:rPr>
                  <w:rFonts w:ascii="Tahoma" w:hAnsi="Tahoma" w:cs="FrankRuehl"/>
                  <w:noProof w:val="0"/>
                  <w:color w:val="000080"/>
                  <w:sz w:val="28"/>
                  <w:szCs w:val="28"/>
                  <w:rtl/>
                </w:rPr>
              </w:pPr>
              <w:r w:rsidRPr="00011AED">
                <w:rPr>
                  <w:rFonts w:ascii="Tahoma" w:hAnsi="Tahoma" w:cs="FrankRuehl"/>
                  <w:b/>
                  <w:bCs/>
                  <w:noProof w:val="0"/>
                  <w:color w:val="000080"/>
                  <w:sz w:val="28"/>
                  <w:szCs w:val="28"/>
                  <w:rtl/>
                </w:rPr>
                <w:t>בית המשפט המחוזי בירושלים</w:t>
              </w:r>
            </w:p>
          </w:tc>
        </w:sdtContent>
      </w:sdt>
    </w:tr>
    <w:tr w:rsidR="00694556">
      <w:trPr>
        <w:trHeight w:val="337"/>
        <w:jc w:val="center"/>
      </w:trPr>
      <w:tc>
        <w:tcPr>
          <w:tcW w:w="5047" w:type="dxa"/>
        </w:tcPr>
        <w:p w:rsidRPr="00011AED" w:rsidR="00694556" w:rsidRDefault="00694556">
          <w:pPr>
            <w:rPr>
              <w:rFonts w:cs="FrankRuehl"/>
              <w:b/>
              <w:bCs/>
              <w:noProof w:val="0"/>
              <w:sz w:val="28"/>
              <w:szCs w:val="28"/>
              <w:rtl/>
            </w:rPr>
          </w:pPr>
        </w:p>
      </w:tc>
      <w:sdt>
        <w:sdtPr>
          <w:rPr>
            <w:rtl/>
          </w:rPr>
          <w:alias w:val="1456"/>
          <w:tag w:val="1456"/>
          <w:id w:val="-1471289836"/>
          <w:text/>
        </w:sdtPr>
        <w:sdtEndPr/>
        <w:sdtContent>
          <w:tc>
            <w:tcPr>
              <w:tcW w:w="3674" w:type="dxa"/>
            </w:tcPr>
            <w:p w:rsidRPr="00011AED" w:rsidR="00694556" w:rsidRDefault="00005C8B">
              <w:pPr>
                <w:pStyle w:val="a3"/>
                <w:jc w:val="right"/>
                <w:rPr>
                  <w:rFonts w:cs="FrankRuehl"/>
                  <w:b/>
                  <w:bCs/>
                  <w:noProof w:val="0"/>
                  <w:sz w:val="28"/>
                  <w:szCs w:val="28"/>
                  <w:rtl/>
                </w:rPr>
              </w:pPr>
              <w:r w:rsidRPr="00011AED">
                <w:rPr>
                  <w:rFonts w:cs="FrankRuehl"/>
                  <w:b/>
                  <w:bCs/>
                  <w:noProof w:val="0"/>
                  <w:sz w:val="28"/>
                  <w:szCs w:val="28"/>
                  <w:rtl/>
                </w:rPr>
                <w:t>12 אפריל 2018</w:t>
              </w:r>
            </w:p>
          </w:tc>
        </w:sdtContent>
      </w:sdt>
    </w:tr>
    <w:tr w:rsidR="00694556">
      <w:trPr>
        <w:trHeight w:val="337"/>
        <w:jc w:val="center"/>
      </w:trPr>
      <w:tc>
        <w:tcPr>
          <w:tcW w:w="8721" w:type="dxa"/>
          <w:gridSpan w:val="2"/>
        </w:tcPr>
        <w:p w:rsidRPr="00011AED" w:rsidR="00694556" w:rsidRDefault="002D507B">
          <w:pPr>
            <w:rPr>
              <w:rFonts w:cs="FrankRuehl"/>
              <w:b/>
              <w:bCs/>
              <w:noProof w:val="0"/>
              <w:sz w:val="28"/>
              <w:szCs w:val="28"/>
              <w:rtl/>
            </w:rPr>
          </w:pPr>
          <w:sdt>
            <w:sdtPr>
              <w:rPr>
                <w:rtl/>
              </w:rPr>
              <w:alias w:val="1170"/>
              <w:tag w:val="1170"/>
              <w:id w:val="-395981203"/>
              <w:text w:multiLine="1"/>
            </w:sdtPr>
            <w:sdtEndPr/>
            <w:sdtContent>
              <w:r w:rsidR="00203F39">
                <w:rPr>
                  <w:rFonts w:cs="FrankRuehl"/>
                  <w:b/>
                  <w:bCs/>
                  <w:noProof w:val="0"/>
                  <w:sz w:val="28"/>
                  <w:szCs w:val="28"/>
                  <w:rtl/>
                </w:rPr>
                <w:t>תל"א</w:t>
              </w:r>
            </w:sdtContent>
          </w:sdt>
          <w:r w:rsidRPr="00011AED" w:rsidR="00005C8B">
            <w:rPr>
              <w:rFonts w:cs="FrankRuehl"/>
              <w:b/>
              <w:bCs/>
              <w:noProof w:val="0"/>
              <w:sz w:val="28"/>
              <w:szCs w:val="28"/>
              <w:rtl/>
            </w:rPr>
            <w:t xml:space="preserve"> </w:t>
          </w:r>
          <w:sdt>
            <w:sdtPr>
              <w:rPr>
                <w:rtl/>
              </w:rPr>
              <w:alias w:val="1171"/>
              <w:tag w:val="1171"/>
              <w:id w:val="-1552689522"/>
              <w:text w:multiLine="1"/>
            </w:sdtPr>
            <w:sdtEndPr/>
            <w:sdtContent>
              <w:r w:rsidR="00203F39">
                <w:rPr>
                  <w:rFonts w:cs="FrankRuehl"/>
                  <w:b/>
                  <w:bCs/>
                  <w:noProof w:val="0"/>
                  <w:sz w:val="28"/>
                  <w:szCs w:val="28"/>
                  <w:rtl/>
                </w:rPr>
                <w:t>22843-01-17</w:t>
              </w:r>
            </w:sdtContent>
          </w:sdt>
          <w:r w:rsidRPr="00011AED" w:rsidR="00005C8B">
            <w:rPr>
              <w:rFonts w:cs="FrankRuehl"/>
              <w:b/>
              <w:bCs/>
              <w:noProof w:val="0"/>
              <w:sz w:val="28"/>
              <w:szCs w:val="28"/>
              <w:rtl/>
            </w:rPr>
            <w:t xml:space="preserve"> </w:t>
          </w:r>
          <w:sdt>
            <w:sdtPr>
              <w:rPr>
                <w:rtl/>
              </w:rPr>
              <w:alias w:val="1172"/>
              <w:tag w:val="1172"/>
              <w:id w:val="1784922206"/>
              <w:text w:multiLine="1"/>
            </w:sdtPr>
            <w:sdtEndPr/>
            <w:sdtContent>
              <w:r w:rsidR="0034500D">
                <w:rPr>
                  <w:rFonts w:hint="cs" w:cs="FrankRuehl"/>
                  <w:b/>
                  <w:bCs/>
                  <w:noProof w:val="0"/>
                  <w:sz w:val="28"/>
                  <w:szCs w:val="28"/>
                  <w:rtl/>
                </w:rPr>
                <w:t xml:space="preserve">(ת"א 449/93) </w:t>
              </w:r>
              <w:r w:rsidR="00203F39">
                <w:rPr>
                  <w:rFonts w:cs="FrankRuehl"/>
                  <w:b/>
                  <w:bCs/>
                  <w:noProof w:val="0"/>
                  <w:sz w:val="28"/>
                  <w:szCs w:val="28"/>
                  <w:rtl/>
                </w:rPr>
                <w:t>הלברייך ואח' נ' דיירי בית פיינגולד באמצעות ועד הדיירים הנבחר עפ"י צו ביהמ"ש ואח'</w:t>
              </w:r>
            </w:sdtContent>
          </w:sdt>
        </w:p>
        <w:p w:rsidR="00694556" w:rsidRDefault="00694556">
          <w:pPr>
            <w:rPr>
              <w:rtl/>
            </w:rPr>
          </w:pPr>
        </w:p>
        <w:p w:rsidR="00F94C7B" w:rsidRDefault="00F94C7B">
          <w:pPr>
            <w:rPr>
              <w:rFonts w:cs="FrankRuehl"/>
              <w:sz w:val="28"/>
              <w:szCs w:val="28"/>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D86" w:rsidRDefault="006E5D8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101378"/>
    <o:shapelayout v:ext="edit">
      <o:idmap v:ext="edit" data="9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4193397"/>
    <w:docVar w:name="CourtID" w:val="14"/>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4193397&amp;lt;/CaseID&amp;gt;_x000d__x000a_        &amp;lt;DocumentID&amp;gt;265882898&amp;lt;/DocumentID&amp;gt;_x000d__x000a_      &amp;lt;/dt_DocumentCase&amp;gt;_x000d__x000a_      &amp;lt;dt_Document diffgr:id=&amp;quot;dt_Document1&amp;quot; msdata:rowOrder=&amp;quot;0&amp;quot;&amp;gt;_x000d__x000a_        &amp;lt;DocumentID&amp;gt;265882898&amp;lt;/DocumentID&amp;gt;_x000d__x000a_        &amp;lt;DocumentMainID&amp;gt;0&amp;lt;/DocumentMainID&amp;gt;_x000d__x000a_        &amp;lt;CaseID&amp;gt;74193397&amp;lt;/CaseID&amp;gt;_x000d__x000a_        &amp;lt;DocumentIncludedDate&amp;gt;2018-04-12T15:25:06.863+03:00&amp;lt;/DocumentIncludedDate&amp;gt;_x000d__x000a_        &amp;lt;DocumentDesc&amp;gt;החלטה  שניתנה ע&amp;quot;י  תמר בזק רפפורט&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1&amp;lt;/DocumentTypeID&amp;gt;_x000d__x000a_        &amp;lt;DocumentSavingDate&amp;gt;2018-04-12T15:25:06.863+03:00&amp;lt;/DocumentSavingDate&amp;gt;_x000d__x000a_        &amp;lt;DocumentChangeDate&amp;gt;2018-04-12T15:25:07.02+03:00&amp;lt;/DocumentChangeDate&amp;gt;_x000d__x000a_        &amp;lt;IsScanned&amp;gt;false&amp;lt;/IsScanned&amp;gt;_x000d__x000a_        &amp;lt;PageQuantity&amp;gt;0&amp;lt;/PageQuantity&amp;gt;_x000d__x000a_        &amp;lt;DocumentStatusID&amp;gt;2&amp;lt;/DocumentStatusID&amp;gt;_x000d__x000a_        &amp;lt;DocumentStatusChangeDate&amp;gt;2018-04-12T15:25:07.02+03:00&amp;lt;/DocumentStatusChangeDate&amp;gt;_x000d__x000a_        &amp;lt;TemplateVersionID&amp;gt;1&amp;lt;/TemplateVersionID&amp;gt;_x000d__x000a_        &amp;lt;DocumentChangeUserID&amp;gt;059714840@GOV.IL&amp;lt;/DocumentChangeUserID&amp;gt;_x000d__x000a_        &amp;lt;DocumentCreationUserID&amp;gt;059714840@GOV.IL&amp;lt;/DocumentCreationUserID&amp;gt;_x000d__x000a_        &amp;lt;OriginalDocumentID&amp;gt;256826341&amp;lt;/OriginalDocumentID&amp;gt;_x000d__x000a_        &amp;lt;PrivillegeID&amp;gt;1&amp;lt;/PrivillegeID&amp;gt;_x000d__x000a_        &amp;lt;FromPage&amp;gt;0&amp;lt;/FromPage&amp;gt;_x000d__x000a_        &amp;lt;ToPage&amp;gt;0&amp;lt;/ToPage&amp;gt;_x000d__x000a_        &amp;lt;FileID&amp;gt;0408d1b962010000090037f694118d8f&amp;lt;/FileID&amp;gt;_x000d__x000a_        &amp;lt;URL&amp;gt;\\CTLNFSV02\doc_repository\474\174\446a39ce55ce407caa9ce3628c100d3f_copy.docx&amp;lt;/URL&amp;gt;_x000d__x000a_        &amp;lt;OlivePriority&amp;gt;1&amp;lt;/OlivePriority&amp;gt;_x000d__x000a_        &amp;lt;MetaDataTypeID&amp;gt;1&amp;lt;/MetaDataTypeID&amp;gt;_x000d__x000a_        &amp;lt;MetaDataChangeDate&amp;gt;2018-04-12T15:25:07.02+03: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1&amp;amp;lt;/anyType&amp;amp;gt;_x000d__x000a_    &amp;amp;lt;anyType xsi:type=&amp;quot;xsd:string&amp;quot;&amp;amp;gt;1&amp;amp;lt;/anyType&amp;amp;gt;_x000d__x000a_    &amp;amp;lt;anyType xsi:type=&amp;quot;xsd:string&amp;quot;&amp;amp;gt;תמר בזק רפפורט&amp;amp;lt;/anyType&amp;amp;gt;_x000d__x000a_    &amp;amp;lt;anyType xsi:type=&amp;quot;xsd:dateTime&amp;quot;&amp;amp;gt;2018-04-12T15:02:45.1950403&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8-04-12T15:02:45.197+03:00&amp;lt;/PresentationDate&amp;gt;_x000d__x000a_      &amp;lt;/dt_Document&amp;gt;_x000d__x000a_    &amp;lt;/DocumentDS&amp;gt;_x000d__x000a_  &amp;lt;/diffgr:diffgram&amp;gt;_x000d__x000a_&amp;lt;/DocumentDS&amp;gt;"/>
    <w:docVar w:name="WordClientAssemblyName" w:val="NGCS.Decision.ClientWordBL"/>
    <w:docVar w:name="WordClientClassName" w:val="NGCS.Decision.ClientWordBL.VersionWordClient"/>
  </w:docVars>
  <w:rsids>
    <w:rsidRoot w:val="00694556"/>
    <w:rsid w:val="00005C8B"/>
    <w:rsid w:val="00011AED"/>
    <w:rsid w:val="000123C4"/>
    <w:rsid w:val="00013112"/>
    <w:rsid w:val="00013F81"/>
    <w:rsid w:val="00031E9F"/>
    <w:rsid w:val="00044CF1"/>
    <w:rsid w:val="000564AB"/>
    <w:rsid w:val="00060BD0"/>
    <w:rsid w:val="00064DBF"/>
    <w:rsid w:val="00064FBD"/>
    <w:rsid w:val="00077046"/>
    <w:rsid w:val="00096AF7"/>
    <w:rsid w:val="000C3B0F"/>
    <w:rsid w:val="000C7397"/>
    <w:rsid w:val="000D3750"/>
    <w:rsid w:val="000F0BC8"/>
    <w:rsid w:val="00107E6D"/>
    <w:rsid w:val="0014239C"/>
    <w:rsid w:val="00144709"/>
    <w:rsid w:val="00144D2A"/>
    <w:rsid w:val="0015517F"/>
    <w:rsid w:val="001744E2"/>
    <w:rsid w:val="00174522"/>
    <w:rsid w:val="00174D76"/>
    <w:rsid w:val="00175377"/>
    <w:rsid w:val="00180519"/>
    <w:rsid w:val="001968EB"/>
    <w:rsid w:val="001A03A8"/>
    <w:rsid w:val="001A2421"/>
    <w:rsid w:val="001B03DB"/>
    <w:rsid w:val="001B201B"/>
    <w:rsid w:val="001C33DF"/>
    <w:rsid w:val="001C4003"/>
    <w:rsid w:val="001C6E15"/>
    <w:rsid w:val="001C6FFD"/>
    <w:rsid w:val="001E08AA"/>
    <w:rsid w:val="00203F39"/>
    <w:rsid w:val="00206D79"/>
    <w:rsid w:val="00222047"/>
    <w:rsid w:val="002265FF"/>
    <w:rsid w:val="002313AE"/>
    <w:rsid w:val="0023512A"/>
    <w:rsid w:val="002405DD"/>
    <w:rsid w:val="00251DD0"/>
    <w:rsid w:val="0026264A"/>
    <w:rsid w:val="002C62E2"/>
    <w:rsid w:val="002D507B"/>
    <w:rsid w:val="002E5177"/>
    <w:rsid w:val="002F2543"/>
    <w:rsid w:val="00307A6A"/>
    <w:rsid w:val="00307C40"/>
    <w:rsid w:val="00320433"/>
    <w:rsid w:val="00323862"/>
    <w:rsid w:val="00336989"/>
    <w:rsid w:val="0034500D"/>
    <w:rsid w:val="0036743F"/>
    <w:rsid w:val="00377B04"/>
    <w:rsid w:val="00395154"/>
    <w:rsid w:val="003B2EEF"/>
    <w:rsid w:val="003C2FF7"/>
    <w:rsid w:val="003D6324"/>
    <w:rsid w:val="003E0E07"/>
    <w:rsid w:val="003E2C0A"/>
    <w:rsid w:val="003E4630"/>
    <w:rsid w:val="00401D31"/>
    <w:rsid w:val="0040663E"/>
    <w:rsid w:val="004178EA"/>
    <w:rsid w:val="00420AE3"/>
    <w:rsid w:val="00424ACA"/>
    <w:rsid w:val="0043125D"/>
    <w:rsid w:val="0043283A"/>
    <w:rsid w:val="0043502B"/>
    <w:rsid w:val="00447763"/>
    <w:rsid w:val="0046264B"/>
    <w:rsid w:val="00467A09"/>
    <w:rsid w:val="0048143F"/>
    <w:rsid w:val="00482454"/>
    <w:rsid w:val="00496072"/>
    <w:rsid w:val="004A5815"/>
    <w:rsid w:val="004C4BDF"/>
    <w:rsid w:val="004D1187"/>
    <w:rsid w:val="004E6E3C"/>
    <w:rsid w:val="005268F6"/>
    <w:rsid w:val="00527541"/>
    <w:rsid w:val="00531CE1"/>
    <w:rsid w:val="00532516"/>
    <w:rsid w:val="005347E8"/>
    <w:rsid w:val="00547DB7"/>
    <w:rsid w:val="00554062"/>
    <w:rsid w:val="005603C6"/>
    <w:rsid w:val="00560453"/>
    <w:rsid w:val="005644D4"/>
    <w:rsid w:val="00570F0A"/>
    <w:rsid w:val="0057413D"/>
    <w:rsid w:val="00591A39"/>
    <w:rsid w:val="00594564"/>
    <w:rsid w:val="00595883"/>
    <w:rsid w:val="005A67A3"/>
    <w:rsid w:val="005C7510"/>
    <w:rsid w:val="005E5D49"/>
    <w:rsid w:val="005E7B0F"/>
    <w:rsid w:val="00622BAA"/>
    <w:rsid w:val="00624221"/>
    <w:rsid w:val="0065367E"/>
    <w:rsid w:val="006548D9"/>
    <w:rsid w:val="00670D5C"/>
    <w:rsid w:val="00671BD5"/>
    <w:rsid w:val="006805C1"/>
    <w:rsid w:val="006815E3"/>
    <w:rsid w:val="00694556"/>
    <w:rsid w:val="00695512"/>
    <w:rsid w:val="006A2235"/>
    <w:rsid w:val="006B6B65"/>
    <w:rsid w:val="006B7A8C"/>
    <w:rsid w:val="006C4FFD"/>
    <w:rsid w:val="006D74CE"/>
    <w:rsid w:val="006E1A53"/>
    <w:rsid w:val="006E5D86"/>
    <w:rsid w:val="006F5300"/>
    <w:rsid w:val="006F7E6C"/>
    <w:rsid w:val="00707A0D"/>
    <w:rsid w:val="007101A3"/>
    <w:rsid w:val="00750CFF"/>
    <w:rsid w:val="00784100"/>
    <w:rsid w:val="00794F23"/>
    <w:rsid w:val="007B04A5"/>
    <w:rsid w:val="007D6223"/>
    <w:rsid w:val="007E4F15"/>
    <w:rsid w:val="007E6115"/>
    <w:rsid w:val="007F41E5"/>
    <w:rsid w:val="008013A0"/>
    <w:rsid w:val="00804C5A"/>
    <w:rsid w:val="00820005"/>
    <w:rsid w:val="00822244"/>
    <w:rsid w:val="00861D7C"/>
    <w:rsid w:val="00874729"/>
    <w:rsid w:val="008867B6"/>
    <w:rsid w:val="00887080"/>
    <w:rsid w:val="00896889"/>
    <w:rsid w:val="008A7B0E"/>
    <w:rsid w:val="008B4F62"/>
    <w:rsid w:val="008B558E"/>
    <w:rsid w:val="008B57F4"/>
    <w:rsid w:val="008C5714"/>
    <w:rsid w:val="008D33FE"/>
    <w:rsid w:val="008E1777"/>
    <w:rsid w:val="008F460A"/>
    <w:rsid w:val="009032D8"/>
    <w:rsid w:val="009034E5"/>
    <w:rsid w:val="00903896"/>
    <w:rsid w:val="00906F3D"/>
    <w:rsid w:val="00914C30"/>
    <w:rsid w:val="009249C5"/>
    <w:rsid w:val="00933DA5"/>
    <w:rsid w:val="00943B80"/>
    <w:rsid w:val="00943E67"/>
    <w:rsid w:val="00961BFC"/>
    <w:rsid w:val="00972AAF"/>
    <w:rsid w:val="009816F6"/>
    <w:rsid w:val="00981BD0"/>
    <w:rsid w:val="00996045"/>
    <w:rsid w:val="009E1012"/>
    <w:rsid w:val="009F6B40"/>
    <w:rsid w:val="00A25B97"/>
    <w:rsid w:val="00A42F9D"/>
    <w:rsid w:val="00A62880"/>
    <w:rsid w:val="00A94B64"/>
    <w:rsid w:val="00AC5209"/>
    <w:rsid w:val="00AE30D7"/>
    <w:rsid w:val="00AF2DB0"/>
    <w:rsid w:val="00AF548A"/>
    <w:rsid w:val="00B05332"/>
    <w:rsid w:val="00B12E6F"/>
    <w:rsid w:val="00B211C8"/>
    <w:rsid w:val="00B221FC"/>
    <w:rsid w:val="00B3679A"/>
    <w:rsid w:val="00B37417"/>
    <w:rsid w:val="00B3770D"/>
    <w:rsid w:val="00B46069"/>
    <w:rsid w:val="00B53136"/>
    <w:rsid w:val="00B62C87"/>
    <w:rsid w:val="00B645FE"/>
    <w:rsid w:val="00B71B45"/>
    <w:rsid w:val="00B80CBD"/>
    <w:rsid w:val="00B86096"/>
    <w:rsid w:val="00B946E1"/>
    <w:rsid w:val="00BA74C3"/>
    <w:rsid w:val="00BA77E7"/>
    <w:rsid w:val="00BB2B9E"/>
    <w:rsid w:val="00BF0499"/>
    <w:rsid w:val="00BF1908"/>
    <w:rsid w:val="00C10388"/>
    <w:rsid w:val="00C22D93"/>
    <w:rsid w:val="00C30707"/>
    <w:rsid w:val="00C34482"/>
    <w:rsid w:val="00C43DE8"/>
    <w:rsid w:val="00C54FEB"/>
    <w:rsid w:val="00C7570B"/>
    <w:rsid w:val="00C924D6"/>
    <w:rsid w:val="00D1021C"/>
    <w:rsid w:val="00D1612B"/>
    <w:rsid w:val="00D26445"/>
    <w:rsid w:val="00D33B86"/>
    <w:rsid w:val="00D53924"/>
    <w:rsid w:val="00D60EA3"/>
    <w:rsid w:val="00D657CB"/>
    <w:rsid w:val="00D76914"/>
    <w:rsid w:val="00D81A2E"/>
    <w:rsid w:val="00D96D8C"/>
    <w:rsid w:val="00DA64DB"/>
    <w:rsid w:val="00DA6649"/>
    <w:rsid w:val="00DC08B3"/>
    <w:rsid w:val="00DD0DDF"/>
    <w:rsid w:val="00DD3D38"/>
    <w:rsid w:val="00DF3F68"/>
    <w:rsid w:val="00DF62B4"/>
    <w:rsid w:val="00E047C5"/>
    <w:rsid w:val="00E2793D"/>
    <w:rsid w:val="00E54642"/>
    <w:rsid w:val="00E648A7"/>
    <w:rsid w:val="00E66C1D"/>
    <w:rsid w:val="00E739B5"/>
    <w:rsid w:val="00EB7A2F"/>
    <w:rsid w:val="00EC37E9"/>
    <w:rsid w:val="00ED45E9"/>
    <w:rsid w:val="00F0396C"/>
    <w:rsid w:val="00F17FF7"/>
    <w:rsid w:val="00F21F79"/>
    <w:rsid w:val="00F344BD"/>
    <w:rsid w:val="00F4262D"/>
    <w:rsid w:val="00F46794"/>
    <w:rsid w:val="00F556FB"/>
    <w:rsid w:val="00F575DE"/>
    <w:rsid w:val="00F63289"/>
    <w:rsid w:val="00F74C83"/>
    <w:rsid w:val="00F84B6D"/>
    <w:rsid w:val="00F94C7B"/>
    <w:rsid w:val="00FD79E4"/>
    <w:rsid w:val="00FE0DE5"/>
    <w:rsid w:val="00FE2894"/>
    <w:rsid w:val="00FE3E3F"/>
    <w:rsid w:val="00FF362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14:docId w14:val="7FA5360C"/>
  <w15:docId w15:val="{E968234B-7316-4EA3-8A5C-4B0B2A7C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3">
    <w:name w:val="heading 3"/>
    <w:basedOn w:val="a"/>
    <w:next w:val="a"/>
    <w:link w:val="30"/>
    <w:qFormat/>
    <w:rsid w:val="006E5D86"/>
    <w:pPr>
      <w:keepNext/>
      <w:spacing w:line="360" w:lineRule="auto"/>
      <w:jc w:val="both"/>
      <w:outlineLvl w:val="2"/>
    </w:pPr>
    <w:rPr>
      <w:b/>
      <w:bCs/>
      <w:sz w:val="20"/>
      <w:lang w:eastAsia="he-IL"/>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
    <w:name w:val="סגנון (לטיני) Arial מיושר לשני הצדדים מרווח בין שורות:  שורה וחצי"/>
    <w:basedOn w:val="a"/>
    <w:autoRedefine/>
    <w:rsid w:val="00F4262D"/>
    <w:pPr>
      <w:spacing w:line="360" w:lineRule="auto"/>
      <w:jc w:val="both"/>
    </w:pPr>
    <w:rPr>
      <w:rFonts w:ascii="Arial" w:hAnsi="Arial" w:cs="FrankRuehl"/>
      <w:spacing w:val="10"/>
      <w:szCs w:val="28"/>
    </w:rPr>
  </w:style>
  <w:style w:type="character" w:styleId="ac">
    <w:name w:val="Placeholder Text"/>
    <w:basedOn w:val="a0"/>
    <w:uiPriority w:val="99"/>
    <w:semiHidden/>
    <w:rsid w:val="00203F39"/>
    <w:rPr>
      <w:color w:val="808080"/>
    </w:rPr>
  </w:style>
  <w:style w:type="paragraph" w:customStyle="1" w:styleId="12">
    <w:name w:val="רגיל + ‏12 נק'"/>
    <w:aliases w:val="מיושר לשני הצדדים,מרווח בין שורות:  שורה וחצי"/>
    <w:basedOn w:val="a"/>
    <w:rPr>
      <w:b/>
      <w:bCs/>
      <w:noProof w:val="0"/>
      <w:u w:val="single"/>
    </w:rPr>
  </w:style>
  <w:style w:type="character" w:customStyle="1" w:styleId="30">
    <w:name w:val="כותרת 3 תו"/>
    <w:basedOn w:val="a0"/>
    <w:link w:val="3"/>
    <w:rsid w:val="006E5D86"/>
    <w:rPr>
      <w:rFonts w:cs="David"/>
      <w:b/>
      <w:bCs/>
      <w:noProof/>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1320</TotalTime>
  <Pages>12</Pages>
  <Words>2674</Words>
  <Characters>13373</Characters>
  <Application>Microsoft Office Word</Application>
  <DocSecurity>0</DocSecurity>
  <Lines>111</Lines>
  <Paragraphs>32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בזק רפפורט</cp:lastModifiedBy>
  <cp:revision>191</cp:revision>
  <dcterms:created xsi:type="dcterms:W3CDTF">2012-08-06T04:37:00Z</dcterms:created>
  <dcterms:modified xsi:type="dcterms:W3CDTF">2018-04-12T12:28:00Z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