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0529D2">
            <w:pPr>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מאג'דה ג'ובראן מורקוס</w:t>
                </w:r>
              </w:sdtContent>
            </w:sdt>
          </w:p>
          <w:p w:rsidR="0094424E" w:rsidRDefault="0094424E">
            <w:pPr>
              <w:rPr>
                <w:rFonts w:ascii="Arial" w:hAnsi="Arial" w:cs="FrankRuehl"/>
                <w:sz w:val="28"/>
                <w:szCs w:val="28"/>
                <w:highlight w:val="yellow"/>
              </w:rPr>
            </w:pPr>
          </w:p>
        </w:tc>
      </w:tr>
      <w:tr w:rsidR="0094424E" w:rsidTr="00465D36">
        <w:trPr>
          <w:jc w:val="center"/>
        </w:trPr>
        <w:tc>
          <w:tcPr>
            <w:tcW w:w="3249" w:type="dxa"/>
            <w:gridSpan w:val="2"/>
          </w:tcPr>
          <w:sdt>
            <w:sdtPr>
              <w:rPr>
                <w:rtl/>
              </w:rPr>
              <w:alias w:val="1180"/>
              <w:tag w:val="1180"/>
              <w:id w:val="637458750"/>
              <w:text w:multiLine="1"/>
            </w:sdtPr>
            <w:sdtEndPr/>
            <w:sdtContent>
              <w:p w:rsidR="00AC4CEC" w:rsidRDefault="00193D19">
                <w:pPr>
                  <w:rPr>
                    <w:rFonts w:ascii="Arial" w:hAnsi="Arial"/>
                    <w:b/>
                    <w:bCs/>
                    <w:noProof w:val="0"/>
                    <w:sz w:val="26"/>
                    <w:szCs w:val="26"/>
                    <w:rtl/>
                  </w:rPr>
                </w:pPr>
                <w:r>
                  <w:rPr>
                    <w:rFonts w:ascii="Arial" w:hAnsi="Arial"/>
                    <w:b/>
                    <w:bCs/>
                    <w:noProof w:val="0"/>
                    <w:sz w:val="26"/>
                    <w:szCs w:val="26"/>
                    <w:rtl/>
                  </w:rPr>
                  <w:t>תובעים</w:t>
                </w:r>
              </w:p>
            </w:sdtContent>
          </w:sdt>
        </w:tc>
        <w:tc>
          <w:tcPr>
            <w:tcW w:w="5571" w:type="dxa"/>
          </w:tcPr>
          <w:p w:rsidR="0094424E" w:rsidRDefault="00563203">
            <w:pPr>
              <w:rPr>
                <w:rFonts w:ascii="Arial" w:hAnsi="Arial"/>
                <w:b/>
                <w:bCs/>
                <w:noProof w:val="0"/>
                <w:sz w:val="26"/>
                <w:szCs w:val="26"/>
                <w:rtl/>
              </w:rPr>
            </w:pPr>
            <w:r>
              <w:rPr>
                <w:rFonts w:hint="cs" w:ascii="Arial" w:hAnsi="Arial"/>
                <w:b/>
                <w:bCs/>
                <w:noProof w:val="0"/>
                <w:sz w:val="26"/>
                <w:szCs w:val="26"/>
                <w:rtl/>
              </w:rPr>
              <w:t>פלוני</w:t>
            </w:r>
          </w:p>
          <w:p w:rsidR="0094424E" w:rsidP="00F852D0" w:rsidRDefault="0094424E">
            <w:pPr>
              <w:rPr>
                <w:b/>
                <w:bCs/>
                <w:noProof w:val="0"/>
                <w:sz w:val="26"/>
                <w:szCs w:val="26"/>
              </w:rPr>
            </w:pPr>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193D19">
            <w:pPr>
              <w:rPr>
                <w:rFonts w:ascii="Arial" w:hAnsi="Arial"/>
                <w:b/>
                <w:bCs/>
                <w:noProof w:val="0"/>
                <w:sz w:val="26"/>
                <w:szCs w:val="26"/>
              </w:rPr>
            </w:pPr>
            <w:sdt>
              <w:sdtPr>
                <w:rPr>
                  <w:rtl/>
                </w:rPr>
                <w:alias w:val="1184"/>
                <w:tag w:val="1184"/>
                <w:id w:val="-340621022"/>
                <w:text w:multiLine="1"/>
              </w:sdtPr>
              <w:sdtEndPr/>
              <w:sdtContent>
                <w:r w:rsidR="00563203">
                  <w:rPr>
                    <w:rFonts w:ascii="Arial" w:hAnsi="Arial"/>
                    <w:b/>
                    <w:bCs/>
                    <w:noProof w:val="0"/>
                    <w:sz w:val="26"/>
                    <w:szCs w:val="26"/>
                    <w:rtl/>
                  </w:rPr>
                  <w:t>נתבעים</w:t>
                </w:r>
              </w:sdtContent>
            </w:sdt>
          </w:p>
        </w:tc>
        <w:tc>
          <w:tcPr>
            <w:tcW w:w="5571" w:type="dxa"/>
          </w:tcPr>
          <w:p w:rsidRPr="00785242" w:rsidR="0094424E" w:rsidP="00785242" w:rsidRDefault="00193D19">
            <w:pPr>
              <w:rPr>
                <w:rtl/>
              </w:rPr>
            </w:pPr>
            <w:sdt>
              <w:sdtPr>
                <w:rPr>
                  <w:rFonts w:hint="cs"/>
                  <w:rtl/>
                </w:rPr>
                <w:alias w:val="1571"/>
                <w:tag w:val="1571"/>
                <w:id w:val="1028836282"/>
                <w:text w:multiLine="1"/>
              </w:sdtPr>
              <w:sdtEndPr/>
              <w:sdtContent>
                <w:r w:rsidR="00563203">
                  <w:rPr>
                    <w:rFonts w:hint="cs" w:ascii="Arial" w:hAnsi="Arial"/>
                    <w:b/>
                    <w:bCs/>
                    <w:noProof w:val="0"/>
                    <w:sz w:val="26"/>
                    <w:szCs w:val="26"/>
                    <w:rtl/>
                  </w:rPr>
                  <w:t>1</w:t>
                </w:r>
              </w:sdtContent>
            </w:sdt>
            <w:r w:rsidR="00785242">
              <w:rPr>
                <w:rFonts w:hint="cs" w:ascii="Arial" w:hAnsi="Arial"/>
                <w:b/>
                <w:bCs/>
                <w:noProof w:val="0"/>
                <w:sz w:val="26"/>
                <w:szCs w:val="26"/>
                <w:rtl/>
              </w:rPr>
              <w:t xml:space="preserve">. </w:t>
            </w:r>
            <w:sdt>
              <w:sdtPr>
                <w:rPr>
                  <w:rFonts w:hint="cs"/>
                  <w:rtl/>
                </w:rPr>
                <w:alias w:val="1486"/>
                <w:tag w:val="1486"/>
                <w:id w:val="-309872140"/>
                <w:text w:multiLine="1"/>
              </w:sdtPr>
              <w:sdtEndPr/>
              <w:sdtContent>
                <w:r w:rsidR="00563203">
                  <w:rPr>
                    <w:rFonts w:hint="cs" w:ascii="Arial" w:hAnsi="Arial"/>
                    <w:b/>
                    <w:bCs/>
                    <w:noProof w:val="0"/>
                    <w:sz w:val="26"/>
                    <w:szCs w:val="26"/>
                    <w:rtl/>
                  </w:rPr>
                  <w:t>ורסנו תעשיות אופטיות</w:t>
                </w:r>
              </w:sdtContent>
            </w:sdt>
          </w:p>
          <w:p w:rsidRPr="00785242" w:rsidR="0094424E" w:rsidP="00785242" w:rsidRDefault="00193D19">
            <w:pPr>
              <w:rPr>
                <w:rtl/>
              </w:rPr>
            </w:pPr>
            <w:sdt>
              <w:sdtPr>
                <w:rPr>
                  <w:rFonts w:hint="cs"/>
                  <w:rtl/>
                </w:rPr>
                <w:alias w:val="1571"/>
                <w:tag w:val="1571"/>
                <w:id w:val="-829832554"/>
                <w:text w:multiLine="1"/>
              </w:sdtPr>
              <w:sdtEndPr/>
              <w:sdtContent>
                <w:r w:rsidR="00563203">
                  <w:rPr>
                    <w:rFonts w:hint="cs" w:ascii="Arial" w:hAnsi="Arial"/>
                    <w:b/>
                    <w:bCs/>
                    <w:noProof w:val="0"/>
                    <w:sz w:val="26"/>
                    <w:szCs w:val="26"/>
                    <w:rtl/>
                  </w:rPr>
                  <w:t>2</w:t>
                </w:r>
              </w:sdtContent>
            </w:sdt>
            <w:r w:rsidR="00785242">
              <w:rPr>
                <w:rFonts w:hint="cs" w:ascii="Arial" w:hAnsi="Arial"/>
                <w:b/>
                <w:bCs/>
                <w:noProof w:val="0"/>
                <w:sz w:val="26"/>
                <w:szCs w:val="26"/>
                <w:rtl/>
              </w:rPr>
              <w:t xml:space="preserve">. </w:t>
            </w:r>
            <w:sdt>
              <w:sdtPr>
                <w:rPr>
                  <w:rFonts w:hint="cs"/>
                  <w:rtl/>
                </w:rPr>
                <w:alias w:val="1486"/>
                <w:tag w:val="1486"/>
                <w:id w:val="-1699539220"/>
                <w:text w:multiLine="1"/>
              </w:sdtPr>
              <w:sdtEndPr/>
              <w:sdtContent>
                <w:r w:rsidR="00563203">
                  <w:rPr>
                    <w:rFonts w:hint="cs" w:ascii="Arial" w:hAnsi="Arial"/>
                    <w:b/>
                    <w:bCs/>
                    <w:noProof w:val="0"/>
                    <w:sz w:val="26"/>
                    <w:szCs w:val="26"/>
                    <w:rtl/>
                  </w:rPr>
                  <w:t>איי  איי גי  חברה לביטוח בע"מ</w:t>
                </w:r>
              </w:sdtContent>
            </w:sdt>
          </w:p>
        </w:tc>
      </w:tr>
    </w:tbl>
    <w:p w:rsidR="0094424E" w:rsidP="0094424E" w:rsidRDefault="0094424E">
      <w:pPr>
        <w:rPr>
          <w:rtl/>
        </w:rPr>
      </w:pPr>
    </w:p>
    <w:p w:rsidR="00E31C2B" w:rsidP="006D3B31" w:rsidRDefault="00E31C2B">
      <w:pPr>
        <w:suppressLineNumbers/>
        <w:rPr>
          <w:rFonts w:hint="cs"/>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2E4AD4" w:rsidP="005B0319" w:rsidRDefault="002E4AD4">
      <w:pPr>
        <w:spacing w:line="360" w:lineRule="auto"/>
        <w:jc w:val="both"/>
        <w:rPr>
          <w:rFonts w:ascii="Arial" w:hAnsi="Arial"/>
        </w:rPr>
      </w:pPr>
      <w:bookmarkStart w:name="NGCSBookmark" w:id="0"/>
      <w:bookmarkEnd w:id="0"/>
    </w:p>
    <w:p w:rsidR="002E4AD4" w:rsidP="005B0319" w:rsidRDefault="002E4AD4">
      <w:pPr>
        <w:spacing w:line="360" w:lineRule="auto"/>
        <w:jc w:val="both"/>
        <w:rPr>
          <w:rFonts w:ascii="Arial" w:hAnsi="Arial"/>
          <w:rtl/>
          <w:lang w:val="af-ZA"/>
        </w:rPr>
      </w:pPr>
    </w:p>
    <w:p w:rsidR="002E4AD4" w:rsidP="005B0319" w:rsidRDefault="002E4AD4">
      <w:pPr>
        <w:rPr>
          <w:sz w:val="20"/>
          <w:rtl/>
          <w:lang w:val="af-ZA" w:eastAsia="he-IL"/>
        </w:rPr>
      </w:pPr>
    </w:p>
    <w:p w:rsidR="002E4AD4" w:rsidP="005B0319" w:rsidRDefault="002E4AD4">
      <w:pPr>
        <w:spacing w:line="360" w:lineRule="auto"/>
        <w:ind w:left="720" w:hanging="720"/>
        <w:jc w:val="both"/>
      </w:pPr>
      <w:r>
        <w:rPr>
          <w:rFonts w:hint="cs"/>
          <w:rtl/>
        </w:rPr>
        <w:t>1.</w:t>
      </w:r>
      <w:r>
        <w:rPr>
          <w:rFonts w:hint="cs"/>
          <w:rtl/>
        </w:rPr>
        <w:tab/>
        <w:t>אני מורה כי העדויות הראשיות תוגשנה בדרך של תצהיר ובהעדר החלטה אחרת על המצהירים להופיע לביהמ"ש למועד שיקבע להוכחות.</w:t>
      </w:r>
    </w:p>
    <w:p w:rsidR="002E4AD4" w:rsidP="005B0319" w:rsidRDefault="002E4AD4">
      <w:pPr>
        <w:spacing w:line="360" w:lineRule="auto"/>
        <w:ind w:left="720" w:hanging="720"/>
        <w:jc w:val="both"/>
      </w:pPr>
    </w:p>
    <w:p w:rsidR="002E4AD4" w:rsidP="005B0319" w:rsidRDefault="002E4AD4">
      <w:pPr>
        <w:spacing w:line="360" w:lineRule="auto"/>
        <w:ind w:left="1440" w:hanging="720"/>
        <w:jc w:val="both"/>
        <w:rPr>
          <w:rtl/>
        </w:rPr>
      </w:pPr>
      <w:r>
        <w:rPr>
          <w:rFonts w:hint="cs"/>
          <w:rtl/>
        </w:rPr>
        <w:t xml:space="preserve">א. </w:t>
      </w:r>
      <w:r>
        <w:rPr>
          <w:rFonts w:hint="cs"/>
          <w:rtl/>
        </w:rPr>
        <w:tab/>
        <w:t>סדר הגשת התצהירים הוא כמפורט להלן:</w:t>
      </w:r>
    </w:p>
    <w:p w:rsidR="002E4AD4" w:rsidP="005B0319" w:rsidRDefault="002E4AD4">
      <w:pPr>
        <w:spacing w:line="360" w:lineRule="auto"/>
        <w:ind w:left="1440" w:hanging="720"/>
        <w:jc w:val="both"/>
      </w:pPr>
      <w:r>
        <w:rPr>
          <w:rFonts w:hint="cs"/>
          <w:rtl/>
        </w:rPr>
        <w:tab/>
        <w:t>התובע יגיש תצהירי עדיו תוך 30 יום מהיום.</w:t>
      </w:r>
    </w:p>
    <w:p w:rsidR="002E4AD4" w:rsidP="005B0319" w:rsidRDefault="009F32BF">
      <w:pPr>
        <w:spacing w:line="360" w:lineRule="auto"/>
        <w:ind w:left="1440" w:hanging="720"/>
        <w:jc w:val="both"/>
        <w:rPr>
          <w:rtl/>
        </w:rPr>
      </w:pPr>
      <w:r>
        <w:rPr>
          <w:rFonts w:hint="cs"/>
          <w:rtl/>
        </w:rPr>
        <w:tab/>
        <w:t>הנתבעות י</w:t>
      </w:r>
      <w:r w:rsidR="002E4AD4">
        <w:rPr>
          <w:rFonts w:hint="cs"/>
          <w:rtl/>
        </w:rPr>
        <w:t>גיש</w:t>
      </w:r>
      <w:r>
        <w:rPr>
          <w:rFonts w:hint="cs"/>
          <w:rtl/>
        </w:rPr>
        <w:t>ו תצהירי עדי</w:t>
      </w:r>
      <w:r w:rsidR="002E4AD4">
        <w:rPr>
          <w:rFonts w:hint="cs"/>
          <w:rtl/>
        </w:rPr>
        <w:t>ה</w:t>
      </w:r>
      <w:r>
        <w:rPr>
          <w:rFonts w:hint="cs"/>
          <w:rtl/>
        </w:rPr>
        <w:t>ן</w:t>
      </w:r>
      <w:r w:rsidR="002E4AD4">
        <w:rPr>
          <w:rFonts w:hint="cs"/>
          <w:rtl/>
        </w:rPr>
        <w:t xml:space="preserve"> תוך 30 יום לאחר מכן.</w:t>
      </w:r>
    </w:p>
    <w:p w:rsidR="002E4AD4" w:rsidP="00D731DA" w:rsidRDefault="002E4AD4">
      <w:pPr>
        <w:spacing w:line="360" w:lineRule="auto"/>
        <w:ind w:left="1440" w:hanging="720"/>
        <w:jc w:val="both"/>
        <w:rPr>
          <w:rtl/>
        </w:rPr>
      </w:pPr>
      <w:r>
        <w:rPr>
          <w:rFonts w:hint="cs"/>
          <w:rtl/>
        </w:rPr>
        <w:tab/>
      </w:r>
    </w:p>
    <w:p w:rsidR="002E4AD4" w:rsidP="005B0319" w:rsidRDefault="002E4AD4">
      <w:pPr>
        <w:spacing w:line="360" w:lineRule="auto"/>
        <w:ind w:left="1440" w:hanging="720"/>
        <w:jc w:val="both"/>
        <w:rPr>
          <w:rtl/>
        </w:rPr>
      </w:pPr>
      <w:r>
        <w:rPr>
          <w:rFonts w:hint="cs"/>
          <w:rtl/>
        </w:rPr>
        <w:t>ב.</w:t>
      </w:r>
      <w:r>
        <w:rPr>
          <w:rFonts w:hint="cs"/>
          <w:rtl/>
        </w:rPr>
        <w:tab/>
        <w:t>לתצהירי העדים יצורף תיק מסמכים אשר בדעת הצדדים להפכם למוצגים בתיק. כן יציין כל אחד מבעלי הדין את מספר העדים שעדותם אינה יכולה להיות מוגשת בתצהיר.</w:t>
      </w:r>
    </w:p>
    <w:p w:rsidR="002E4AD4" w:rsidP="005B0319" w:rsidRDefault="002E4AD4">
      <w:pPr>
        <w:spacing w:line="360" w:lineRule="auto"/>
        <w:ind w:left="1440" w:hanging="720"/>
        <w:jc w:val="both"/>
        <w:rPr>
          <w:rtl/>
        </w:rPr>
      </w:pPr>
    </w:p>
    <w:p w:rsidR="002E4AD4" w:rsidP="005B0319" w:rsidRDefault="002E4AD4">
      <w:pPr>
        <w:spacing w:line="360" w:lineRule="auto"/>
        <w:ind w:left="1440" w:hanging="720"/>
        <w:jc w:val="both"/>
        <w:rPr>
          <w:rtl/>
        </w:rPr>
      </w:pPr>
      <w:r>
        <w:rPr>
          <w:rFonts w:hint="cs"/>
          <w:rtl/>
        </w:rPr>
        <w:t xml:space="preserve">ג. </w:t>
      </w:r>
      <w:r>
        <w:rPr>
          <w:rFonts w:hint="cs"/>
          <w:rtl/>
        </w:rPr>
        <w:tab/>
        <w:t xml:space="preserve">כל אחד מבעלי הדין ימציא העתק מתצהירי עדיו ומתיק המסמכים, לרבות הודעתו לביהמ"ש, </w:t>
      </w:r>
      <w:r>
        <w:rPr>
          <w:rFonts w:hint="cs"/>
          <w:b/>
          <w:bCs/>
          <w:u w:val="single"/>
          <w:rtl/>
        </w:rPr>
        <w:t>ישירות</w:t>
      </w:r>
      <w:r>
        <w:rPr>
          <w:rFonts w:hint="cs"/>
          <w:rtl/>
        </w:rPr>
        <w:t xml:space="preserve"> לבעל הדין האחר.</w:t>
      </w:r>
    </w:p>
    <w:p w:rsidR="002E4AD4" w:rsidP="005B0319" w:rsidRDefault="002E4AD4">
      <w:pPr>
        <w:spacing w:line="360" w:lineRule="auto"/>
        <w:ind w:left="1440" w:hanging="720"/>
        <w:jc w:val="both"/>
        <w:rPr>
          <w:rtl/>
        </w:rPr>
      </w:pPr>
    </w:p>
    <w:p w:rsidR="002E4AD4" w:rsidP="005B0319" w:rsidRDefault="002E4AD4">
      <w:pPr>
        <w:spacing w:line="360" w:lineRule="auto"/>
        <w:ind w:left="1440" w:hanging="720"/>
        <w:jc w:val="both"/>
        <w:rPr>
          <w:rtl/>
        </w:rPr>
      </w:pPr>
      <w:r>
        <w:rPr>
          <w:rFonts w:hint="cs"/>
          <w:rtl/>
        </w:rPr>
        <w:t xml:space="preserve">ד. </w:t>
      </w:r>
      <w:r>
        <w:rPr>
          <w:rFonts w:hint="cs"/>
          <w:rtl/>
        </w:rPr>
        <w:tab/>
        <w:t>שום דבר האמור בתצהירי הצדדים לא יחרוג מגדר העובדות שהמצהירים יכולים להעיד עליהן מידיעתם האישית, ולתצהירים יצורפו אך ורק מסמכים אשר ניתן היה להגישם באמצעות המצהירים אילו היו מוסרים עדותם בעל פה במהלך המשפט.</w:t>
      </w:r>
    </w:p>
    <w:p w:rsidR="002E4AD4" w:rsidP="005B0319" w:rsidRDefault="002E4AD4">
      <w:pPr>
        <w:spacing w:line="360" w:lineRule="auto"/>
        <w:ind w:left="1440" w:hanging="720"/>
        <w:jc w:val="both"/>
        <w:rPr>
          <w:rtl/>
        </w:rPr>
      </w:pPr>
    </w:p>
    <w:p w:rsidR="002E4AD4" w:rsidP="005B0319" w:rsidRDefault="002E4AD4">
      <w:pPr>
        <w:spacing w:line="360" w:lineRule="auto"/>
        <w:ind w:left="1440" w:hanging="720"/>
        <w:jc w:val="both"/>
        <w:rPr>
          <w:rtl/>
        </w:rPr>
      </w:pPr>
      <w:r>
        <w:rPr>
          <w:rFonts w:hint="cs"/>
          <w:rtl/>
        </w:rPr>
        <w:lastRenderedPageBreak/>
        <w:t>ה.</w:t>
      </w:r>
      <w:r>
        <w:rPr>
          <w:rFonts w:hint="cs"/>
          <w:rtl/>
        </w:rPr>
        <w:tab/>
        <w:t>צד הסבור שבתצהירי הצד שכנגד נכללו הצהרות או שצורפו להם מסמכים, בניגוד לדיני הראיות, יהיה רשאי להשמיע התנגדויותיו בפתח הישיבה הבאה.</w:t>
      </w:r>
    </w:p>
    <w:p w:rsidR="002E4AD4" w:rsidP="005B0319" w:rsidRDefault="002E4AD4">
      <w:pPr>
        <w:spacing w:line="360" w:lineRule="auto"/>
        <w:ind w:left="1440" w:hanging="720"/>
        <w:jc w:val="both"/>
        <w:rPr>
          <w:rtl/>
        </w:rPr>
      </w:pPr>
    </w:p>
    <w:p w:rsidR="002E4AD4" w:rsidP="005B0319" w:rsidRDefault="002E4AD4">
      <w:pPr>
        <w:spacing w:line="360" w:lineRule="auto"/>
        <w:ind w:left="1440" w:hanging="720"/>
        <w:jc w:val="both"/>
        <w:rPr>
          <w:rtl/>
        </w:rPr>
      </w:pPr>
      <w:r>
        <w:rPr>
          <w:rFonts w:hint="cs"/>
          <w:rtl/>
        </w:rPr>
        <w:t>ו.</w:t>
      </w:r>
      <w:r>
        <w:rPr>
          <w:rFonts w:hint="cs"/>
          <w:rtl/>
        </w:rPr>
        <w:tab/>
        <w:t>הצדדים לא יהיו רשאים להעיד עדים אשר ניתן היה לקבל את עדויותיהם הראשיות בתצהירים.</w:t>
      </w:r>
    </w:p>
    <w:p w:rsidR="002E4AD4" w:rsidP="005B0319" w:rsidRDefault="002E4AD4">
      <w:pPr>
        <w:spacing w:line="360" w:lineRule="auto"/>
        <w:ind w:left="1440" w:hanging="720"/>
        <w:jc w:val="both"/>
        <w:rPr>
          <w:rtl/>
        </w:rPr>
      </w:pPr>
    </w:p>
    <w:p w:rsidR="002E4AD4" w:rsidP="005B0319" w:rsidRDefault="002E4AD4">
      <w:pPr>
        <w:spacing w:line="360" w:lineRule="auto"/>
        <w:ind w:left="1440" w:hanging="720"/>
        <w:jc w:val="both"/>
        <w:rPr>
          <w:rtl/>
        </w:rPr>
      </w:pPr>
    </w:p>
    <w:p w:rsidR="002E4AD4" w:rsidP="00DF1B51" w:rsidRDefault="00DF1B51">
      <w:pPr>
        <w:spacing w:line="360" w:lineRule="auto"/>
        <w:ind w:left="720" w:hanging="720"/>
        <w:jc w:val="both"/>
        <w:rPr>
          <w:rtl/>
        </w:rPr>
      </w:pPr>
      <w:r>
        <w:rPr>
          <w:rFonts w:hint="cs"/>
          <w:rtl/>
        </w:rPr>
        <w:t>2.</w:t>
      </w:r>
      <w:r>
        <w:rPr>
          <w:rFonts w:hint="cs"/>
          <w:rtl/>
        </w:rPr>
        <w:tab/>
        <w:t xml:space="preserve">נקבע לקדם משפט </w:t>
      </w:r>
      <w:r w:rsidR="002E4AD4">
        <w:rPr>
          <w:rFonts w:hint="cs"/>
          <w:rtl/>
        </w:rPr>
        <w:t xml:space="preserve"> </w:t>
      </w:r>
      <w:r>
        <w:rPr>
          <w:rFonts w:hint="cs"/>
          <w:rtl/>
        </w:rPr>
        <w:t xml:space="preserve"> ליום 15.10.18 </w:t>
      </w:r>
      <w:r w:rsidR="002E4AD4">
        <w:rPr>
          <w:rFonts w:hint="cs"/>
          <w:rtl/>
        </w:rPr>
        <w:t xml:space="preserve"> בשעה </w:t>
      </w:r>
      <w:r>
        <w:rPr>
          <w:rFonts w:hint="cs"/>
          <w:rtl/>
        </w:rPr>
        <w:t xml:space="preserve"> 9:15. </w:t>
      </w:r>
      <w:bookmarkStart w:name="_GoBack" w:id="1"/>
      <w:bookmarkEnd w:id="1"/>
    </w:p>
    <w:p w:rsidR="002E4AD4" w:rsidP="005B0319" w:rsidRDefault="002E4AD4">
      <w:pPr>
        <w:spacing w:line="360" w:lineRule="auto"/>
        <w:ind w:left="720" w:hanging="720"/>
        <w:jc w:val="both"/>
        <w:rPr>
          <w:rtl/>
        </w:rPr>
      </w:pPr>
    </w:p>
    <w:p w:rsidR="002E4AD4" w:rsidP="00DF1B51" w:rsidRDefault="002E4AD4">
      <w:pPr>
        <w:spacing w:line="360" w:lineRule="auto"/>
        <w:ind w:left="720" w:hanging="720"/>
        <w:jc w:val="both"/>
        <w:rPr>
          <w:rtl/>
        </w:rPr>
      </w:pPr>
      <w:r>
        <w:rPr>
          <w:rFonts w:hint="cs"/>
          <w:rtl/>
        </w:rPr>
        <w:tab/>
      </w:r>
    </w:p>
    <w:p w:rsidR="002E4AD4" w:rsidP="005B0319" w:rsidRDefault="002E4AD4">
      <w:pPr>
        <w:rPr>
          <w:sz w:val="20"/>
          <w:rtl/>
          <w:lang w:val="af-ZA" w:eastAsia="he-IL"/>
        </w:rPr>
      </w:pPr>
    </w:p>
    <w:p w:rsidR="002E4AD4" w:rsidRDefault="002E4AD4"/>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193D1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8859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3a4f1e4c3184021" cstate="print">
                            <a:extLst>
                              <a:ext uri="{28A0092B-C50C-407E-A947-70E740481C1C}"/>
                            </a:extLst>
                          </a:blip>
                          <a:stretch>
                            <a:fillRect/>
                          </a:stretch>
                        </pic:blipFill>
                        <pic:spPr>
                          <a:xfrm>
                            <a:off x="0" y="0"/>
                            <a:ext cx="1885950" cy="819150"/>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AD4" w:rsidRDefault="002E4AD4">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93D19">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93D19">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AD4" w:rsidRDefault="002E4AD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AD4" w:rsidRDefault="002E4AD4">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E4AD4">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8F533DA" wp14:editId="31D303CB">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בעפולה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563203" w:rsidRDefault="00193D19">
          <w:pPr>
            <w:rPr>
              <w:b/>
              <w:bCs/>
              <w:noProof w:val="0"/>
              <w:sz w:val="26"/>
              <w:szCs w:val="26"/>
              <w:rtl/>
            </w:rPr>
          </w:pPr>
          <w:sdt>
            <w:sdtPr>
              <w:rPr>
                <w:rtl/>
              </w:rPr>
              <w:alias w:val="1170"/>
              <w:tag w:val="1170"/>
              <w:id w:val="1066377040"/>
              <w:text w:multiLine="1"/>
            </w:sdtPr>
            <w:sdtEndPr/>
            <w:sdtContent>
              <w:r w:rsidR="00563203">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563203">
                <w:rPr>
                  <w:b/>
                  <w:bCs/>
                  <w:noProof w:val="0"/>
                  <w:sz w:val="26"/>
                  <w:szCs w:val="26"/>
                  <w:rtl/>
                </w:rPr>
                <w:t>17467-09-17</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AD4" w:rsidRDefault="002E4AD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75106"/>
    <o:shapelayout v:ext="edit">
      <o:idmap v:ext="edit" data="17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93D19"/>
    <w:rsid w:val="001C4003"/>
    <w:rsid w:val="001D4DBF"/>
    <w:rsid w:val="001E75CA"/>
    <w:rsid w:val="002265FF"/>
    <w:rsid w:val="002379A1"/>
    <w:rsid w:val="00271B56"/>
    <w:rsid w:val="002C344E"/>
    <w:rsid w:val="002E4AD4"/>
    <w:rsid w:val="002E75E9"/>
    <w:rsid w:val="00307A6A"/>
    <w:rsid w:val="00307C40"/>
    <w:rsid w:val="00320433"/>
    <w:rsid w:val="003230C7"/>
    <w:rsid w:val="00327E50"/>
    <w:rsid w:val="0033597A"/>
    <w:rsid w:val="00353C94"/>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C4BDF"/>
    <w:rsid w:val="004D1187"/>
    <w:rsid w:val="004D3AA0"/>
    <w:rsid w:val="004E1987"/>
    <w:rsid w:val="004E2E15"/>
    <w:rsid w:val="004E6E3C"/>
    <w:rsid w:val="00520898"/>
    <w:rsid w:val="00523621"/>
    <w:rsid w:val="00524986"/>
    <w:rsid w:val="005268F6"/>
    <w:rsid w:val="00534284"/>
    <w:rsid w:val="00547DB7"/>
    <w:rsid w:val="00563203"/>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127A0"/>
    <w:rsid w:val="0094424E"/>
    <w:rsid w:val="009622DF"/>
    <w:rsid w:val="00967DFF"/>
    <w:rsid w:val="00994341"/>
    <w:rsid w:val="009D1A48"/>
    <w:rsid w:val="009E1CE7"/>
    <w:rsid w:val="009E4EA5"/>
    <w:rsid w:val="009F164B"/>
    <w:rsid w:val="009F323C"/>
    <w:rsid w:val="009F32BF"/>
    <w:rsid w:val="00A3392B"/>
    <w:rsid w:val="00A94B64"/>
    <w:rsid w:val="00AA3229"/>
    <w:rsid w:val="00AA7596"/>
    <w:rsid w:val="00AB5E52"/>
    <w:rsid w:val="00AC3B02"/>
    <w:rsid w:val="00AC3B7B"/>
    <w:rsid w:val="00AC4CEC"/>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50A9F"/>
    <w:rsid w:val="00C642FA"/>
    <w:rsid w:val="00CC7622"/>
    <w:rsid w:val="00CF4AD5"/>
    <w:rsid w:val="00D27982"/>
    <w:rsid w:val="00D33B86"/>
    <w:rsid w:val="00D53924"/>
    <w:rsid w:val="00D55D0C"/>
    <w:rsid w:val="00D731DA"/>
    <w:rsid w:val="00D96D8C"/>
    <w:rsid w:val="00DA6649"/>
    <w:rsid w:val="00DC1259"/>
    <w:rsid w:val="00DC1BD2"/>
    <w:rsid w:val="00DC2571"/>
    <w:rsid w:val="00DC487C"/>
    <w:rsid w:val="00DE6BF6"/>
    <w:rsid w:val="00DF1B51"/>
    <w:rsid w:val="00E1068A"/>
    <w:rsid w:val="00E25884"/>
    <w:rsid w:val="00E31C2B"/>
    <w:rsid w:val="00E5426A"/>
    <w:rsid w:val="00E54642"/>
    <w:rsid w:val="00E80CBE"/>
    <w:rsid w:val="00E962E3"/>
    <w:rsid w:val="00EB6C79"/>
    <w:rsid w:val="00EC37E9"/>
    <w:rsid w:val="00F06995"/>
    <w:rsid w:val="00F13623"/>
    <w:rsid w:val="00F25323"/>
    <w:rsid w:val="00F44D1D"/>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5106"/>
    <o:shapelayout v:ext="edit">
      <o:idmap v:ext="edit" data="1"/>
    </o:shapelayout>
  </w:shapeDefaults>
  <w:decimalSymbol w:val="."/>
  <w:listSeparator w:val=","/>
  <w14:docId w14:val="29C800D2"/>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23a4f1e4c318402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DB186E" w:rsidP="00DB186E">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36134B" w:rsidRDefault="00DB186E" w:rsidP="00DB186E">
          <w:pPr>
            <w:pStyle w:val="D290653DA13E4E738B7E725F79D733298"/>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2041E8"/>
    <w:rsid w:val="002D02C4"/>
    <w:rsid w:val="00345C9D"/>
    <w:rsid w:val="0036134B"/>
    <w:rsid w:val="0048651F"/>
    <w:rsid w:val="00556D67"/>
    <w:rsid w:val="00793995"/>
    <w:rsid w:val="007C6F98"/>
    <w:rsid w:val="007D6678"/>
    <w:rsid w:val="008B4366"/>
    <w:rsid w:val="009133C7"/>
    <w:rsid w:val="00961B27"/>
    <w:rsid w:val="00AA7CE3"/>
    <w:rsid w:val="00B91FA3"/>
    <w:rsid w:val="00C96C06"/>
    <w:rsid w:val="00DB186E"/>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186E"/>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DB186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DB186E"/>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208</Words>
  <Characters>1041</Characters>
  <Application>Microsoft Office Word</Application>
  <DocSecurity>0</DocSecurity>
  <Lines>8</Lines>
  <Paragraphs>2</Paragraphs>
  <ScaleCrop>false</ScaleCrop>
  <Company>Microsoft Corporation</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מאג'דה ג'ובראן מורקוס</cp:lastModifiedBy>
  <cp:revision>105</cp:revision>
  <dcterms:created xsi:type="dcterms:W3CDTF">2012-08-06T05:16:00Z</dcterms:created>
  <dcterms:modified xsi:type="dcterms:W3CDTF">2018-04-12T12:18:00Z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