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נעה תבור</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מאשימה</w:t>
                </w:r>
              </w:sdtContent>
            </w:sdt>
            <w:r>
              <w:rPr>
                <w:rFonts w:hint="cs" w:ascii="Arial" w:hAnsi="Arial"/>
                <w:b/>
                <w:bCs/>
                <w:noProof w:val="0"/>
                <w:sz w:val="26"/>
                <w:szCs w:val="26"/>
                <w:rtl/>
              </w:rPr>
              <w:t>:</w:t>
            </w:r>
          </w:p>
        </w:tc>
        <w:tc>
          <w:tcPr>
            <w:tcW w:w="5362" w:type="dxa"/>
            <w:gridSpan w:val="2"/>
          </w:tcPr>
          <w:p w:rsidRPr="003A2359" w:rsidR="00B02C76" w:rsidP="000C57C4" w:rsidRDefault="00F92279">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רשות המיסים-מע"מ:היחידה המשפטית לתיקים מיוחדים</w:t>
                </w:r>
                <w:r w:rsidR="000C57C4">
                  <w:rPr>
                    <w:rFonts w:ascii="Arial" w:hAnsi="Arial"/>
                    <w:b/>
                    <w:bCs/>
                    <w:noProof w:val="0"/>
                    <w:sz w:val="26"/>
                    <w:szCs w:val="26"/>
                    <w:rtl/>
                  </w:rPr>
                  <w:br/>
                </w:r>
                <w:r w:rsidR="000C57C4">
                  <w:rPr>
                    <w:rFonts w:hint="cs"/>
                    <w:sz w:val="26"/>
                    <w:szCs w:val="26"/>
                    <w:rtl/>
                  </w:rPr>
                  <w:t>ע"י ב"כ עו"ד לירון וקנין</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נאשמים</w:t>
                </w:r>
              </w:sdtContent>
            </w:sdt>
            <w:r>
              <w:rPr>
                <w:rFonts w:hint="cs" w:ascii="Arial" w:hAnsi="Arial"/>
                <w:b/>
                <w:bCs/>
                <w:noProof w:val="0"/>
                <w:sz w:val="26"/>
                <w:szCs w:val="26"/>
                <w:rtl/>
              </w:rPr>
              <w:t>:</w:t>
            </w:r>
          </w:p>
        </w:tc>
        <w:tc>
          <w:tcPr>
            <w:tcW w:w="5362" w:type="dxa"/>
            <w:gridSpan w:val="2"/>
          </w:tcPr>
          <w:p w:rsidRPr="003A2359" w:rsidR="00B02C76" w:rsidP="00B02C76" w:rsidRDefault="00F92279">
            <w:pPr>
              <w:rPr>
                <w:sz w:val="26"/>
                <w:szCs w:val="26"/>
                <w:rtl/>
              </w:rPr>
            </w:pPr>
            <w:sdt>
              <w:sdtPr>
                <w:rPr>
                  <w:sz w:val="26"/>
                  <w:szCs w:val="26"/>
                  <w:rtl/>
                </w:rPr>
                <w:alias w:val="1571"/>
                <w:tag w:val="1571"/>
                <w:id w:val="1028836282"/>
                <w:text w:multiLine="1"/>
              </w:sdtPr>
              <w:sdtEndPr/>
              <w:sdtContent>
                <w:r w:rsidR="00B244A6">
                  <w:rPr>
                    <w:rFonts w:ascii="Arial" w:hAnsi="Arial"/>
                    <w:b/>
                    <w:bCs/>
                    <w:noProof w:val="0"/>
                    <w:sz w:val="26"/>
                    <w:szCs w:val="26"/>
                    <w:rtl/>
                  </w:rPr>
                  <w:t>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B244A6">
                  <w:rPr>
                    <w:rFonts w:ascii="Arial" w:hAnsi="Arial"/>
                    <w:b/>
                    <w:bCs/>
                    <w:noProof w:val="0"/>
                    <w:sz w:val="26"/>
                    <w:szCs w:val="26"/>
                    <w:rtl/>
                  </w:rPr>
                  <w:t>משה פרחי</w:t>
                </w:r>
              </w:sdtContent>
            </w:sdt>
          </w:p>
          <w:p w:rsidRPr="003A2359" w:rsidR="00B02C76" w:rsidP="00B02C76" w:rsidRDefault="00F92279">
            <w:pPr>
              <w:rPr>
                <w:sz w:val="26"/>
                <w:szCs w:val="26"/>
                <w:rtl/>
              </w:rPr>
            </w:pPr>
            <w:sdt>
              <w:sdtPr>
                <w:rPr>
                  <w:sz w:val="26"/>
                  <w:szCs w:val="26"/>
                  <w:rtl/>
                </w:rPr>
                <w:alias w:val="1571"/>
                <w:tag w:val="1571"/>
                <w:id w:val="-839472237"/>
                <w:text w:multiLine="1"/>
              </w:sdtPr>
              <w:sdtEndPr/>
              <w:sdtContent>
                <w:r w:rsidR="00B244A6">
                  <w:rPr>
                    <w:rFonts w:ascii="Arial" w:hAnsi="Arial"/>
                    <w:b/>
                    <w:bCs/>
                    <w:noProof w:val="0"/>
                    <w:sz w:val="26"/>
                    <w:szCs w:val="26"/>
                    <w:rtl/>
                  </w:rPr>
                  <w:t>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722863790"/>
                <w:text w:multiLine="1"/>
              </w:sdtPr>
              <w:sdtEndPr/>
              <w:sdtContent>
                <w:r w:rsidR="00B244A6">
                  <w:rPr>
                    <w:rFonts w:ascii="Arial" w:hAnsi="Arial"/>
                    <w:b/>
                    <w:bCs/>
                    <w:noProof w:val="0"/>
                    <w:sz w:val="26"/>
                    <w:szCs w:val="26"/>
                    <w:rtl/>
                  </w:rPr>
                  <w:t>ב.א. נועה</w:t>
                </w:r>
                <w:r w:rsidR="000C57C4">
                  <w:rPr>
                    <w:rFonts w:ascii="Arial" w:hAnsi="Arial"/>
                    <w:b/>
                    <w:bCs/>
                    <w:noProof w:val="0"/>
                    <w:sz w:val="26"/>
                    <w:szCs w:val="26"/>
                    <w:rtl/>
                  </w:rPr>
                  <w:br/>
                </w:r>
                <w:r w:rsidR="000C57C4">
                  <w:rPr>
                    <w:rFonts w:hint="cs"/>
                    <w:sz w:val="26"/>
                    <w:szCs w:val="26"/>
                    <w:rtl/>
                  </w:rPr>
                  <w:t>ע"י ב"כ עו"ד תמיר סולומון</w:t>
                </w:r>
              </w:sdtContent>
            </w:sdt>
          </w:p>
        </w:tc>
      </w:tr>
      <w:tr w:rsidRPr="00FA4EAF" w:rsidR="00B02C76" w:rsidTr="008924AB">
        <w:tc>
          <w:tcPr>
            <w:tcW w:w="8505" w:type="dxa"/>
            <w:gridSpan w:val="3"/>
          </w:tcPr>
          <w:p w:rsidR="0092359E" w:rsidRDefault="0092359E">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P="0043178D" w:rsidRDefault="00A5064C">
      <w:pPr>
        <w:spacing w:line="360" w:lineRule="auto"/>
        <w:ind w:left="720" w:hanging="720"/>
        <w:jc w:val="both"/>
        <w:rPr>
          <w:rFonts w:ascii="Arial" w:hAnsi="Arial"/>
          <w:noProof w:val="0"/>
          <w:rtl/>
        </w:rPr>
      </w:pPr>
      <w:bookmarkStart w:name="NGCSBookmark" w:id="0"/>
      <w:bookmarkEnd w:id="0"/>
      <w:r>
        <w:rPr>
          <w:rFonts w:hint="cs" w:ascii="Arial" w:hAnsi="Arial"/>
          <w:noProof w:val="0"/>
          <w:rtl/>
        </w:rPr>
        <w:t>1.</w:t>
      </w:r>
      <w:r>
        <w:rPr>
          <w:rFonts w:ascii="Arial" w:hAnsi="Arial"/>
          <w:noProof w:val="0"/>
          <w:rtl/>
        </w:rPr>
        <w:tab/>
      </w:r>
      <w:r w:rsidR="0043178D">
        <w:rPr>
          <w:rFonts w:hint="cs" w:ascii="Arial" w:hAnsi="Arial"/>
          <w:noProof w:val="0"/>
          <w:rtl/>
        </w:rPr>
        <w:t xml:space="preserve">בתאריך 21.2.18 נשמעו </w:t>
      </w:r>
      <w:r>
        <w:rPr>
          <w:rFonts w:hint="cs" w:ascii="Arial" w:hAnsi="Arial"/>
          <w:noProof w:val="0"/>
          <w:rtl/>
        </w:rPr>
        <w:t xml:space="preserve">סיכומי הצדדים משך מספר שעות וניתנה לשני הצדדים הזדמנות </w:t>
      </w:r>
      <w:r w:rsidR="0043178D">
        <w:rPr>
          <w:rFonts w:hint="cs" w:ascii="Arial" w:hAnsi="Arial"/>
          <w:noProof w:val="0"/>
          <w:rtl/>
        </w:rPr>
        <w:t xml:space="preserve">מלאה </w:t>
      </w:r>
      <w:r>
        <w:rPr>
          <w:rFonts w:hint="cs" w:ascii="Arial" w:hAnsi="Arial"/>
          <w:noProof w:val="0"/>
          <w:rtl/>
        </w:rPr>
        <w:t>להביא בהרחבה טיעוניהם המפורטים.</w:t>
      </w:r>
    </w:p>
    <w:p w:rsidR="0043178D" w:rsidP="00C869A3" w:rsidRDefault="00A5064C">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כמובן שבעת הסיכומים נשאלו שני הצדדים שאלות על ידי בית המשפט והתבקשו להתייחס לנקודות שונות שעלו משמיעת הראיות</w:t>
      </w:r>
      <w:r w:rsidR="0043178D">
        <w:rPr>
          <w:rFonts w:hint="cs" w:ascii="Arial" w:hAnsi="Arial"/>
          <w:noProof w:val="0"/>
          <w:rtl/>
        </w:rPr>
        <w:t>.</w:t>
      </w:r>
      <w:r>
        <w:rPr>
          <w:rFonts w:hint="cs" w:ascii="Arial" w:hAnsi="Arial"/>
          <w:noProof w:val="0"/>
          <w:rtl/>
        </w:rPr>
        <w:t xml:space="preserve"> אין בהעלאת שאלות משום </w:t>
      </w:r>
      <w:r w:rsidR="0043178D">
        <w:rPr>
          <w:rFonts w:hint="cs" w:ascii="Arial" w:hAnsi="Arial"/>
          <w:noProof w:val="0"/>
          <w:rtl/>
        </w:rPr>
        <w:t xml:space="preserve">מתן </w:t>
      </w:r>
      <w:r>
        <w:rPr>
          <w:rFonts w:hint="cs" w:ascii="Arial" w:hAnsi="Arial"/>
          <w:noProof w:val="0"/>
          <w:rtl/>
        </w:rPr>
        <w:t>אפשרות להגשת סיכומים נוספים</w:t>
      </w:r>
      <w:r w:rsidR="0043178D">
        <w:rPr>
          <w:rFonts w:hint="cs" w:ascii="Arial" w:hAnsi="Arial"/>
          <w:noProof w:val="0"/>
          <w:rtl/>
        </w:rPr>
        <w:t xml:space="preserve"> בכתב. הצדדים לא ביקשו זאת ולא התרתי כדבר הזה לא במפורש ולא במשתמע ובאותו מע</w:t>
      </w:r>
      <w:r w:rsidR="00C869A3">
        <w:rPr>
          <w:rFonts w:hint="cs" w:ascii="Arial" w:hAnsi="Arial"/>
          <w:noProof w:val="0"/>
          <w:rtl/>
        </w:rPr>
        <w:t>מ</w:t>
      </w:r>
      <w:r w:rsidR="0043178D">
        <w:rPr>
          <w:rFonts w:hint="cs" w:ascii="Arial" w:hAnsi="Arial"/>
          <w:noProof w:val="0"/>
          <w:rtl/>
        </w:rPr>
        <w:t xml:space="preserve">ד נקבע מועד שימוע הכרעת הדין. </w:t>
      </w:r>
    </w:p>
    <w:p w:rsidR="00A5064C" w:rsidP="00C869A3" w:rsidRDefault="0043178D">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על אף זאת, הגיש הסנגור הודעה ובה "הבהרה" לשאלות בית המשפט במהלך הסיכומים. </w:t>
      </w:r>
      <w:r w:rsidR="00C869A3">
        <w:rPr>
          <w:rFonts w:hint="cs" w:ascii="Arial" w:hAnsi="Arial"/>
          <w:noProof w:val="0"/>
          <w:rtl/>
        </w:rPr>
        <w:t>הודעה</w:t>
      </w:r>
      <w:r>
        <w:rPr>
          <w:rFonts w:hint="cs" w:ascii="Arial" w:hAnsi="Arial"/>
          <w:noProof w:val="0"/>
          <w:rtl/>
        </w:rPr>
        <w:t xml:space="preserve"> זו </w:t>
      </w:r>
      <w:r w:rsidR="00C869A3">
        <w:rPr>
          <w:rFonts w:hint="cs" w:ascii="Arial" w:hAnsi="Arial"/>
          <w:noProof w:val="0"/>
          <w:rtl/>
        </w:rPr>
        <w:t xml:space="preserve">(שלא לוותה בבקשה להגישה) </w:t>
      </w:r>
      <w:r>
        <w:rPr>
          <w:rFonts w:hint="cs" w:ascii="Arial" w:hAnsi="Arial"/>
          <w:noProof w:val="0"/>
          <w:rtl/>
        </w:rPr>
        <w:t xml:space="preserve">הוגשה בתאריך 8.4.18 בהיקף של 13 עמודים. </w:t>
      </w:r>
    </w:p>
    <w:p w:rsidR="0043178D" w:rsidP="0043178D" w:rsidRDefault="0043178D">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המאשימה התנגדה להגשת המסמך ולחילופין הגישה התייחסות לגופו.</w:t>
      </w:r>
      <w:r w:rsidR="00ED4988">
        <w:rPr>
          <w:rFonts w:hint="cs" w:ascii="Arial" w:hAnsi="Arial"/>
          <w:noProof w:val="0"/>
          <w:rtl/>
        </w:rPr>
        <w:t xml:space="preserve"> </w:t>
      </w:r>
    </w:p>
    <w:p w:rsidR="00ED4988" w:rsidP="00ED4988" w:rsidRDefault="00ED4988">
      <w:pPr>
        <w:spacing w:line="360" w:lineRule="auto"/>
        <w:ind w:left="720" w:hanging="720"/>
        <w:jc w:val="both"/>
        <w:rPr>
          <w:rFonts w:hint="cs" w:ascii="Arial" w:hAnsi="Arial"/>
          <w:noProof w:val="0"/>
          <w:rtl/>
        </w:rPr>
      </w:pPr>
      <w:r>
        <w:rPr>
          <w:rFonts w:hint="cs" w:ascii="Arial" w:hAnsi="Arial"/>
          <w:noProof w:val="0"/>
          <w:rtl/>
        </w:rPr>
        <w:t>5.</w:t>
      </w:r>
      <w:r>
        <w:rPr>
          <w:rFonts w:ascii="Arial" w:hAnsi="Arial"/>
          <w:noProof w:val="0"/>
          <w:rtl/>
        </w:rPr>
        <w:tab/>
      </w:r>
      <w:r>
        <w:rPr>
          <w:rFonts w:hint="cs" w:ascii="Arial" w:hAnsi="Arial"/>
          <w:noProof w:val="0"/>
          <w:rtl/>
        </w:rPr>
        <w:t xml:space="preserve">הרבה לפנים משורת הדין אני מתירה </w:t>
      </w:r>
      <w:bookmarkStart w:name="_GoBack" w:id="1"/>
      <w:bookmarkEnd w:id="1"/>
      <w:r>
        <w:rPr>
          <w:rFonts w:hint="cs" w:ascii="Arial" w:hAnsi="Arial"/>
          <w:noProof w:val="0"/>
          <w:rtl/>
        </w:rPr>
        <w:t>הגשת מסמך ההבהרה ותגובת המאשימה, מבלי שיש בכך לקבל טענות עובדתיות חדשות שהועלו לראשונה באותו מסמך</w:t>
      </w:r>
      <w:r w:rsidR="00C869A3">
        <w:rPr>
          <w:rFonts w:hint="cs" w:ascii="Arial" w:hAnsi="Arial"/>
          <w:noProof w:val="0"/>
          <w:rtl/>
        </w:rPr>
        <w:t>. כדי לשמר את עקרון זכות המילה האחרונה לנאשם, אני מתירה הגשת תגובה לעמדת המאשימה בהיקף שלא יעלה על עמוד אחד. תגובה (אם הסנגור מוצא בה צורך) תוגש לא יאוחר מיום 16.4.18.</w:t>
      </w:r>
    </w:p>
    <w:p w:rsidR="00C869A3" w:rsidP="00C869A3" w:rsidRDefault="00C869A3">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Pr>
          <w:rFonts w:hint="cs" w:ascii="Arial" w:hAnsi="Arial"/>
          <w:noProof w:val="0"/>
          <w:rtl/>
        </w:rPr>
        <w:t>אין שינוי במועד שנקבע לשימוע הכרעת הדין.</w:t>
      </w:r>
    </w:p>
    <w:p w:rsidR="00C869A3" w:rsidP="00C869A3" w:rsidRDefault="00C869A3">
      <w:pPr>
        <w:spacing w:line="360" w:lineRule="auto"/>
        <w:ind w:left="720" w:hanging="720"/>
        <w:jc w:val="both"/>
        <w:rPr>
          <w:rFonts w:ascii="Arial" w:hAnsi="Arial"/>
          <w:noProof w:val="0"/>
          <w:rtl/>
        </w:rPr>
      </w:pPr>
    </w:p>
    <w:p w:rsidR="00C869A3" w:rsidP="00C869A3" w:rsidRDefault="00C869A3">
      <w:pPr>
        <w:spacing w:line="360" w:lineRule="auto"/>
        <w:ind w:left="720" w:hanging="720"/>
        <w:jc w:val="both"/>
        <w:rPr>
          <w:rFonts w:ascii="Arial" w:hAnsi="Arial"/>
          <w:noProof w:val="0"/>
          <w:rtl/>
        </w:rPr>
      </w:pPr>
    </w:p>
    <w:p w:rsidRPr="00C869A3" w:rsidR="00C869A3" w:rsidP="00C869A3" w:rsidRDefault="00C869A3">
      <w:pPr>
        <w:spacing w:line="360" w:lineRule="auto"/>
        <w:ind w:left="720" w:hanging="720"/>
        <w:jc w:val="both"/>
        <w:rPr>
          <w:rFonts w:ascii="Arial" w:hAnsi="Arial"/>
          <w:b/>
          <w:bCs/>
          <w:noProof w:val="0"/>
          <w:rtl/>
        </w:rPr>
      </w:pPr>
      <w:r w:rsidRPr="00C869A3">
        <w:rPr>
          <w:rFonts w:hint="cs" w:ascii="Arial" w:hAnsi="Arial"/>
          <w:b/>
          <w:bCs/>
          <w:noProof w:val="0"/>
          <w:rtl/>
        </w:rPr>
        <w:t>המזכירות תעביר לידיעת הצדדים בדחיפות.</w:t>
      </w:r>
    </w:p>
    <w:p w:rsidR="00C869A3" w:rsidP="00C869A3" w:rsidRDefault="00C869A3">
      <w:pPr>
        <w:spacing w:line="360" w:lineRule="auto"/>
        <w:ind w:left="720" w:hanging="720"/>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F9227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76424"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5589012049b4f75" cstate="print">
                            <a:extLst>
                              <a:ext uri="{28A0092B-C50C-407E-A947-70E740481C1C}"/>
                            </a:extLst>
                          </a:blip>
                          <a:stretch>
                            <a:fillRect/>
                          </a:stretch>
                        </pic:blipFill>
                        <pic:spPr>
                          <a:xfrm>
                            <a:off x="0" y="0"/>
                            <a:ext cx="1876424" cy="819150"/>
                          </a:xfrm>
                          <a:prstGeom prst="rect">
                            <a:avLst/>
                          </a:prstGeom>
                        </pic:spPr>
                      </pic:pic>
                    </a:graphicData>
                  </a:graphic>
                </wp:inline>
              </w:drawing>
            </w:r>
          </w:p>
        </w:sdtContent>
      </w:sdt>
    </w:p>
    <w:sectPr w:rsidR="00694556" w:rsidSect="00954A70">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F92279">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F92279">
      <w:rPr>
        <w:rStyle w:val="ab"/>
        <w:rtl/>
      </w:rPr>
      <w:t>2</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5064C">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F92279">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ת"פ</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8775-10-15</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רשות המיסים-מע"מ:היחידה המשפטית לתיקים מיוחדים נ' פרחי ואח'</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C57C4"/>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178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2359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5064C"/>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869A3"/>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ED4988"/>
    <w:rsid w:val="00F06995"/>
    <w:rsid w:val="00F13623"/>
    <w:rsid w:val="00F44D1D"/>
    <w:rsid w:val="00F84B6D"/>
    <w:rsid w:val="00F92279"/>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3E40DC5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5589012049b4f7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216</Words>
  <Characters>1081</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נעה תבור</cp:lastModifiedBy>
  <cp:revision>156</cp:revision>
  <dcterms:created xsi:type="dcterms:W3CDTF">2012-08-06T05:16:00Z</dcterms:created>
  <dcterms:modified xsi:type="dcterms:W3CDTF">2018-04-12T07:09:00Z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