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אמיר סלאמה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34316" w:rsidP="00170639" w:rsidRDefault="002676D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676D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עאדל גנאים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hint="cs"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170639" w:rsidRDefault="002676D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17063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2676D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אביבה קפלן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D34316" w:rsidRDefault="00D34316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D34316" w:rsidRDefault="00D3431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</w:p>
    <w:p w:rsidRPr="00DE1E7D" w:rsidR="00694556" w:rsidRDefault="00694556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170639" w:rsidP="00170639" w:rsidRDefault="00170639">
      <w:pPr>
        <w:spacing w:line="360" w:lineRule="auto"/>
        <w:ind w:left="418" w:hanging="418"/>
        <w:jc w:val="both"/>
        <w:rPr>
          <w:rFonts w:ascii="Arial" w:hAnsi="Arial"/>
        </w:rPr>
      </w:pPr>
      <w:r>
        <w:rPr>
          <w:rFonts w:hint="cs" w:ascii="Arial" w:hAnsi="Arial"/>
          <w:rtl/>
        </w:rPr>
        <w:t>1.</w:t>
      </w:r>
      <w:r>
        <w:rPr>
          <w:rFonts w:hint="cs" w:ascii="Arial" w:hAnsi="Arial"/>
          <w:rtl/>
        </w:rPr>
        <w:tab/>
        <w:t xml:space="preserve">הצדדים מוזמנים </w:t>
      </w:r>
      <w:r>
        <w:rPr>
          <w:rFonts w:hint="cs" w:ascii="Arial" w:hAnsi="Arial"/>
          <w:u w:val="single"/>
          <w:rtl/>
        </w:rPr>
        <w:t>לישיבת הוכחות</w:t>
      </w:r>
      <w:r>
        <w:rPr>
          <w:rFonts w:hint="cs" w:ascii="Arial" w:hAnsi="Arial"/>
          <w:rtl/>
        </w:rPr>
        <w:t xml:space="preserve"> (בתביעות המאוחדות) שתתקיים </w:t>
      </w:r>
      <w:r>
        <w:rPr>
          <w:rFonts w:hint="cs" w:ascii="Arial" w:hAnsi="Arial"/>
          <w:b/>
          <w:bCs/>
          <w:u w:val="single"/>
          <w:rtl/>
        </w:rPr>
        <w:t>ביום 1.7.2018  בשעה 09:00</w:t>
      </w:r>
      <w:r>
        <w:rPr>
          <w:rFonts w:hint="cs" w:ascii="Arial" w:hAnsi="Arial"/>
          <w:rtl/>
        </w:rPr>
        <w:t>.</w:t>
      </w:r>
    </w:p>
    <w:p w:rsidR="00170639" w:rsidP="00170639" w:rsidRDefault="00170639">
      <w:pPr>
        <w:spacing w:line="360" w:lineRule="auto"/>
        <w:ind w:left="418"/>
        <w:jc w:val="both"/>
        <w:rPr>
          <w:rFonts w:hint="cs" w:ascii="Arial" w:hAnsi="Arial"/>
          <w:rtl/>
        </w:rPr>
      </w:pPr>
      <w:r>
        <w:rPr>
          <w:rFonts w:hint="cs" w:ascii="Arial" w:hAnsi="Arial"/>
          <w:u w:val="single"/>
          <w:rtl/>
        </w:rPr>
        <w:t>בתום שמיעת העדויות יסכמו הצדדים טענותיהם על-פה</w:t>
      </w:r>
      <w:r>
        <w:rPr>
          <w:rFonts w:hint="cs" w:ascii="Arial" w:hAnsi="Arial"/>
          <w:rtl/>
        </w:rPr>
        <w:t xml:space="preserve">. </w:t>
      </w:r>
    </w:p>
    <w:p w:rsidR="00170639" w:rsidP="00170639" w:rsidRDefault="00170639">
      <w:pPr>
        <w:spacing w:line="360" w:lineRule="auto"/>
        <w:ind w:left="418" w:hanging="418"/>
        <w:jc w:val="both"/>
        <w:rPr>
          <w:rFonts w:ascii="Arial" w:hAnsi="Arial"/>
        </w:rPr>
      </w:pPr>
      <w:bookmarkStart w:name="_GoBack" w:id="1"/>
      <w:bookmarkEnd w:id="1"/>
    </w:p>
    <w:p w:rsidR="00170639" w:rsidP="00170639" w:rsidRDefault="00170639">
      <w:pPr>
        <w:spacing w:line="360" w:lineRule="auto"/>
        <w:ind w:left="418" w:hanging="418"/>
        <w:jc w:val="both"/>
        <w:rPr>
          <w:rFonts w:ascii="Arial" w:hAnsi="Arial"/>
        </w:rPr>
      </w:pPr>
      <w:r>
        <w:rPr>
          <w:rFonts w:hint="cs" w:ascii="Arial" w:hAnsi="Arial"/>
          <w:rtl/>
        </w:rPr>
        <w:t>2.</w:t>
      </w:r>
      <w:r>
        <w:rPr>
          <w:rFonts w:hint="cs" w:ascii="Arial" w:hAnsi="Arial"/>
          <w:rtl/>
        </w:rPr>
        <w:tab/>
        <w:t xml:space="preserve">ככל שתותר, לאחר מתן החלטה זו, הגשת הודעה לצד שלישי – על המודיע לצד שלישי להמציא את ההחלטה למקבל ההודעה, בד-בבד עם המצאת ההודעה לצד שלישי. </w:t>
      </w:r>
    </w:p>
    <w:p w:rsidR="00170639" w:rsidP="00170639" w:rsidRDefault="00170639">
      <w:pPr>
        <w:spacing w:line="360" w:lineRule="auto"/>
        <w:ind w:left="418" w:hanging="418"/>
        <w:jc w:val="both"/>
        <w:rPr>
          <w:rFonts w:hint="cs" w:ascii="Arial" w:hAnsi="Arial"/>
          <w:rtl/>
        </w:rPr>
      </w:pPr>
    </w:p>
    <w:p w:rsidR="00170639" w:rsidP="00170639" w:rsidRDefault="00170639">
      <w:pPr>
        <w:spacing w:line="360" w:lineRule="auto"/>
        <w:ind w:left="418" w:hanging="418"/>
        <w:jc w:val="both"/>
        <w:rPr>
          <w:rFonts w:ascii="Arial" w:hAnsi="Arial"/>
        </w:rPr>
      </w:pPr>
      <w:r>
        <w:rPr>
          <w:rFonts w:hint="cs" w:ascii="Arial" w:hAnsi="Arial"/>
          <w:rtl/>
        </w:rPr>
        <w:t>3.</w:t>
      </w:r>
      <w:r>
        <w:rPr>
          <w:rFonts w:hint="cs" w:ascii="Arial" w:hAnsi="Arial"/>
          <w:rtl/>
        </w:rPr>
        <w:tab/>
        <w:t>עדויות העדים תישמענה בעל פה.</w:t>
      </w:r>
    </w:p>
    <w:p w:rsidR="00170639" w:rsidP="00170639" w:rsidRDefault="00170639">
      <w:pPr>
        <w:spacing w:line="360" w:lineRule="auto"/>
        <w:ind w:left="418" w:hanging="418"/>
        <w:jc w:val="both"/>
        <w:rPr>
          <w:rFonts w:ascii="Arial" w:hAnsi="Arial"/>
        </w:rPr>
      </w:pPr>
    </w:p>
    <w:p w:rsidR="00170639" w:rsidP="00170639" w:rsidRDefault="00170639">
      <w:pPr>
        <w:spacing w:line="360" w:lineRule="auto"/>
        <w:ind w:left="418" w:hanging="418"/>
        <w:jc w:val="both"/>
        <w:rPr>
          <w:rFonts w:ascii="Arial" w:hAnsi="Arial"/>
        </w:rPr>
      </w:pPr>
      <w:r>
        <w:rPr>
          <w:rFonts w:hint="cs" w:ascii="Arial" w:hAnsi="Arial"/>
          <w:rtl/>
        </w:rPr>
        <w:t>4.</w:t>
      </w:r>
      <w:r>
        <w:rPr>
          <w:rFonts w:hint="cs" w:ascii="Arial" w:hAnsi="Arial"/>
          <w:rtl/>
        </w:rPr>
        <w:tab/>
        <w:t>על בעלי-הדין לזמן את עדיהם מעוד מועד.</w:t>
      </w:r>
    </w:p>
    <w:p w:rsidR="00170639" w:rsidP="00170639" w:rsidRDefault="00170639">
      <w:pPr>
        <w:spacing w:line="360" w:lineRule="auto"/>
        <w:ind w:left="418" w:hanging="418"/>
        <w:jc w:val="both"/>
        <w:rPr>
          <w:rFonts w:hint="cs" w:ascii="Arial" w:hAnsi="Arial"/>
          <w:rtl/>
        </w:rPr>
      </w:pPr>
    </w:p>
    <w:p w:rsidR="00170639" w:rsidP="00170639" w:rsidRDefault="00170639">
      <w:pPr>
        <w:spacing w:line="360" w:lineRule="auto"/>
        <w:ind w:left="418" w:hanging="418"/>
        <w:jc w:val="both"/>
        <w:rPr>
          <w:rFonts w:ascii="Arial" w:hAnsi="Arial"/>
        </w:rPr>
      </w:pPr>
      <w:r>
        <w:rPr>
          <w:rFonts w:hint="cs" w:ascii="Arial" w:hAnsi="Arial"/>
          <w:rtl/>
        </w:rPr>
        <w:t>5.</w:t>
      </w:r>
      <w:r>
        <w:rPr>
          <w:rFonts w:hint="cs" w:ascii="Arial" w:hAnsi="Arial"/>
          <w:rtl/>
        </w:rPr>
        <w:tab/>
        <w:t>בקשה לזימון מתורגמן לערבית, ככל שיש כזו, תוגש בד בבד עם הבקשה להזמנת עדים.</w:t>
      </w:r>
    </w:p>
    <w:p w:rsidR="00170639" w:rsidP="00170639" w:rsidRDefault="00170639">
      <w:pPr>
        <w:spacing w:line="360" w:lineRule="auto"/>
        <w:ind w:left="418" w:hanging="418"/>
        <w:jc w:val="both"/>
        <w:rPr>
          <w:rFonts w:ascii="Arial" w:hAnsi="Arial"/>
        </w:rPr>
      </w:pPr>
    </w:p>
    <w:p w:rsidR="00170639" w:rsidP="00170639" w:rsidRDefault="00170639">
      <w:pPr>
        <w:spacing w:line="360" w:lineRule="auto"/>
        <w:ind w:left="418" w:hanging="418"/>
        <w:jc w:val="both"/>
        <w:rPr>
          <w:rFonts w:ascii="Arial" w:hAnsi="Arial"/>
        </w:rPr>
      </w:pPr>
      <w:r>
        <w:rPr>
          <w:rFonts w:hint="cs" w:ascii="Arial" w:hAnsi="Arial"/>
          <w:rtl/>
        </w:rPr>
        <w:t>6.</w:t>
      </w:r>
      <w:r>
        <w:rPr>
          <w:rFonts w:hint="cs" w:ascii="Arial" w:hAnsi="Arial"/>
          <w:rtl/>
        </w:rPr>
        <w:tab/>
        <w:t>בעל-דין שמבקש לחקור את שמאי הצד האחר יגיש על כך הודעה לצד האחר ולבית-המשפט לא יאוחר מארבעים וחמישה ימים קודם לדיון. בהיעדר הודעה כזו, לא ישמע השמאי.</w:t>
      </w:r>
    </w:p>
    <w:p w:rsidR="00170639" w:rsidP="00170639" w:rsidRDefault="00170639">
      <w:pPr>
        <w:bidi w:val="0"/>
        <w:rPr>
          <w:rFonts w:ascii="Arial" w:hAnsi="Arial"/>
        </w:rPr>
      </w:pPr>
      <w:r>
        <w:rPr>
          <w:rFonts w:hint="cs" w:ascii="Arial" w:hAnsi="Arial"/>
          <w:rtl/>
        </w:rPr>
        <w:br w:type="page"/>
      </w:r>
    </w:p>
    <w:p w:rsidR="00170639" w:rsidP="00170639" w:rsidRDefault="00170639">
      <w:pPr>
        <w:spacing w:line="360" w:lineRule="auto"/>
        <w:ind w:left="418" w:hanging="418"/>
        <w:jc w:val="both"/>
        <w:rPr>
          <w:rFonts w:ascii="Arial" w:hAnsi="Arial"/>
        </w:rPr>
      </w:pPr>
    </w:p>
    <w:p w:rsidR="00170639" w:rsidP="00170639" w:rsidRDefault="00170639">
      <w:pPr>
        <w:spacing w:line="360" w:lineRule="auto"/>
        <w:ind w:left="418" w:hanging="418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7.</w:t>
      </w:r>
      <w:r>
        <w:rPr>
          <w:rFonts w:hint="cs" w:ascii="Arial" w:hAnsi="Arial"/>
          <w:rtl/>
        </w:rPr>
        <w:tab/>
        <w:t>ככל שלכתבי-הטענות צורפו תצלומים לא מקוריים, יגישו בעלי-הדין תצלומים מקוריים בדיון.</w:t>
      </w:r>
    </w:p>
    <w:p w:rsidR="00170639" w:rsidP="00170639" w:rsidRDefault="00170639">
      <w:pPr>
        <w:spacing w:line="360" w:lineRule="auto"/>
        <w:ind w:left="418" w:hanging="418"/>
        <w:jc w:val="both"/>
        <w:rPr>
          <w:rFonts w:ascii="Arial" w:hAnsi="Arial"/>
          <w:rtl/>
        </w:rPr>
      </w:pPr>
    </w:p>
    <w:p w:rsidR="00170639" w:rsidP="00170639" w:rsidRDefault="00170639">
      <w:pPr>
        <w:spacing w:line="360" w:lineRule="auto"/>
        <w:ind w:left="418" w:hanging="418"/>
        <w:jc w:val="both"/>
        <w:rPr>
          <w:rFonts w:ascii="Arial" w:hAnsi="Arial"/>
        </w:rPr>
      </w:pPr>
      <w:r>
        <w:rPr>
          <w:rFonts w:hint="cs" w:ascii="Arial" w:hAnsi="Arial"/>
          <w:rtl/>
        </w:rPr>
        <w:t>8.</w:t>
      </w:r>
      <w:r>
        <w:rPr>
          <w:rFonts w:hint="cs" w:ascii="Arial" w:hAnsi="Arial"/>
          <w:rtl/>
        </w:rPr>
        <w:tab/>
        <w:t>בפתח הדיון יש להציג אישור בדבר תשלום המחצית השניה של האגרה.</w:t>
      </w:r>
    </w:p>
    <w:p w:rsidRPr="00170639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676D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47775" cy="10096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e277e69e0c249a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009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639" w:rsidRDefault="0017063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676D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676D5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639" w:rsidRDefault="0017063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639" w:rsidRDefault="0017063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7063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676D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47012-02-18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גנאים נ' קפלן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2676D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208957349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213087182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47531-07-16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51148768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קפלן נ' מאג'ד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639" w:rsidRDefault="0017063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70639"/>
    <w:rsid w:val="00180519"/>
    <w:rsid w:val="00191C82"/>
    <w:rsid w:val="001C4003"/>
    <w:rsid w:val="001D4DBF"/>
    <w:rsid w:val="001E75CA"/>
    <w:rsid w:val="002265FF"/>
    <w:rsid w:val="002676D5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3431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9CE4C9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e277e69e0c249a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F6E3F" w:rsidP="00AF6E3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AF6E3F" w:rsidP="00AF6E3F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AF6E3F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6E3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F6E3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AF6E3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156</Words>
  <Characters>783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אמיר סלאמה</cp:lastModifiedBy>
  <cp:revision>116</cp:revision>
  <dcterms:created xsi:type="dcterms:W3CDTF">2012-08-06T05:16:00Z</dcterms:created>
  <dcterms:modified xsi:type="dcterms:W3CDTF">2018-04-12T07:58:00Z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