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1800"/>
        <w:gridCol w:w="3771"/>
      </w:tblGrid>
      <w:tr w:rsidR="0094424E">
        <w:trPr>
          <w:trHeight w:val="295"/>
          <w:jc w:val="center"/>
        </w:trPr>
        <w:tc>
          <w:tcPr>
            <w:tcW w:w="5049" w:type="dxa"/>
            <w:gridSpan w:val="3"/>
          </w:tcPr>
          <w:p w:rsidR="0094424E" w:rsidP="00D44968" w:rsidRDefault="0094424E">
            <w:pPr>
              <w:suppressLineNumbers/>
              <w:rPr>
                <w:rFonts w:ascii="Arial" w:hAnsi="Arial"/>
                <w:b/>
                <w:bCs/>
                <w:noProof w:val="0"/>
                <w:sz w:val="26"/>
                <w:szCs w:val="26"/>
                <w:rtl/>
              </w:rPr>
            </w:pPr>
          </w:p>
        </w:tc>
        <w:tc>
          <w:tcPr>
            <w:tcW w:w="3771" w:type="dxa"/>
          </w:tcPr>
          <w:p w:rsidR="0094424E" w:rsidP="00D44968" w:rsidRDefault="0094424E">
            <w:pPr>
              <w:suppressLineNumbers/>
              <w:rPr>
                <w:rFonts w:ascii="Arial" w:hAnsi="Arial"/>
                <w:b/>
                <w:bCs/>
                <w:noProof w:val="0"/>
                <w:sz w:val="26"/>
                <w:szCs w:val="26"/>
                <w:rtl/>
              </w:rPr>
            </w:pPr>
            <w:r>
              <w:rPr>
                <w:rFonts w:ascii="Arial" w:hAnsi="Arial"/>
                <w:b/>
                <w:bCs/>
                <w:noProof w:val="0"/>
                <w:sz w:val="26"/>
                <w:szCs w:val="26"/>
                <w:rtl/>
              </w:rPr>
              <w:t>מספר בקשה:</w:t>
            </w:r>
            <w:sdt>
              <w:sdtPr>
                <w:rPr>
                  <w:rtl/>
                </w:rPr>
                <w:alias w:val="1193"/>
                <w:tag w:val="1193"/>
                <w:id w:val="-636028727"/>
                <w:text w:multiLine="1"/>
              </w:sdtPr>
              <w:sdtEndPr/>
              <w:sdtContent>
                <w:r>
                  <w:rPr>
                    <w:rFonts w:ascii="Arial" w:hAnsi="Arial"/>
                    <w:b/>
                    <w:bCs/>
                    <w:noProof w:val="0"/>
                    <w:sz w:val="32"/>
                    <w:szCs w:val="32"/>
                    <w:rtl/>
                  </w:rPr>
                  <w:t>15</w:t>
                </w:r>
              </w:sdtContent>
            </w:sdt>
          </w:p>
        </w:tc>
      </w:tr>
      <w:tr w:rsidR="0094424E">
        <w:trPr>
          <w:jc w:val="center"/>
        </w:trPr>
        <w:tc>
          <w:tcPr>
            <w:tcW w:w="743" w:type="dxa"/>
          </w:tcPr>
          <w:p w:rsidR="0094424E" w:rsidP="00D44968"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3"/>
          </w:tcPr>
          <w:p w:rsidR="0094424E" w:rsidP="00D44968" w:rsidRDefault="000529D2">
            <w:pPr>
              <w:suppressLineNumbers/>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שופטת</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אשרית רוטקופף</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p w:rsidR="0094424E" w:rsidP="00D44968" w:rsidRDefault="0094424E">
            <w:pPr>
              <w:suppressLineNumbers/>
              <w:rPr>
                <w:rFonts w:ascii="Arial" w:hAnsi="Arial"/>
                <w:b/>
                <w:bCs/>
                <w:noProof w:val="0"/>
                <w:sz w:val="26"/>
                <w:szCs w:val="26"/>
              </w:rPr>
            </w:pPr>
          </w:p>
          <w:sdt>
            <w:sdtPr>
              <w:rPr>
                <w:rtl/>
              </w:rPr>
              <w:alias w:val="1180"/>
              <w:tag w:val="1180"/>
              <w:id w:val="637458750"/>
              <w:text w:multiLine="1"/>
            </w:sdtPr>
            <w:sdtEndPr/>
            <w:sdtContent>
              <w:p w:rsidR="00DC508D" w:rsidRDefault="00831852">
                <w:pPr>
                  <w:suppressLineNumbers/>
                  <w:rPr>
                    <w:rFonts w:ascii="Arial" w:hAnsi="Arial"/>
                    <w:b/>
                    <w:bCs/>
                    <w:noProof w:val="0"/>
                    <w:sz w:val="26"/>
                    <w:szCs w:val="26"/>
                    <w:rtl/>
                  </w:rPr>
                </w:pPr>
                <w:r>
                  <w:rPr>
                    <w:rFonts w:ascii="Arial" w:hAnsi="Arial"/>
                    <w:b/>
                    <w:bCs/>
                    <w:noProof w:val="0"/>
                    <w:sz w:val="26"/>
                    <w:szCs w:val="26"/>
                    <w:rtl/>
                  </w:rPr>
                  <w:t>מבקשים</w:t>
                </w:r>
              </w:p>
            </w:sdtContent>
          </w:sdt>
        </w:tc>
        <w:tc>
          <w:tcPr>
            <w:tcW w:w="5571" w:type="dxa"/>
            <w:gridSpan w:val="2"/>
          </w:tcPr>
          <w:p w:rsidR="0094424E" w:rsidP="00D44968" w:rsidRDefault="0094424E">
            <w:pPr>
              <w:suppressLineNumbers/>
              <w:rPr>
                <w:rFonts w:ascii="Arial" w:hAnsi="Arial"/>
                <w:b/>
                <w:bCs/>
                <w:noProof w:val="0"/>
                <w:sz w:val="26"/>
                <w:szCs w:val="26"/>
                <w:rtl/>
              </w:rPr>
            </w:pPr>
          </w:p>
          <w:p w:rsidR="0094424E" w:rsidP="00D44968" w:rsidRDefault="00FB3F72">
            <w:pPr>
              <w:suppressLineNumbers/>
              <w:rPr>
                <w:b/>
                <w:bCs/>
                <w:noProof w:val="0"/>
                <w:sz w:val="26"/>
                <w:szCs w:val="26"/>
              </w:rPr>
            </w:pPr>
            <w:sdt>
              <w:sdtPr>
                <w:rPr>
                  <w:rtl/>
                </w:rPr>
                <w:alias w:val="1462"/>
                <w:tag w:val="1462"/>
                <w:id w:val="-2139489462"/>
                <w:text w:multiLine="1"/>
              </w:sdtPr>
              <w:sdtEndPr/>
              <w:sdtContent>
                <w:r w:rsidR="00CF6BB7">
                  <w:rPr>
                    <w:rFonts w:ascii="Arial" w:hAnsi="Arial"/>
                    <w:b/>
                    <w:bCs/>
                    <w:noProof w:val="0"/>
                    <w:sz w:val="26"/>
                    <w:szCs w:val="26"/>
                    <w:rtl/>
                  </w:rPr>
                  <w:t>1</w:t>
                </w:r>
              </w:sdtContent>
            </w:sdt>
            <w:r w:rsidR="0094424E">
              <w:rPr>
                <w:b/>
                <w:bCs/>
                <w:noProof w:val="0"/>
                <w:sz w:val="26"/>
                <w:szCs w:val="26"/>
                <w:rtl/>
              </w:rPr>
              <w:t>.</w:t>
            </w:r>
            <w:r w:rsidR="0094424E">
              <w:rPr>
                <w:rFonts w:hint="cs"/>
                <w:b/>
                <w:bCs/>
                <w:noProof w:val="0"/>
                <w:sz w:val="26"/>
                <w:szCs w:val="26"/>
                <w:rtl/>
              </w:rPr>
              <w:t xml:space="preserve"> </w:t>
            </w:r>
            <w:sdt>
              <w:sdtPr>
                <w:rPr>
                  <w:rtl/>
                </w:rPr>
                <w:alias w:val="1478"/>
                <w:tag w:val="1478"/>
                <w:id w:val="-2076122985"/>
                <w:text w:multiLine="1"/>
              </w:sdtPr>
              <w:sdtEndPr/>
              <w:sdtContent>
                <w:r w:rsidR="00CF6BB7">
                  <w:rPr>
                    <w:rFonts w:ascii="Arial" w:hAnsi="Arial"/>
                    <w:b/>
                    <w:bCs/>
                    <w:noProof w:val="0"/>
                    <w:sz w:val="26"/>
                    <w:szCs w:val="26"/>
                    <w:rtl/>
                  </w:rPr>
                  <w:t>ציון תאוגורי</w:t>
                </w:r>
              </w:sdtContent>
            </w:sdt>
          </w:p>
          <w:p w:rsidR="0094424E" w:rsidP="00D44968" w:rsidRDefault="00FB3F72">
            <w:pPr>
              <w:suppressLineNumbers/>
              <w:rPr>
                <w:b/>
                <w:bCs/>
                <w:noProof w:val="0"/>
                <w:sz w:val="26"/>
                <w:szCs w:val="26"/>
              </w:rPr>
            </w:pPr>
            <w:sdt>
              <w:sdtPr>
                <w:rPr>
                  <w:rtl/>
                </w:rPr>
                <w:alias w:val="1462"/>
                <w:tag w:val="1462"/>
                <w:id w:val="-1778402769"/>
                <w:text w:multiLine="1"/>
              </w:sdtPr>
              <w:sdtEndPr/>
              <w:sdtContent>
                <w:r w:rsidR="00CF6BB7">
                  <w:rPr>
                    <w:rFonts w:ascii="Arial" w:hAnsi="Arial"/>
                    <w:b/>
                    <w:bCs/>
                    <w:noProof w:val="0"/>
                    <w:sz w:val="26"/>
                    <w:szCs w:val="26"/>
                    <w:rtl/>
                  </w:rPr>
                  <w:t>2</w:t>
                </w:r>
              </w:sdtContent>
            </w:sdt>
            <w:r w:rsidR="0094424E">
              <w:rPr>
                <w:b/>
                <w:bCs/>
                <w:noProof w:val="0"/>
                <w:sz w:val="26"/>
                <w:szCs w:val="26"/>
                <w:rtl/>
              </w:rPr>
              <w:t>.</w:t>
            </w:r>
            <w:r w:rsidR="0094424E">
              <w:rPr>
                <w:rFonts w:hint="cs"/>
                <w:b/>
                <w:bCs/>
                <w:noProof w:val="0"/>
                <w:sz w:val="26"/>
                <w:szCs w:val="26"/>
                <w:rtl/>
              </w:rPr>
              <w:t xml:space="preserve"> </w:t>
            </w:r>
            <w:sdt>
              <w:sdtPr>
                <w:rPr>
                  <w:rtl/>
                </w:rPr>
                <w:alias w:val="1478"/>
                <w:tag w:val="1478"/>
                <w:id w:val="1166289017"/>
                <w:text w:multiLine="1"/>
              </w:sdtPr>
              <w:sdtEndPr/>
              <w:sdtContent>
                <w:r w:rsidR="00CF6BB7">
                  <w:rPr>
                    <w:rFonts w:ascii="Arial" w:hAnsi="Arial"/>
                    <w:b/>
                    <w:bCs/>
                    <w:noProof w:val="0"/>
                    <w:sz w:val="26"/>
                    <w:szCs w:val="26"/>
                    <w:rtl/>
                  </w:rPr>
                  <w:t>גאולה תאגורי</w:t>
                </w:r>
              </w:sdtContent>
            </w:sdt>
          </w:p>
        </w:tc>
      </w:tr>
      <w:tr w:rsidR="0094424E">
        <w:trPr>
          <w:jc w:val="center"/>
        </w:trPr>
        <w:tc>
          <w:tcPr>
            <w:tcW w:w="8820" w:type="dxa"/>
            <w:gridSpan w:val="4"/>
          </w:tcPr>
          <w:p w:rsidR="0094424E" w:rsidP="00D44968" w:rsidRDefault="0094424E">
            <w:pPr>
              <w:suppressLineNumbers/>
              <w:rPr>
                <w:rFonts w:ascii="Arial" w:hAnsi="Arial"/>
                <w:b/>
                <w:bCs/>
                <w:noProof w:val="0"/>
                <w:sz w:val="26"/>
                <w:szCs w:val="26"/>
                <w:rtl/>
              </w:rPr>
            </w:pPr>
          </w:p>
          <w:p w:rsidR="0094424E" w:rsidP="00D44968" w:rsidRDefault="0094424E">
            <w:pPr>
              <w:suppressLineNumbers/>
              <w:jc w:val="center"/>
              <w:rPr>
                <w:rFonts w:ascii="Arial" w:hAnsi="Arial"/>
                <w:b/>
                <w:bCs/>
                <w:noProof w:val="0"/>
                <w:sz w:val="26"/>
                <w:szCs w:val="26"/>
                <w:rtl/>
              </w:rPr>
            </w:pPr>
            <w:r>
              <w:rPr>
                <w:rFonts w:ascii="Arial" w:hAnsi="Arial"/>
                <w:b/>
                <w:bCs/>
                <w:noProof w:val="0"/>
                <w:sz w:val="26"/>
                <w:szCs w:val="26"/>
                <w:rtl/>
              </w:rPr>
              <w:t>נגד</w:t>
            </w:r>
          </w:p>
          <w:p w:rsidR="0094424E" w:rsidP="00D44968" w:rsidRDefault="0094424E">
            <w:pPr>
              <w:suppressLineNumbers/>
              <w:rPr>
                <w:rFonts w:ascii="Arial" w:hAnsi="Arial"/>
                <w:b/>
                <w:bCs/>
                <w:noProof w:val="0"/>
                <w:sz w:val="26"/>
                <w:szCs w:val="26"/>
              </w:rPr>
            </w:pPr>
          </w:p>
        </w:tc>
      </w:tr>
      <w:tr w:rsidR="0094424E">
        <w:trPr>
          <w:jc w:val="center"/>
        </w:trPr>
        <w:tc>
          <w:tcPr>
            <w:tcW w:w="3249" w:type="dxa"/>
            <w:gridSpan w:val="2"/>
          </w:tcPr>
          <w:p w:rsidR="0094424E" w:rsidP="00D44968" w:rsidRDefault="00FB3F72">
            <w:pPr>
              <w:suppressLineNumbers/>
              <w:rPr>
                <w:rFonts w:ascii="Arial" w:hAnsi="Arial"/>
                <w:b/>
                <w:bCs/>
                <w:noProof w:val="0"/>
                <w:sz w:val="26"/>
                <w:szCs w:val="26"/>
              </w:rPr>
            </w:pPr>
            <w:sdt>
              <w:sdtPr>
                <w:rPr>
                  <w:rtl/>
                </w:rPr>
                <w:alias w:val="1184"/>
                <w:tag w:val="1184"/>
                <w:id w:val="-340621022"/>
                <w:text w:multiLine="1"/>
              </w:sdtPr>
              <w:sdtEndPr/>
              <w:sdtContent>
                <w:r w:rsidR="00CF6BB7">
                  <w:rPr>
                    <w:rFonts w:ascii="Arial" w:hAnsi="Arial"/>
                    <w:b/>
                    <w:bCs/>
                    <w:noProof w:val="0"/>
                    <w:sz w:val="26"/>
                    <w:szCs w:val="26"/>
                    <w:rtl/>
                  </w:rPr>
                  <w:t>משיבים</w:t>
                </w:r>
              </w:sdtContent>
            </w:sdt>
          </w:p>
        </w:tc>
        <w:tc>
          <w:tcPr>
            <w:tcW w:w="5571" w:type="dxa"/>
            <w:gridSpan w:val="2"/>
          </w:tcPr>
          <w:p w:rsidRPr="00FD25D1" w:rsidR="0094424E" w:rsidP="00D44968" w:rsidRDefault="00FB3F72">
            <w:pPr>
              <w:suppressLineNumbers/>
              <w:rPr>
                <w:b/>
                <w:bCs/>
                <w:rtl/>
              </w:rPr>
            </w:pPr>
            <w:sdt>
              <w:sdtPr>
                <w:rPr>
                  <w:b/>
                  <w:bCs/>
                  <w:rtl/>
                </w:rPr>
                <w:alias w:val="1486"/>
                <w:tag w:val="1486"/>
                <w:id w:val="-309872140"/>
                <w:text w:multiLine="1"/>
              </w:sdtPr>
              <w:sdtEndPr/>
              <w:sdtContent>
                <w:r w:rsidRPr="00FD25D1" w:rsidR="00CF6BB7">
                  <w:rPr>
                    <w:rFonts w:ascii="Arial" w:hAnsi="Arial"/>
                    <w:b/>
                    <w:bCs/>
                    <w:noProof w:val="0"/>
                    <w:sz w:val="26"/>
                    <w:szCs w:val="26"/>
                    <w:rtl/>
                  </w:rPr>
                  <w:t>אדי מיכאלוב</w:t>
                </w:r>
                <w:r w:rsidR="00FD25D1">
                  <w:rPr>
                    <w:rFonts w:hint="cs"/>
                    <w:b/>
                    <w:bCs/>
                    <w:rtl/>
                  </w:rPr>
                  <w:t xml:space="preserve"> </w:t>
                </w:r>
                <w:r w:rsidRPr="00FD25D1" w:rsidR="00FD25D1">
                  <w:rPr>
                    <w:rFonts w:hint="cs"/>
                    <w:b/>
                    <w:bCs/>
                    <w:rtl/>
                  </w:rPr>
                  <w:t>ואח'</w:t>
                </w:r>
              </w:sdtContent>
            </w:sdt>
          </w:p>
          <w:p w:rsidR="00CF6BB7" w:rsidP="00D44968" w:rsidRDefault="00CF6BB7">
            <w:pPr>
              <w:suppressLineNumbers/>
              <w:rPr>
                <w:b/>
                <w:bCs/>
                <w:noProof w:val="0"/>
                <w:sz w:val="26"/>
                <w:szCs w:val="26"/>
                <w:rtl/>
              </w:rPr>
            </w:pPr>
          </w:p>
        </w:tc>
      </w:tr>
      <w:tr w:rsidR="00CF6BB7" w:rsidTr="00280865">
        <w:trPr>
          <w:jc w:val="center"/>
        </w:trPr>
        <w:tc>
          <w:tcPr>
            <w:tcW w:w="8820" w:type="dxa"/>
            <w:gridSpan w:val="4"/>
          </w:tcPr>
          <w:p w:rsidR="00CF6BB7" w:rsidP="00D44968" w:rsidRDefault="00CF6BB7">
            <w:pPr>
              <w:suppressLineNumbers/>
            </w:pPr>
          </w:p>
          <w:p w:rsidR="00CF6BB7" w:rsidP="00D44968" w:rsidRDefault="00CF6BB7">
            <w:pPr>
              <w:suppressLineNumbers/>
              <w:rPr>
                <w:rtl/>
              </w:rPr>
            </w:pPr>
          </w:p>
          <w:p w:rsidR="00CF6BB7" w:rsidP="00D44968" w:rsidRDefault="00CF6BB7">
            <w:pPr>
              <w:suppressLineNumbers/>
              <w:rPr>
                <w:rtl/>
              </w:rPr>
            </w:pPr>
          </w:p>
        </w:tc>
      </w:tr>
      <w:tr w:rsidR="00CF6BB7">
        <w:trPr>
          <w:jc w:val="center"/>
        </w:trPr>
        <w:tc>
          <w:tcPr>
            <w:tcW w:w="3249" w:type="dxa"/>
            <w:gridSpan w:val="2"/>
          </w:tcPr>
          <w:p w:rsidR="00DC508D" w:rsidRDefault="00DC508D">
            <w:pPr>
              <w:rPr>
                <w:rFonts w:ascii="David" w:hAnsi="David" w:eastAsia="David"/>
                <w:noProof w:val="0"/>
              </w:rPr>
            </w:pPr>
          </w:p>
        </w:tc>
        <w:tc>
          <w:tcPr>
            <w:tcW w:w="5571" w:type="dxa"/>
            <w:gridSpan w:val="2"/>
          </w:tcPr>
          <w:p w:rsidR="00DC508D" w:rsidRDefault="00DC508D">
            <w:pPr>
              <w:rPr>
                <w:rFonts w:cs="Times New Roman"/>
                <w:rtl/>
              </w:rPr>
            </w:pPr>
          </w:p>
          <w:p w:rsidR="00CF6BB7" w:rsidP="00CF6BB7" w:rsidRDefault="00CF6BB7">
            <w:pPr>
              <w:rPr>
                <w:rFonts w:cs="Times New Roman"/>
              </w:rPr>
            </w:pPr>
          </w:p>
        </w:tc>
      </w:tr>
      <w:tr w:rsidR="004C17EE" w:rsidTr="00D620FD">
        <w:trPr>
          <w:jc w:val="center"/>
        </w:trPr>
        <w:tc>
          <w:tcPr>
            <w:tcW w:w="8820" w:type="dxa"/>
            <w:gridSpan w:val="4"/>
          </w:tcPr>
          <w:p w:rsidR="00DC508D" w:rsidRDefault="00DC508D">
            <w:pPr>
              <w:suppressLineNumbers/>
              <w:rPr>
                <w:rFonts w:ascii="Arial" w:hAnsi="Arial"/>
                <w:b/>
                <w:bCs/>
                <w:noProof w:val="0"/>
                <w:sz w:val="26"/>
                <w:szCs w:val="26"/>
                <w:rtl/>
              </w:rPr>
            </w:pPr>
          </w:p>
        </w:tc>
      </w:tr>
    </w:tbl>
    <w:p w:rsidR="0094424E" w:rsidP="00D44968" w:rsidRDefault="0094424E">
      <w:pPr>
        <w:suppressLineNumbers/>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DE1E7D" w:rsidR="00694556">
        <w:trPr>
          <w:jc w:val="center"/>
        </w:trPr>
        <w:tc>
          <w:tcPr>
            <w:tcW w:w="8820" w:type="dxa"/>
          </w:tcPr>
          <w:p w:rsidR="00694556" w:rsidRDefault="00180519">
            <w:pPr>
              <w:bidi w:val="0"/>
              <w:jc w:val="center"/>
              <w:rPr>
                <w:rFonts w:ascii="Arial" w:hAnsi="Arial"/>
                <w:b/>
                <w:bCs/>
                <w:noProof w:val="0"/>
                <w:sz w:val="28"/>
                <w:szCs w:val="28"/>
                <w:u w:val="single"/>
                <w:rtl/>
              </w:rPr>
            </w:pPr>
            <w:r w:rsidRPr="00D44968">
              <w:rPr>
                <w:rFonts w:hint="cs" w:ascii="Arial" w:hAnsi="Arial"/>
                <w:b/>
                <w:bCs/>
                <w:noProof w:val="0"/>
                <w:sz w:val="28"/>
                <w:szCs w:val="28"/>
                <w:u w:val="single"/>
                <w:rtl/>
              </w:rPr>
              <w:t>החלטה</w:t>
            </w:r>
          </w:p>
          <w:p w:rsidRPr="00D44968" w:rsidR="00D44968" w:rsidP="00D44968" w:rsidRDefault="00D44968">
            <w:pPr>
              <w:bidi w:val="0"/>
              <w:jc w:val="center"/>
              <w:rPr>
                <w:rFonts w:ascii="Arial" w:hAnsi="Arial"/>
                <w:b/>
                <w:bCs/>
                <w:noProof w:val="0"/>
                <w:sz w:val="28"/>
                <w:szCs w:val="28"/>
                <w:u w:val="single"/>
              </w:rPr>
            </w:pPr>
          </w:p>
        </w:tc>
      </w:tr>
    </w:tbl>
    <w:p w:rsidR="00831852" w:rsidP="00831852" w:rsidRDefault="00831852">
      <w:pPr>
        <w:pStyle w:val="ad"/>
        <w:numPr>
          <w:ilvl w:val="0"/>
          <w:numId w:val="1"/>
        </w:numPr>
        <w:spacing w:after="0" w:line="360" w:lineRule="auto"/>
        <w:jc w:val="both"/>
        <w:rPr>
          <w:rFonts w:cs="David"/>
          <w:sz w:val="24"/>
          <w:szCs w:val="24"/>
        </w:rPr>
      </w:pPr>
      <w:bookmarkStart w:name="NGCSBookmark" w:id="0"/>
      <w:bookmarkEnd w:id="0"/>
      <w:r>
        <w:rPr>
          <w:rFonts w:hint="cs" w:cs="David"/>
          <w:sz w:val="24"/>
          <w:szCs w:val="24"/>
          <w:rtl/>
        </w:rPr>
        <w:t>בהחלטתי בפרוטוקול הדיון מיום 7/11/17 הוריתי על הגשת תצהירי הצדדים.</w:t>
      </w:r>
    </w:p>
    <w:p w:rsidR="00831852" w:rsidP="00831852" w:rsidRDefault="00831852">
      <w:pPr>
        <w:pStyle w:val="ad"/>
        <w:spacing w:after="0" w:line="360" w:lineRule="auto"/>
        <w:jc w:val="both"/>
        <w:rPr>
          <w:rFonts w:cs="David"/>
          <w:sz w:val="24"/>
          <w:szCs w:val="24"/>
        </w:rPr>
      </w:pPr>
    </w:p>
    <w:p w:rsidR="00831852" w:rsidP="00831852" w:rsidRDefault="00831852">
      <w:pPr>
        <w:pStyle w:val="ad"/>
        <w:numPr>
          <w:ilvl w:val="0"/>
          <w:numId w:val="1"/>
        </w:numPr>
        <w:spacing w:after="0" w:line="360" w:lineRule="auto"/>
        <w:jc w:val="both"/>
        <w:rPr>
          <w:rFonts w:cs="David"/>
          <w:sz w:val="24"/>
          <w:szCs w:val="24"/>
        </w:rPr>
      </w:pPr>
      <w:r>
        <w:rPr>
          <w:rFonts w:hint="cs" w:cs="David"/>
          <w:sz w:val="24"/>
          <w:szCs w:val="24"/>
          <w:rtl/>
        </w:rPr>
        <w:t>ביום 19/3/18 הוגשו תצהירי הנתבעים ובמסגרת ההודעה שצורפה עם הגשתם, עתרו האחרונים לזמן את מר יניב בן דרור לעדות, לגביו נטען כי היה המתווך בעסקה ויש לו ידיעה על מצב הבית טרם מכירתו לתובעים.</w:t>
      </w:r>
    </w:p>
    <w:p w:rsidR="00831852" w:rsidP="00831852" w:rsidRDefault="00831852">
      <w:pPr>
        <w:pStyle w:val="ad"/>
        <w:spacing w:after="0" w:line="360" w:lineRule="auto"/>
        <w:rPr>
          <w:rFonts w:cs="David"/>
          <w:sz w:val="24"/>
          <w:szCs w:val="24"/>
        </w:rPr>
      </w:pPr>
    </w:p>
    <w:p w:rsidR="00831852" w:rsidP="00831852" w:rsidRDefault="00831852">
      <w:pPr>
        <w:pStyle w:val="ad"/>
        <w:numPr>
          <w:ilvl w:val="0"/>
          <w:numId w:val="1"/>
        </w:numPr>
        <w:spacing w:after="0" w:line="360" w:lineRule="auto"/>
        <w:jc w:val="both"/>
        <w:rPr>
          <w:rFonts w:cs="David"/>
          <w:sz w:val="24"/>
          <w:szCs w:val="24"/>
          <w:rtl/>
        </w:rPr>
      </w:pPr>
      <w:r>
        <w:rPr>
          <w:rFonts w:hint="cs" w:cs="David"/>
          <w:sz w:val="24"/>
          <w:szCs w:val="24"/>
          <w:rtl/>
        </w:rPr>
        <w:t xml:space="preserve">לאחר שעיינתי בתגובת התובעים לבקשה האמורה, ובתשובת הנתבעים לה – להלן הכרעתי במחלוקות השונות שהתעוררו מלבד שאלת זימונו של העד האמור: </w:t>
      </w:r>
    </w:p>
    <w:p w:rsidR="00831852" w:rsidP="00831852" w:rsidRDefault="00831852">
      <w:pPr>
        <w:pStyle w:val="ad"/>
        <w:spacing w:after="0" w:line="360" w:lineRule="auto"/>
        <w:rPr>
          <w:rFonts w:cs="David"/>
          <w:sz w:val="24"/>
          <w:szCs w:val="24"/>
        </w:rPr>
      </w:pPr>
    </w:p>
    <w:p w:rsidR="00831852" w:rsidP="00831852" w:rsidRDefault="00831852">
      <w:pPr>
        <w:pStyle w:val="ad"/>
        <w:numPr>
          <w:ilvl w:val="0"/>
          <w:numId w:val="2"/>
        </w:numPr>
        <w:spacing w:after="0" w:line="360" w:lineRule="auto"/>
        <w:jc w:val="both"/>
        <w:rPr>
          <w:rFonts w:cs="David"/>
          <w:sz w:val="24"/>
          <w:szCs w:val="24"/>
          <w:rtl/>
        </w:rPr>
      </w:pPr>
      <w:r>
        <w:rPr>
          <w:rFonts w:hint="cs" w:cs="David"/>
          <w:sz w:val="24"/>
          <w:szCs w:val="24"/>
          <w:rtl/>
        </w:rPr>
        <w:t>בכל הקשור לבקשה למחיקת תצהירי הנתבעים, הרי שגם אם אכן היה ראוי מצד ב"כ הנתבעים לבקש ארכה להגשתם (על רקע הנסיבות הלא צפויות שצוינו בסעיף 3 לתשובתו), לא מצאתי להיעתר לסנקציה הדרסטית המבוקשת, נוכח זאת שעסקינן באיחור בן ימים ספורים בלבד.</w:t>
      </w:r>
    </w:p>
    <w:p w:rsidR="00831852" w:rsidP="00831852" w:rsidRDefault="00831852">
      <w:pPr>
        <w:pStyle w:val="ad"/>
        <w:spacing w:after="0" w:line="360" w:lineRule="auto"/>
        <w:ind w:left="1080"/>
        <w:jc w:val="both"/>
        <w:rPr>
          <w:rFonts w:cs="David"/>
          <w:sz w:val="24"/>
          <w:szCs w:val="24"/>
        </w:rPr>
      </w:pPr>
    </w:p>
    <w:p w:rsidR="00831852" w:rsidP="00FD25D1" w:rsidRDefault="00831852">
      <w:pPr>
        <w:pStyle w:val="ad"/>
        <w:numPr>
          <w:ilvl w:val="0"/>
          <w:numId w:val="2"/>
        </w:numPr>
        <w:spacing w:after="0" w:line="360" w:lineRule="auto"/>
        <w:jc w:val="both"/>
        <w:rPr>
          <w:rFonts w:cs="David"/>
          <w:sz w:val="24"/>
          <w:szCs w:val="24"/>
        </w:rPr>
      </w:pPr>
      <w:r>
        <w:rPr>
          <w:rFonts w:hint="cs" w:cs="David"/>
          <w:sz w:val="24"/>
          <w:szCs w:val="24"/>
          <w:rtl/>
        </w:rPr>
        <w:lastRenderedPageBreak/>
        <w:t xml:space="preserve">בכל הקשור לטענות התובעים בעניין "קבילות הראיות" בתצהירי הנתבעים, הרי שמשעה שטענה זו הועלתה באופן כללי בלבד ללא התייחסות ממוקדת בעניין ראיה כזו או אחרת, אין מקום להידרש לה. </w:t>
      </w:r>
      <w:r w:rsidR="00FD25D1">
        <w:rPr>
          <w:rFonts w:hint="cs" w:cs="David"/>
          <w:sz w:val="24"/>
          <w:szCs w:val="24"/>
          <w:rtl/>
        </w:rPr>
        <w:t xml:space="preserve">לענין הגשת חוות דעת המומחים יודגש כי </w:t>
      </w:r>
      <w:r>
        <w:rPr>
          <w:rFonts w:hint="cs" w:cs="David"/>
          <w:sz w:val="24"/>
          <w:szCs w:val="24"/>
          <w:rtl/>
        </w:rPr>
        <w:t>מינוי המומחה מטעם בית המשפט בישיבת הקד"מ מיום 26/9/16 היה בהסכמה</w:t>
      </w:r>
      <w:r w:rsidR="00FD25D1">
        <w:rPr>
          <w:rFonts w:hint="cs" w:cs="David"/>
          <w:sz w:val="24"/>
          <w:szCs w:val="24"/>
          <w:rtl/>
        </w:rPr>
        <w:t xml:space="preserve"> על כל המשתמע מכך</w:t>
      </w:r>
      <w:r>
        <w:rPr>
          <w:rFonts w:hint="cs" w:cs="David"/>
          <w:sz w:val="24"/>
          <w:szCs w:val="24"/>
          <w:rtl/>
        </w:rPr>
        <w:t xml:space="preserve">.  </w:t>
      </w:r>
    </w:p>
    <w:p w:rsidR="00831852" w:rsidP="00831852" w:rsidRDefault="00831852">
      <w:pPr>
        <w:spacing w:line="360" w:lineRule="auto"/>
        <w:jc w:val="both"/>
      </w:pPr>
    </w:p>
    <w:p w:rsidR="00831852" w:rsidP="00FD25D1" w:rsidRDefault="00831852">
      <w:pPr>
        <w:pStyle w:val="ad"/>
        <w:numPr>
          <w:ilvl w:val="0"/>
          <w:numId w:val="2"/>
        </w:numPr>
        <w:spacing w:after="0" w:line="360" w:lineRule="auto"/>
        <w:jc w:val="both"/>
        <w:rPr>
          <w:rFonts w:cs="David"/>
          <w:sz w:val="24"/>
          <w:szCs w:val="24"/>
        </w:rPr>
      </w:pPr>
      <w:r>
        <w:rPr>
          <w:rFonts w:hint="cs" w:cs="David"/>
          <w:sz w:val="24"/>
          <w:szCs w:val="24"/>
          <w:rtl/>
        </w:rPr>
        <w:t>בכל הקשור לזימונו של העד, הרי שמבלי להכריע בשאלת הרלוונטיות של עדות זו למחלוקת בענייננו, מצאתי לדחות על הסף את הבקשה, שעה שלא צורפה לה תצהיר תמיכה לטענות אשר מנעו את הגשת תצהיר כדין מטעמו</w:t>
      </w:r>
      <w:r w:rsidR="00FD25D1">
        <w:rPr>
          <w:rFonts w:hint="cs" w:cs="David"/>
          <w:sz w:val="24"/>
          <w:szCs w:val="24"/>
          <w:rtl/>
        </w:rPr>
        <w:t xml:space="preserve"> </w:t>
      </w:r>
      <w:r>
        <w:rPr>
          <w:rFonts w:hint="cs" w:cs="David"/>
          <w:sz w:val="24"/>
          <w:szCs w:val="24"/>
          <w:rtl/>
        </w:rPr>
        <w:t xml:space="preserve">ובפרט לצורך ביאור פשר ההסכמה של העד למתן "הצהרה" בלבד.   </w:t>
      </w:r>
      <w:bookmarkStart w:name="_GoBack" w:id="1"/>
      <w:bookmarkEnd w:id="1"/>
    </w:p>
    <w:p w:rsidR="00831852" w:rsidP="00831852" w:rsidRDefault="00831852">
      <w:pPr>
        <w:pStyle w:val="ad"/>
        <w:spacing w:after="0" w:line="360" w:lineRule="auto"/>
        <w:rPr>
          <w:rFonts w:cs="David"/>
          <w:sz w:val="24"/>
          <w:szCs w:val="24"/>
        </w:rPr>
      </w:pPr>
    </w:p>
    <w:p w:rsidR="00831852" w:rsidP="00831852" w:rsidRDefault="00831852">
      <w:pPr>
        <w:pStyle w:val="ad"/>
        <w:numPr>
          <w:ilvl w:val="0"/>
          <w:numId w:val="2"/>
        </w:numPr>
        <w:spacing w:after="0" w:line="360" w:lineRule="auto"/>
        <w:jc w:val="both"/>
        <w:rPr>
          <w:rFonts w:cs="David"/>
          <w:sz w:val="24"/>
          <w:szCs w:val="24"/>
          <w:rtl/>
        </w:rPr>
      </w:pPr>
      <w:r>
        <w:rPr>
          <w:rFonts w:hint="cs" w:cs="David"/>
          <w:sz w:val="24"/>
          <w:szCs w:val="24"/>
          <w:rtl/>
        </w:rPr>
        <w:t xml:space="preserve">אין צו להוצאות.  </w:t>
      </w:r>
    </w:p>
    <w:p w:rsidRPr="00DE1E7D" w:rsidR="00694556" w:rsidRDefault="00694556">
      <w:pPr>
        <w:spacing w:line="360" w:lineRule="auto"/>
        <w:jc w:val="both"/>
        <w:rPr>
          <w:rFonts w:ascii="Arial" w:hAnsi="Arial"/>
          <w:noProof w:val="0"/>
          <w:rtl/>
        </w:rPr>
      </w:pPr>
    </w:p>
    <w:p w:rsidRPr="00DE1E7D" w:rsidR="00694556" w:rsidRDefault="00694556">
      <w:pPr>
        <w:spacing w:line="360" w:lineRule="auto"/>
        <w:jc w:val="both"/>
        <w:rPr>
          <w:rFonts w:ascii="Arial" w:hAnsi="Arial"/>
          <w:noProof w:val="0"/>
          <w:rtl/>
        </w:rPr>
      </w:pPr>
    </w:p>
    <w:p w:rsidRPr="00DE1E7D" w:rsidR="00694556" w:rsidRDefault="00694556">
      <w:pPr>
        <w:spacing w:line="360" w:lineRule="auto"/>
        <w:jc w:val="both"/>
        <w:rPr>
          <w:rFonts w:ascii="Arial" w:hAnsi="Arial"/>
          <w:noProof w:val="0"/>
          <w:rtl/>
        </w:rPr>
      </w:pPr>
    </w:p>
    <w:p w:rsidRPr="00DE1E7D" w:rsidR="00694556" w:rsidRDefault="00694556">
      <w:pPr>
        <w:spacing w:line="360" w:lineRule="auto"/>
        <w:jc w:val="both"/>
        <w:rPr>
          <w:rFonts w:ascii="Arial" w:hAnsi="Arial"/>
          <w:noProof w:val="0"/>
          <w:rtl/>
        </w:rPr>
      </w:pPr>
    </w:p>
    <w:p w:rsidRPr="00DE1E7D" w:rsidR="00694556" w:rsidRDefault="00694556">
      <w:pPr>
        <w:spacing w:line="360" w:lineRule="auto"/>
        <w:jc w:val="both"/>
        <w:rPr>
          <w:rFonts w:ascii="Arial" w:hAnsi="Arial"/>
          <w:noProof w:val="0"/>
          <w:rtl/>
        </w:rPr>
      </w:pPr>
    </w:p>
    <w:p w:rsidRPr="00DE1E7D"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C43648" w:rsidP="00BD6531" w:rsidRDefault="00FB3F72">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447800" cy="9239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fc51251df781430d" cstate="print">
                            <a:extLst>
                              <a:ext uri="{28A0092B-C50C-407E-A947-70E740481C1C}"/>
                            </a:extLst>
                          </a:blip>
                          <a:stretch>
                            <a:fillRect/>
                          </a:stretch>
                        </pic:blipFill>
                        <pic:spPr>
                          <a:xfrm>
                            <a:off x="0" y="0"/>
                            <a:ext cx="1447800" cy="923924"/>
                          </a:xfrm>
                          <a:prstGeom prst="rect">
                            <a:avLst/>
                          </a:prstGeom>
                        </pic:spPr>
                      </pic:pic>
                    </a:graphicData>
                  </a:graphic>
                </wp:inline>
              </w:drawing>
            </w:r>
          </w:p>
        </w:sdtContent>
      </w:sdt>
    </w:p>
    <w:sectPr w:rsidR="00694556" w:rsidSect="006C30C5">
      <w:headerReference w:type="default" r:id="rId10"/>
      <w:footerReference w:type="default" r:id="rId11"/>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FB3F72">
      <w:rPr>
        <w:rStyle w:val="ab"/>
        <w:rFonts w:cs="Times New Roman"/>
        <w:rtl/>
      </w:rPr>
      <w:t>2</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FB3F72">
      <w:rPr>
        <w:rStyle w:val="ab"/>
        <w:rtl/>
      </w:rPr>
      <w:t>2</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FB3F72">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משפט השלום בפתח תקווה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FB3F72">
          <w:pPr>
            <w:rPr>
              <w:b/>
              <w:bCs/>
              <w:noProof w:val="0"/>
              <w:sz w:val="26"/>
              <w:szCs w:val="26"/>
              <w:rtl/>
            </w:rPr>
          </w:pPr>
          <w:sdt>
            <w:sdtPr>
              <w:rPr>
                <w:rtl/>
              </w:rPr>
              <w:alias w:val="1170"/>
              <w:tag w:val="1170"/>
              <w:id w:val="1066377040"/>
              <w:text w:multiLine="1"/>
            </w:sdtPr>
            <w:sdtEndPr/>
            <w:sdtContent>
              <w:r w:rsidR="00CF6BB7">
                <w:rPr>
                  <w:b/>
                  <w:bCs/>
                  <w:noProof w:val="0"/>
                  <w:sz w:val="26"/>
                  <w:szCs w:val="26"/>
                  <w:rtl/>
                </w:rPr>
                <w:t>ת"א</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35308-02-15</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מיכאלוב ואח' נ' תאוגורי ואח'</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showingPlcHdr/>
              <w:text w:multiLine="1"/>
            </w:sdtPr>
            <w:sdtEndPr/>
            <w:sdtContent>
              <w:r w:rsidR="001173C6">
                <w:rPr>
                  <w:rFonts w:hint="eastAsia"/>
                  <w:sz w:val="20"/>
                  <w:szCs w:val="20"/>
                  <w:highlight w:val="yellow"/>
                  <w:rtl/>
                </w:rPr>
                <w:t>מספר</w:t>
              </w:r>
              <w:r w:rsidR="001173C6">
                <w:rPr>
                  <w:sz w:val="20"/>
                  <w:szCs w:val="20"/>
                  <w:highlight w:val="yellow"/>
                  <w:rtl/>
                </w:rPr>
                <w:t xml:space="preserve"> תיק חיצוני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7E17B5"/>
    <w:multiLevelType w:val="hybridMultilevel"/>
    <w:tmpl w:val="6C022A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F996EFF"/>
    <w:multiLevelType w:val="hybridMultilevel"/>
    <w:tmpl w:val="8384EED0"/>
    <w:lvl w:ilvl="0" w:tplc="888CE1DE">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31852"/>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C508D"/>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3F72"/>
    <w:rsid w:val="00FB6AB3"/>
    <w:rsid w:val="00FD1419"/>
    <w:rsid w:val="00FD25D1"/>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4:docId w14:val="64B17527"/>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 w:type="paragraph" w:styleId="ad">
    <w:name w:val="List Paragraph"/>
    <w:basedOn w:val="a"/>
    <w:uiPriority w:val="34"/>
    <w:qFormat/>
    <w:rsid w:val="00831852"/>
    <w:pPr>
      <w:spacing w:after="160" w:line="256" w:lineRule="auto"/>
      <w:ind w:left="720"/>
      <w:contextualSpacing/>
    </w:pPr>
    <w:rPr>
      <w:rFonts w:asciiTheme="minorHAnsi" w:eastAsiaTheme="minorHAnsi" w:hAnsiTheme="minorHAnsi" w:cstheme="minorBidi"/>
      <w:noProof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399876">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glossaryDocument" Target="glossary/document.xml" Id="rId13" /><Relationship Type="http://schemas.openxmlformats.org/officeDocument/2006/relationships/webSettings" Target="webSettings.xml" Id="rId7" /><Relationship Type="http://schemas.openxmlformats.org/officeDocument/2006/relationships/fontTable" Target="fontTable.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image" Target="/media/image2.jpg" Id="Rfc51251df781430d"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49261B" w:rsidP="0049261B">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49261B" w:rsidP="0049261B">
          <w:pPr>
            <w:pStyle w:val="D290653DA13E4E738B7E725F79D7332910"/>
          </w:pPr>
          <w:r>
            <w:rPr>
              <w:rFonts w:hint="eastAsia"/>
              <w:sz w:val="20"/>
              <w:szCs w:val="20"/>
              <w:highlight w:val="yellow"/>
              <w:rtl/>
            </w:rPr>
            <w:t>מספר</w:t>
          </w:r>
          <w:r>
            <w:rPr>
              <w:sz w:val="20"/>
              <w:szCs w:val="20"/>
              <w:highlight w:val="yellow"/>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49261B"/>
    <w:rsid w:val="005157ED"/>
    <w:rsid w:val="00556D67"/>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9261B"/>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49261B"/>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49261B"/>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240</Words>
  <Characters>1205</Characters>
  <Application>Microsoft Office Word</Application>
  <DocSecurity>0</DocSecurity>
  <Lines>10</Lines>
  <Paragraphs>2</Paragraphs>
  <ScaleCrop>false</ScaleCrop>
  <Company>Microsoft Corporation</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אשרית רוטקופף</cp:lastModifiedBy>
  <cp:revision>117</cp:revision>
  <dcterms:created xsi:type="dcterms:W3CDTF">2012-08-06T05:16:00Z</dcterms:created>
  <dcterms:modified xsi:type="dcterms:W3CDTF">2018-04-12T09:52:00Z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