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rPr>
          <w:rtl/>
        </w:rPr>
      </w:pPr>
    </w:p>
    <w:tbl>
      <w:tblPr>
        <w:tblStyle w:val="aa"/>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694556">
        <w:trPr>
          <w:trHeight w:val="295"/>
          <w:jc w:val="center"/>
        </w:trPr>
        <w:tc>
          <w:tcPr>
            <w:tcW w:w="5049" w:type="dxa"/>
            <w:gridSpan w:val="3"/>
          </w:tcPr>
          <w:p w:rsidR="00694556" w:rsidRDefault="00694556">
            <w:pPr>
              <w:rPr>
                <w:rFonts w:ascii="Arial" w:hAnsi="Arial"/>
                <w:b/>
                <w:bCs/>
                <w:noProof w:val="0"/>
                <w:sz w:val="26"/>
                <w:szCs w:val="26"/>
                <w:rtl/>
              </w:rPr>
            </w:pPr>
          </w:p>
        </w:tc>
        <w:tc>
          <w:tcPr>
            <w:tcW w:w="3771" w:type="dxa"/>
          </w:tcPr>
          <w:p w:rsidR="00694556" w:rsidP="00896889" w:rsidRDefault="00005C8B">
            <w:pPr>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98607083"/>
                <w:text w:multiLine="1"/>
              </w:sdtPr>
              <w:sdtEndPr/>
              <w:sdtContent>
                <w:r>
                  <w:rPr>
                    <w:rFonts w:ascii="Arial" w:hAnsi="Arial"/>
                    <w:b/>
                    <w:bCs/>
                    <w:noProof w:val="0"/>
                    <w:sz w:val="26"/>
                    <w:szCs w:val="26"/>
                    <w:rtl/>
                  </w:rPr>
                  <w:t>3</w:t>
                </w:r>
              </w:sdtContent>
            </w:sdt>
          </w:p>
        </w:tc>
      </w:tr>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3"/>
          </w:tcPr>
          <w:p w:rsidR="00694556" w:rsidP="00BE5BCE" w:rsidRDefault="00AA3A2B">
            <w:pPr>
              <w:rPr>
                <w:rFonts w:ascii="Arial" w:hAnsi="Arial" w:cs="FrankRuehl"/>
                <w:sz w:val="28"/>
                <w:szCs w:val="28"/>
                <w:highlight w:val="yellow"/>
              </w:rPr>
            </w:pPr>
            <w:r>
              <w:rPr>
                <w:rFonts w:hint="cs" w:ascii="Arial" w:hAnsi="Arial"/>
                <w:b/>
                <w:bCs/>
                <w:rtl/>
              </w:rPr>
              <w:t>כב' ה</w:t>
            </w:r>
            <w:r w:rsidR="00AC28AD">
              <w:rPr>
                <w:rFonts w:hint="cs" w:ascii="Arial" w:hAnsi="Arial"/>
                <w:b/>
                <w:bCs/>
                <w:rtl/>
              </w:rPr>
              <w:t>רש</w:t>
            </w:r>
            <w:r w:rsidR="00BE5BCE">
              <w:rPr>
                <w:rFonts w:hint="cs" w:ascii="Arial" w:hAnsi="Arial"/>
                <w:b/>
                <w:bCs/>
                <w:rtl/>
              </w:rPr>
              <w:t>ם</w:t>
            </w:r>
            <w:r w:rsidR="00AC28AD">
              <w:rPr>
                <w:rFonts w:hint="cs" w:ascii="Arial" w:hAnsi="Arial"/>
                <w:b/>
                <w:bCs/>
                <w:rtl/>
              </w:rPr>
              <w:t xml:space="preserve"> הבכיר </w:t>
            </w:r>
            <w:r w:rsidR="00BE5BCE">
              <w:rPr>
                <w:rFonts w:hint="cs" w:ascii="Arial" w:hAnsi="Arial"/>
                <w:b/>
                <w:bCs/>
                <w:rtl/>
              </w:rPr>
              <w:t>נועם רף</w:t>
            </w: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47582792"/>
              <w:text w:multiLine="1"/>
            </w:sdtPr>
            <w:sdtEndPr/>
            <w:sdtContent>
              <w:p w:rsidR="00CD1337" w:rsidRDefault="004A271D">
                <w:pPr>
                  <w:bidi w:val="0"/>
                  <w:jc w:val="right"/>
                  <w:rPr>
                    <w:rFonts w:ascii="Arial" w:hAnsi="Arial"/>
                    <w:b/>
                    <w:bCs/>
                    <w:noProof w:val="0"/>
                    <w:sz w:val="26"/>
                    <w:szCs w:val="26"/>
                    <w:rtl/>
                  </w:rPr>
                </w:pPr>
                <w:r>
                  <w:rPr>
                    <w:rFonts w:ascii="Arial" w:hAnsi="Arial"/>
                    <w:b/>
                    <w:bCs/>
                    <w:noProof w:val="0"/>
                    <w:sz w:val="26"/>
                    <w:szCs w:val="26"/>
                    <w:rtl/>
                  </w:rPr>
                  <w:t>מבקש</w:t>
                </w:r>
                <w:r>
                  <w:rPr>
                    <w:rFonts w:hint="cs" w:ascii="Arial" w:hAnsi="Arial"/>
                    <w:b/>
                    <w:bCs/>
                    <w:noProof w:val="0"/>
                    <w:sz w:val="26"/>
                    <w:szCs w:val="26"/>
                    <w:rtl/>
                  </w:rPr>
                  <w:t>ת</w:t>
                </w:r>
              </w:p>
            </w:sdtContent>
          </w:sdt>
        </w:tc>
        <w:tc>
          <w:tcPr>
            <w:tcW w:w="5571" w:type="dxa"/>
            <w:gridSpan w:val="2"/>
          </w:tcPr>
          <w:p w:rsidR="00694556" w:rsidRDefault="00694556">
            <w:pPr>
              <w:rPr>
                <w:rFonts w:ascii="Arial" w:hAnsi="Arial"/>
                <w:b/>
                <w:bCs/>
                <w:noProof w:val="0"/>
                <w:sz w:val="26"/>
                <w:szCs w:val="26"/>
                <w:rtl/>
              </w:rPr>
            </w:pPr>
          </w:p>
          <w:p w:rsidR="00694556" w:rsidRDefault="00CC5F52">
            <w:pPr>
              <w:rPr>
                <w:b/>
                <w:bCs/>
                <w:noProof w:val="0"/>
                <w:sz w:val="26"/>
                <w:szCs w:val="26"/>
              </w:rPr>
            </w:pPr>
            <w:sdt>
              <w:sdtPr>
                <w:rPr>
                  <w:rtl/>
                </w:rPr>
                <w:alias w:val="1478"/>
                <w:tag w:val="1478"/>
                <w:id w:val="1844428447"/>
                <w:text w:multiLine="1"/>
              </w:sdtPr>
              <w:sdtEndPr/>
              <w:sdtContent>
                <w:r w:rsidR="00BE5BCE">
                  <w:rPr>
                    <w:rFonts w:ascii="Arial" w:hAnsi="Arial"/>
                    <w:b/>
                    <w:bCs/>
                    <w:noProof w:val="0"/>
                    <w:sz w:val="26"/>
                    <w:szCs w:val="26"/>
                    <w:rtl/>
                  </w:rPr>
                  <w:t>ר.ש.ד. יזמות והשקעות בע"מ</w:t>
                </w:r>
              </w:sdtContent>
            </w:sdt>
          </w:p>
        </w:tc>
      </w:tr>
      <w:tr w:rsidR="00694556">
        <w:trPr>
          <w:jc w:val="center"/>
        </w:trPr>
        <w:tc>
          <w:tcPr>
            <w:tcW w:w="8820" w:type="dxa"/>
            <w:gridSpan w:val="4"/>
          </w:tcPr>
          <w:p w:rsidR="00694556" w:rsidRDefault="00694556">
            <w:pPr>
              <w:rPr>
                <w:rFonts w:hint="c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CC5F52">
            <w:pPr>
              <w:rPr>
                <w:rFonts w:ascii="Arial" w:hAnsi="Arial"/>
                <w:b/>
                <w:bCs/>
                <w:noProof w:val="0"/>
                <w:sz w:val="26"/>
                <w:szCs w:val="26"/>
              </w:rPr>
            </w:pPr>
            <w:sdt>
              <w:sdtPr>
                <w:rPr>
                  <w:rtl/>
                </w:rPr>
                <w:alias w:val="1184"/>
                <w:tag w:val="1184"/>
                <w:id w:val="-2078814022"/>
                <w:text w:multiLine="1"/>
              </w:sdtPr>
              <w:sdtEndPr/>
              <w:sdtContent>
                <w:r w:rsidR="004A271D">
                  <w:rPr>
                    <w:rFonts w:ascii="Arial" w:hAnsi="Arial"/>
                    <w:b/>
                    <w:bCs/>
                    <w:noProof w:val="0"/>
                    <w:sz w:val="26"/>
                    <w:szCs w:val="26"/>
                    <w:rtl/>
                  </w:rPr>
                  <w:t>משיב</w:t>
                </w:r>
                <w:r w:rsidR="004A271D">
                  <w:rPr>
                    <w:rFonts w:hint="cs" w:ascii="Arial" w:hAnsi="Arial"/>
                    <w:b/>
                    <w:bCs/>
                    <w:noProof w:val="0"/>
                    <w:sz w:val="26"/>
                    <w:szCs w:val="26"/>
                    <w:rtl/>
                  </w:rPr>
                  <w:t>ה</w:t>
                </w:r>
              </w:sdtContent>
            </w:sdt>
          </w:p>
        </w:tc>
        <w:tc>
          <w:tcPr>
            <w:tcW w:w="5571" w:type="dxa"/>
            <w:gridSpan w:val="2"/>
          </w:tcPr>
          <w:p w:rsidR="004A271D" w:rsidP="004A271D" w:rsidRDefault="004A271D">
            <w:pPr>
              <w:rPr>
                <w:rFonts w:ascii="Arial" w:hAnsi="Arial"/>
                <w:b/>
                <w:bCs/>
                <w:noProof w:val="0"/>
                <w:sz w:val="26"/>
                <w:szCs w:val="26"/>
                <w:rtl/>
              </w:rPr>
            </w:pPr>
          </w:p>
          <w:p w:rsidR="004A271D" w:rsidP="004A271D" w:rsidRDefault="004A271D">
            <w:pPr>
              <w:rPr>
                <w:b/>
                <w:bCs/>
                <w:noProof w:val="0"/>
                <w:sz w:val="26"/>
                <w:szCs w:val="26"/>
                <w:rtl/>
              </w:rPr>
            </w:pPr>
            <w:r w:rsidRPr="004A271D">
              <w:rPr>
                <w:rFonts w:ascii="Arial" w:hAnsi="Arial"/>
                <w:b/>
                <w:bCs/>
                <w:noProof w:val="0"/>
                <w:sz w:val="26"/>
                <w:szCs w:val="26"/>
                <w:rtl/>
              </w:rPr>
              <w:t>אל בת אחזקות יישום פתרונות ניהול בע"מ</w:t>
            </w:r>
          </w:p>
        </w:tc>
      </w:tr>
    </w:tbl>
    <w:p w:rsidR="00694556" w:rsidRDefault="00694556"/>
    <w:p w:rsidR="00694556" w:rsidRDefault="00694556">
      <w:pPr>
        <w:rPr>
          <w:rFonts w:hint="cs"/>
        </w:rPr>
      </w:pPr>
    </w:p>
    <w:tbl>
      <w:tblPr>
        <w:tblStyle w:val="aa"/>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Pr="004A271D" w:rsidR="004A271D" w:rsidP="004A271D" w:rsidRDefault="004A271D">
      <w:pPr>
        <w:spacing w:after="384" w:afterLines="160" w:line="360" w:lineRule="auto"/>
        <w:jc w:val="both"/>
        <w:rPr>
          <w:rFonts w:asciiTheme="minorHAnsi" w:hAnsiTheme="minorHAnsi"/>
          <w:noProof w:val="0"/>
          <w:rtl/>
        </w:rPr>
      </w:pPr>
    </w:p>
    <w:p w:rsidR="004A271D" w:rsidP="00143A8A" w:rsidRDefault="004A271D">
      <w:pPr>
        <w:numPr>
          <w:ilvl w:val="0"/>
          <w:numId w:val="1"/>
        </w:numPr>
        <w:spacing w:after="384" w:afterLines="160" w:line="360" w:lineRule="auto"/>
        <w:contextualSpacing/>
        <w:jc w:val="both"/>
        <w:rPr>
          <w:rFonts w:asciiTheme="minorHAnsi" w:hAnsiTheme="minorHAnsi"/>
          <w:noProof w:val="0"/>
        </w:rPr>
      </w:pPr>
      <w:r w:rsidRPr="004A271D">
        <w:rPr>
          <w:rFonts w:hint="eastAsia" w:asciiTheme="minorHAnsi" w:hAnsiTheme="minorHAnsi"/>
          <w:noProof w:val="0"/>
          <w:rtl/>
        </w:rPr>
        <w:t>בפני</w:t>
      </w:r>
      <w:r w:rsidRPr="004A271D">
        <w:rPr>
          <w:rFonts w:asciiTheme="minorHAnsi" w:hAnsiTheme="minorHAnsi"/>
          <w:noProof w:val="0"/>
          <w:rtl/>
        </w:rPr>
        <w:t xml:space="preserve"> </w:t>
      </w:r>
      <w:r w:rsidRPr="004A271D">
        <w:rPr>
          <w:rFonts w:hint="eastAsia" w:asciiTheme="minorHAnsi" w:hAnsiTheme="minorHAnsi"/>
          <w:noProof w:val="0"/>
          <w:rtl/>
        </w:rPr>
        <w:t>בקש</w:t>
      </w:r>
      <w:r w:rsidR="00143A8A">
        <w:rPr>
          <w:rFonts w:hint="cs" w:asciiTheme="minorHAnsi" w:hAnsiTheme="minorHAnsi"/>
          <w:noProof w:val="0"/>
          <w:rtl/>
        </w:rPr>
        <w:t xml:space="preserve">ת המבקשת </w:t>
      </w:r>
      <w:r w:rsidRPr="004A271D">
        <w:rPr>
          <w:rFonts w:hint="eastAsia" w:asciiTheme="minorHAnsi" w:hAnsiTheme="minorHAnsi"/>
          <w:noProof w:val="0"/>
          <w:rtl/>
        </w:rPr>
        <w:t>לסילוק</w:t>
      </w:r>
      <w:r w:rsidRPr="004A271D">
        <w:rPr>
          <w:rFonts w:asciiTheme="minorHAnsi" w:hAnsiTheme="minorHAnsi"/>
          <w:noProof w:val="0"/>
          <w:rtl/>
        </w:rPr>
        <w:t xml:space="preserve"> </w:t>
      </w:r>
      <w:r w:rsidRPr="004A271D">
        <w:rPr>
          <w:rFonts w:hint="eastAsia" w:asciiTheme="minorHAnsi" w:hAnsiTheme="minorHAnsi"/>
          <w:noProof w:val="0"/>
          <w:rtl/>
        </w:rPr>
        <w:t>התביעה</w:t>
      </w:r>
      <w:r w:rsidRPr="004A271D">
        <w:rPr>
          <w:rFonts w:asciiTheme="minorHAnsi" w:hAnsiTheme="minorHAnsi"/>
          <w:noProof w:val="0"/>
          <w:rtl/>
        </w:rPr>
        <w:t xml:space="preserve"> </w:t>
      </w:r>
      <w:r w:rsidRPr="004A271D">
        <w:rPr>
          <w:rFonts w:hint="eastAsia" w:asciiTheme="minorHAnsi" w:hAnsiTheme="minorHAnsi"/>
          <w:noProof w:val="0"/>
          <w:rtl/>
        </w:rPr>
        <w:t>על</w:t>
      </w:r>
      <w:r w:rsidRPr="004A271D">
        <w:rPr>
          <w:rFonts w:asciiTheme="minorHAnsi" w:hAnsiTheme="minorHAnsi"/>
          <w:noProof w:val="0"/>
          <w:rtl/>
        </w:rPr>
        <w:t xml:space="preserve"> </w:t>
      </w:r>
      <w:r w:rsidRPr="004A271D">
        <w:rPr>
          <w:rFonts w:hint="eastAsia" w:asciiTheme="minorHAnsi" w:hAnsiTheme="minorHAnsi"/>
          <w:noProof w:val="0"/>
          <w:rtl/>
        </w:rPr>
        <w:t>הסף</w:t>
      </w:r>
      <w:r w:rsidR="00143A8A">
        <w:rPr>
          <w:rFonts w:hint="cs" w:asciiTheme="minorHAnsi" w:hAnsiTheme="minorHAnsi"/>
          <w:noProof w:val="0"/>
          <w:rtl/>
        </w:rPr>
        <w:t xml:space="preserve"> בטענה של היעדר עילת תביעה כנגדה. </w:t>
      </w:r>
    </w:p>
    <w:p w:rsidR="001D4430" w:rsidP="001D4430" w:rsidRDefault="001D4430">
      <w:pPr>
        <w:spacing w:after="384" w:afterLines="160" w:line="360" w:lineRule="auto"/>
        <w:ind w:left="720"/>
        <w:contextualSpacing/>
        <w:jc w:val="both"/>
        <w:rPr>
          <w:rFonts w:asciiTheme="minorHAnsi" w:hAnsiTheme="minorHAnsi"/>
          <w:noProof w:val="0"/>
        </w:rPr>
      </w:pPr>
    </w:p>
    <w:p w:rsidR="001D4430" w:rsidP="001D4430" w:rsidRDefault="001D4430">
      <w:pPr>
        <w:numPr>
          <w:ilvl w:val="0"/>
          <w:numId w:val="1"/>
        </w:numPr>
        <w:spacing w:after="384" w:afterLines="160" w:line="360" w:lineRule="auto"/>
        <w:contextualSpacing/>
        <w:jc w:val="both"/>
        <w:rPr>
          <w:rFonts w:asciiTheme="minorHAnsi" w:hAnsiTheme="minorHAnsi"/>
          <w:noProof w:val="0"/>
        </w:rPr>
      </w:pPr>
      <w:r>
        <w:rPr>
          <w:rFonts w:hint="cs" w:asciiTheme="minorHAnsi" w:hAnsiTheme="minorHAnsi"/>
          <w:noProof w:val="0"/>
          <w:rtl/>
        </w:rPr>
        <w:t>המבקשת הינה הנתבעת 2 בתיק.</w:t>
      </w:r>
    </w:p>
    <w:p w:rsidR="001D4430" w:rsidP="001D4430" w:rsidRDefault="001D4430">
      <w:pPr>
        <w:spacing w:after="384" w:afterLines="160" w:line="360" w:lineRule="auto"/>
        <w:ind w:left="720"/>
        <w:contextualSpacing/>
        <w:jc w:val="both"/>
        <w:rPr>
          <w:rFonts w:hint="cs" w:asciiTheme="minorHAnsi" w:hAnsiTheme="minorHAnsi"/>
          <w:noProof w:val="0"/>
        </w:rPr>
      </w:pPr>
    </w:p>
    <w:p w:rsidR="001D4430" w:rsidP="0091275E" w:rsidRDefault="001D4430">
      <w:pPr>
        <w:numPr>
          <w:ilvl w:val="0"/>
          <w:numId w:val="1"/>
        </w:numPr>
        <w:spacing w:after="384" w:afterLines="160" w:line="360" w:lineRule="auto"/>
        <w:contextualSpacing/>
        <w:jc w:val="both"/>
        <w:rPr>
          <w:rFonts w:asciiTheme="minorHAnsi" w:hAnsiTheme="minorHAnsi"/>
          <w:noProof w:val="0"/>
        </w:rPr>
      </w:pPr>
      <w:r>
        <w:rPr>
          <w:rFonts w:hint="cs" w:asciiTheme="minorHAnsi" w:hAnsiTheme="minorHAnsi"/>
          <w:noProof w:val="0"/>
          <w:rtl/>
        </w:rPr>
        <w:t xml:space="preserve">טענות המשיבה </w:t>
      </w:r>
      <w:r w:rsidR="0091275E">
        <w:rPr>
          <w:rFonts w:hint="cs" w:asciiTheme="minorHAnsi" w:hAnsiTheme="minorHAnsi"/>
          <w:noProof w:val="0"/>
          <w:rtl/>
        </w:rPr>
        <w:t xml:space="preserve">בכתב התביעה </w:t>
      </w:r>
      <w:r>
        <w:rPr>
          <w:rFonts w:hint="cs" w:asciiTheme="minorHAnsi" w:hAnsiTheme="minorHAnsi"/>
          <w:noProof w:val="0"/>
          <w:rtl/>
        </w:rPr>
        <w:t xml:space="preserve">הינן </w:t>
      </w:r>
      <w:r w:rsidR="0091275E">
        <w:rPr>
          <w:rFonts w:hint="cs" w:asciiTheme="minorHAnsi" w:hAnsiTheme="minorHAnsi"/>
          <w:noProof w:val="0"/>
          <w:rtl/>
        </w:rPr>
        <w:t>בנ</w:t>
      </w:r>
      <w:r>
        <w:rPr>
          <w:rFonts w:hint="cs" w:asciiTheme="minorHAnsi" w:hAnsiTheme="minorHAnsi"/>
          <w:noProof w:val="0"/>
          <w:rtl/>
        </w:rPr>
        <w:t>וגע להתקשרות מול הנתבעת 1 בלבד.</w:t>
      </w:r>
    </w:p>
    <w:p w:rsidRPr="0091275E" w:rsidR="001D4430" w:rsidP="001D4430" w:rsidRDefault="001D4430">
      <w:pPr>
        <w:spacing w:after="384" w:afterLines="160" w:line="360" w:lineRule="auto"/>
        <w:ind w:left="720"/>
        <w:contextualSpacing/>
        <w:jc w:val="both"/>
        <w:rPr>
          <w:rFonts w:hint="cs" w:asciiTheme="minorHAnsi" w:hAnsiTheme="minorHAnsi"/>
          <w:noProof w:val="0"/>
        </w:rPr>
      </w:pPr>
    </w:p>
    <w:p w:rsidRPr="004A271D" w:rsidR="001D4430" w:rsidP="0091275E" w:rsidRDefault="001D4430">
      <w:pPr>
        <w:numPr>
          <w:ilvl w:val="0"/>
          <w:numId w:val="1"/>
        </w:numPr>
        <w:spacing w:after="384" w:afterLines="160" w:line="360" w:lineRule="auto"/>
        <w:contextualSpacing/>
        <w:jc w:val="both"/>
        <w:rPr>
          <w:rFonts w:asciiTheme="minorHAnsi" w:hAnsiTheme="minorHAnsi"/>
          <w:noProof w:val="0"/>
        </w:rPr>
      </w:pPr>
      <w:r>
        <w:rPr>
          <w:rFonts w:hint="cs" w:asciiTheme="minorHAnsi" w:hAnsiTheme="minorHAnsi"/>
          <w:noProof w:val="0"/>
          <w:rtl/>
        </w:rPr>
        <w:t>עצם זאת שהמשיבה 2 רכשה בשלב מאוחר להתקשרות בין ה</w:t>
      </w:r>
      <w:r w:rsidR="0091275E">
        <w:rPr>
          <w:rFonts w:hint="cs" w:asciiTheme="minorHAnsi" w:hAnsiTheme="minorHAnsi"/>
          <w:noProof w:val="0"/>
          <w:rtl/>
        </w:rPr>
        <w:t xml:space="preserve">משיבה לנתבעת 1 </w:t>
      </w:r>
      <w:r>
        <w:rPr>
          <w:rFonts w:hint="cs" w:asciiTheme="minorHAnsi" w:hAnsiTheme="minorHAnsi"/>
          <w:noProof w:val="0"/>
          <w:rtl/>
        </w:rPr>
        <w:t>חלק ממניותיה של הנתבעת</w:t>
      </w:r>
      <w:r w:rsidR="007462AC">
        <w:rPr>
          <w:rFonts w:hint="cs" w:asciiTheme="minorHAnsi" w:hAnsiTheme="minorHAnsi"/>
          <w:noProof w:val="0"/>
          <w:rtl/>
        </w:rPr>
        <w:t xml:space="preserve"> </w:t>
      </w:r>
      <w:r>
        <w:rPr>
          <w:rFonts w:hint="cs" w:asciiTheme="minorHAnsi" w:hAnsiTheme="minorHAnsi"/>
          <w:noProof w:val="0"/>
          <w:rtl/>
        </w:rPr>
        <w:t xml:space="preserve">1, אין בה כשלעצמה בכדי להטיל עליה כל חובה לתשלום החוב הנטען </w:t>
      </w:r>
      <w:r w:rsidR="007462AC">
        <w:rPr>
          <w:rFonts w:hint="cs" w:asciiTheme="minorHAnsi" w:hAnsiTheme="minorHAnsi"/>
          <w:noProof w:val="0"/>
          <w:rtl/>
        </w:rPr>
        <w:t xml:space="preserve">ואין כל עילה בכתב התביעה להרמת מסך ההתאגדות בין שתי האישיות המשפטיות הנפרדות של שתי החברות. </w:t>
      </w:r>
    </w:p>
    <w:p w:rsidRPr="00FA2C2C" w:rsidR="004A271D" w:rsidP="004A271D" w:rsidRDefault="004A271D">
      <w:pPr>
        <w:spacing w:after="384" w:afterLines="160" w:line="360" w:lineRule="auto"/>
        <w:ind w:left="720"/>
        <w:contextualSpacing/>
        <w:jc w:val="both"/>
        <w:rPr>
          <w:rFonts w:asciiTheme="minorHAnsi" w:hAnsiTheme="minorHAnsi"/>
          <w:noProof w:val="0"/>
        </w:rPr>
      </w:pPr>
    </w:p>
    <w:p w:rsidR="007462AC" w:rsidP="0091275E" w:rsidRDefault="00FA2C2C">
      <w:pPr>
        <w:numPr>
          <w:ilvl w:val="0"/>
          <w:numId w:val="1"/>
        </w:numPr>
        <w:spacing w:after="384" w:afterLines="160" w:line="360" w:lineRule="auto"/>
        <w:contextualSpacing/>
        <w:jc w:val="both"/>
        <w:rPr>
          <w:rFonts w:asciiTheme="minorHAnsi" w:hAnsiTheme="minorHAnsi"/>
          <w:noProof w:val="0"/>
        </w:rPr>
      </w:pPr>
      <w:r>
        <w:rPr>
          <w:rFonts w:hint="cs" w:asciiTheme="minorHAnsi" w:hAnsiTheme="minorHAnsi"/>
          <w:noProof w:val="0"/>
          <w:rtl/>
        </w:rPr>
        <w:t xml:space="preserve">לטענת המשיבה בכתב התביעה </w:t>
      </w:r>
      <w:r w:rsidR="001D4430">
        <w:rPr>
          <w:rFonts w:hint="cs" w:asciiTheme="minorHAnsi" w:hAnsiTheme="minorHAnsi"/>
          <w:noProof w:val="0"/>
          <w:rtl/>
        </w:rPr>
        <w:t xml:space="preserve">(סע' 12), ובתגובתה, </w:t>
      </w:r>
      <w:r w:rsidR="007462AC">
        <w:rPr>
          <w:rFonts w:hint="cs" w:asciiTheme="minorHAnsi" w:hAnsiTheme="minorHAnsi"/>
          <w:noProof w:val="0"/>
          <w:rtl/>
        </w:rPr>
        <w:t>המבקשת רכשה חלק ממניות הנתבעת 1. במסגרת רכישה זו קיזזו הבעלים של הנתבעת 1</w:t>
      </w:r>
      <w:r w:rsidR="0091275E">
        <w:rPr>
          <w:rFonts w:hint="cs" w:asciiTheme="minorHAnsi" w:hAnsiTheme="minorHAnsi"/>
          <w:noProof w:val="0"/>
          <w:rtl/>
        </w:rPr>
        <w:t xml:space="preserve"> למשיבה </w:t>
      </w:r>
      <w:r w:rsidR="007462AC">
        <w:rPr>
          <w:rFonts w:hint="cs" w:asciiTheme="minorHAnsi" w:hAnsiTheme="minorHAnsi"/>
          <w:noProof w:val="0"/>
          <w:rtl/>
        </w:rPr>
        <w:t>50% מהחוב שהצטבר ל</w:t>
      </w:r>
      <w:r w:rsidR="0091275E">
        <w:rPr>
          <w:rFonts w:hint="cs" w:asciiTheme="minorHAnsi" w:hAnsiTheme="minorHAnsi"/>
          <w:noProof w:val="0"/>
          <w:rtl/>
        </w:rPr>
        <w:t>נתבעת 1</w:t>
      </w:r>
      <w:r w:rsidR="001D7846">
        <w:rPr>
          <w:rFonts w:hint="cs" w:asciiTheme="minorHAnsi" w:hAnsiTheme="minorHAnsi"/>
          <w:noProof w:val="0"/>
          <w:rtl/>
        </w:rPr>
        <w:t xml:space="preserve"> </w:t>
      </w:r>
      <w:r w:rsidR="007462AC">
        <w:rPr>
          <w:rFonts w:hint="cs" w:asciiTheme="minorHAnsi" w:hAnsiTheme="minorHAnsi"/>
          <w:noProof w:val="0"/>
          <w:rtl/>
        </w:rPr>
        <w:t xml:space="preserve"> והסכום הועבר למשמורת בחשבון נאמנות.</w:t>
      </w:r>
    </w:p>
    <w:p w:rsidR="007462AC" w:rsidP="007462AC" w:rsidRDefault="007462AC">
      <w:pPr>
        <w:spacing w:after="384" w:afterLines="160" w:line="360" w:lineRule="auto"/>
        <w:ind w:left="720"/>
        <w:contextualSpacing/>
        <w:jc w:val="both"/>
        <w:rPr>
          <w:rFonts w:hint="cs" w:asciiTheme="minorHAnsi" w:hAnsiTheme="minorHAnsi"/>
          <w:noProof w:val="0"/>
        </w:rPr>
      </w:pPr>
    </w:p>
    <w:p w:rsidR="00100744" w:rsidP="004A271D" w:rsidRDefault="007462AC">
      <w:pPr>
        <w:numPr>
          <w:ilvl w:val="0"/>
          <w:numId w:val="1"/>
        </w:numPr>
        <w:spacing w:after="384" w:afterLines="160" w:line="360" w:lineRule="auto"/>
        <w:contextualSpacing/>
        <w:jc w:val="both"/>
        <w:rPr>
          <w:rFonts w:asciiTheme="minorHAnsi" w:hAnsiTheme="minorHAnsi"/>
          <w:noProof w:val="0"/>
        </w:rPr>
      </w:pPr>
      <w:r>
        <w:rPr>
          <w:rFonts w:hint="cs" w:asciiTheme="minorHAnsi" w:hAnsiTheme="minorHAnsi"/>
          <w:noProof w:val="0"/>
          <w:rtl/>
        </w:rPr>
        <w:t xml:space="preserve">המבקשת טוענת בבקשתה </w:t>
      </w:r>
      <w:r w:rsidR="00100744">
        <w:rPr>
          <w:rFonts w:hint="cs" w:asciiTheme="minorHAnsi" w:hAnsiTheme="minorHAnsi"/>
          <w:noProof w:val="0"/>
          <w:rtl/>
        </w:rPr>
        <w:t>לסילוק על הסף כי טענות המשיבה בכתב התביעה (סע' 12) אינן נכונות עובדתית.</w:t>
      </w:r>
    </w:p>
    <w:p w:rsidR="00100744" w:rsidP="00100744" w:rsidRDefault="00100744">
      <w:pPr>
        <w:spacing w:after="384" w:afterLines="160" w:line="360" w:lineRule="auto"/>
        <w:ind w:left="720"/>
        <w:contextualSpacing/>
        <w:jc w:val="both"/>
        <w:rPr>
          <w:rFonts w:hint="cs" w:asciiTheme="minorHAnsi" w:hAnsiTheme="minorHAnsi"/>
          <w:noProof w:val="0"/>
        </w:rPr>
      </w:pPr>
    </w:p>
    <w:p w:rsidR="00100744" w:rsidP="004A271D" w:rsidRDefault="00100744">
      <w:pPr>
        <w:numPr>
          <w:ilvl w:val="0"/>
          <w:numId w:val="1"/>
        </w:numPr>
        <w:spacing w:after="384" w:afterLines="160" w:line="360" w:lineRule="auto"/>
        <w:contextualSpacing/>
        <w:jc w:val="both"/>
        <w:rPr>
          <w:rFonts w:asciiTheme="minorHAnsi" w:hAnsiTheme="minorHAnsi"/>
          <w:noProof w:val="0"/>
        </w:rPr>
      </w:pPr>
      <w:r>
        <w:rPr>
          <w:rFonts w:hint="cs" w:asciiTheme="minorHAnsi" w:hAnsiTheme="minorHAnsi"/>
          <w:noProof w:val="0"/>
          <w:rtl/>
        </w:rPr>
        <w:t>במסגרת כתב ההגנה שהוגש בתיק מטעמה של הנתבעת 1 לא מצאתי התייחסות לטענות אלו.</w:t>
      </w:r>
    </w:p>
    <w:p w:rsidR="00100744" w:rsidP="00100744" w:rsidRDefault="00100744">
      <w:pPr>
        <w:spacing w:after="384" w:afterLines="160" w:line="360" w:lineRule="auto"/>
        <w:ind w:left="720"/>
        <w:contextualSpacing/>
        <w:jc w:val="both"/>
        <w:rPr>
          <w:rFonts w:hint="cs" w:asciiTheme="minorHAnsi" w:hAnsiTheme="minorHAnsi"/>
          <w:noProof w:val="0"/>
        </w:rPr>
      </w:pPr>
    </w:p>
    <w:p w:rsidRPr="008051D0" w:rsidR="008051D0" w:rsidP="008051D0" w:rsidRDefault="008051D0">
      <w:pPr>
        <w:numPr>
          <w:ilvl w:val="0"/>
          <w:numId w:val="1"/>
        </w:numPr>
        <w:spacing w:after="384" w:afterLines="160" w:line="360" w:lineRule="auto"/>
        <w:contextualSpacing/>
        <w:jc w:val="both"/>
        <w:rPr>
          <w:rFonts w:asciiTheme="minorHAnsi" w:hAnsiTheme="minorHAnsi"/>
          <w:noProof w:val="0"/>
          <w:rtl/>
        </w:rPr>
      </w:pPr>
      <w:r w:rsidRPr="008051D0">
        <w:rPr>
          <w:rFonts w:asciiTheme="minorHAnsi" w:hAnsiTheme="minorHAnsi"/>
          <w:noProof w:val="0"/>
          <w:rtl/>
        </w:rPr>
        <w:lastRenderedPageBreak/>
        <w:t>תקנה 100(1) לתקנות סדר הדין האזרחי, התשמ"ד-1984 (להלן: "</w:t>
      </w:r>
      <w:r w:rsidRPr="008051D0">
        <w:rPr>
          <w:rFonts w:asciiTheme="minorHAnsi" w:hAnsiTheme="minorHAnsi"/>
          <w:b/>
          <w:bCs/>
          <w:noProof w:val="0"/>
          <w:rtl/>
        </w:rPr>
        <w:t>התקנות</w:t>
      </w:r>
      <w:r w:rsidRPr="008051D0">
        <w:rPr>
          <w:rFonts w:asciiTheme="minorHAnsi" w:hAnsiTheme="minorHAnsi"/>
          <w:noProof w:val="0"/>
          <w:rtl/>
        </w:rPr>
        <w:t>") קובעת:</w:t>
      </w:r>
    </w:p>
    <w:p w:rsidRPr="008051D0" w:rsidR="008051D0" w:rsidP="008051D0" w:rsidRDefault="008051D0">
      <w:pPr>
        <w:spacing w:after="384" w:afterLines="160" w:line="360" w:lineRule="auto"/>
        <w:ind w:left="720"/>
        <w:contextualSpacing/>
        <w:jc w:val="both"/>
        <w:rPr>
          <w:rFonts w:asciiTheme="minorHAnsi" w:hAnsiTheme="minorHAnsi"/>
          <w:noProof w:val="0"/>
          <w:rtl/>
        </w:rPr>
      </w:pPr>
    </w:p>
    <w:p w:rsidRPr="008051D0" w:rsidR="008051D0" w:rsidP="008051D0" w:rsidRDefault="008051D0">
      <w:pPr>
        <w:spacing w:after="384" w:afterLines="160" w:line="360" w:lineRule="auto"/>
        <w:ind w:left="720"/>
        <w:contextualSpacing/>
        <w:jc w:val="both"/>
        <w:rPr>
          <w:rFonts w:asciiTheme="minorHAnsi" w:hAnsiTheme="minorHAnsi"/>
          <w:b/>
          <w:bCs/>
          <w:noProof w:val="0"/>
          <w:rtl/>
        </w:rPr>
      </w:pPr>
      <w:r w:rsidRPr="008051D0">
        <w:rPr>
          <w:rFonts w:asciiTheme="minorHAnsi" w:hAnsiTheme="minorHAnsi"/>
          <w:b/>
          <w:bCs/>
          <w:noProof w:val="0"/>
          <w:rtl/>
        </w:rPr>
        <w:t xml:space="preserve">"בית המשפט או הרשם רשאי, בכל עת, לצוות על מחיקת כתב תביעה נגד הנתבעים, כולם או מקצתם, על יסוד אחד הנימוקים האלה: </w:t>
      </w:r>
    </w:p>
    <w:p w:rsidRPr="008051D0" w:rsidR="008051D0" w:rsidP="008051D0" w:rsidRDefault="008051D0">
      <w:pPr>
        <w:spacing w:after="384" w:afterLines="160" w:line="360" w:lineRule="auto"/>
        <w:ind w:left="720"/>
        <w:contextualSpacing/>
        <w:jc w:val="both"/>
        <w:rPr>
          <w:rFonts w:asciiTheme="minorHAnsi" w:hAnsiTheme="minorHAnsi"/>
          <w:b/>
          <w:bCs/>
          <w:noProof w:val="0"/>
          <w:rtl/>
        </w:rPr>
      </w:pPr>
    </w:p>
    <w:p w:rsidRPr="008051D0" w:rsidR="008051D0" w:rsidP="008051D0" w:rsidRDefault="008051D0">
      <w:pPr>
        <w:spacing w:after="384" w:afterLines="160" w:line="360" w:lineRule="auto"/>
        <w:ind w:left="720"/>
        <w:contextualSpacing/>
        <w:jc w:val="both"/>
        <w:rPr>
          <w:rFonts w:asciiTheme="minorHAnsi" w:hAnsiTheme="minorHAnsi"/>
          <w:b/>
          <w:bCs/>
          <w:noProof w:val="0"/>
          <w:rtl/>
        </w:rPr>
      </w:pPr>
      <w:r w:rsidRPr="008051D0">
        <w:rPr>
          <w:rFonts w:asciiTheme="minorHAnsi" w:hAnsiTheme="minorHAnsi"/>
          <w:b/>
          <w:bCs/>
          <w:noProof w:val="0"/>
          <w:rtl/>
        </w:rPr>
        <w:t>(1)</w:t>
      </w:r>
      <w:r w:rsidRPr="008051D0">
        <w:rPr>
          <w:rFonts w:asciiTheme="minorHAnsi" w:hAnsiTheme="minorHAnsi"/>
          <w:b/>
          <w:bCs/>
          <w:noProof w:val="0"/>
          <w:rtl/>
        </w:rPr>
        <w:tab/>
        <w:t>אין הכתב מראה עילת תביעה;</w:t>
      </w:r>
    </w:p>
    <w:p w:rsidRPr="00100744" w:rsidR="00100744" w:rsidP="00100744" w:rsidRDefault="00100744">
      <w:pPr>
        <w:pStyle w:val="ad"/>
        <w:numPr>
          <w:ilvl w:val="0"/>
          <w:numId w:val="1"/>
        </w:numPr>
        <w:spacing w:line="360" w:lineRule="auto"/>
        <w:jc w:val="both"/>
        <w:rPr>
          <w:rFonts w:cs="David"/>
          <w:sz w:val="24"/>
          <w:szCs w:val="24"/>
        </w:rPr>
      </w:pPr>
      <w:r w:rsidRPr="00100744">
        <w:rPr>
          <w:rFonts w:hint="cs" w:cs="David"/>
          <w:sz w:val="24"/>
          <w:szCs w:val="24"/>
          <w:rtl/>
        </w:rPr>
        <w:t xml:space="preserve">הלכה היא כי סעד של סילוק תביעה על הסף הינו סעד חריף שבית המשפט לא ייעתר לו אלא במקרים קיצוניים, שכן יש להעדיף בירור המחלוקת לגופה. אין ביהמ"ש בוחן מהם סיכויי התובע להצליח בתביעתו, ואפילו סיכויי התביעה קלושים, לא יחסום בית המשפט בפני התובע את הדרך לבירור תביעתו אם קיימת אפשרות כלשהי, גם אם בדרך של תיקון כתב התביעה, שהתובע יצליח בתביעתו. </w:t>
      </w:r>
    </w:p>
    <w:p w:rsidRPr="00100744" w:rsidR="00100744" w:rsidP="00100744" w:rsidRDefault="00100744">
      <w:pPr>
        <w:pStyle w:val="ad"/>
        <w:overflowPunct w:val="0"/>
        <w:autoSpaceDE w:val="0"/>
        <w:autoSpaceDN w:val="0"/>
        <w:spacing w:line="360" w:lineRule="auto"/>
        <w:jc w:val="both"/>
        <w:rPr>
          <w:rFonts w:hint="cs" w:cs="David"/>
          <w:sz w:val="24"/>
          <w:szCs w:val="24"/>
          <w:rtl/>
        </w:rPr>
      </w:pPr>
    </w:p>
    <w:p w:rsidR="00100744" w:rsidP="00100744" w:rsidRDefault="00100744">
      <w:pPr>
        <w:pStyle w:val="ad"/>
        <w:numPr>
          <w:ilvl w:val="0"/>
          <w:numId w:val="1"/>
        </w:numPr>
        <w:overflowPunct w:val="0"/>
        <w:autoSpaceDE w:val="0"/>
        <w:autoSpaceDN w:val="0"/>
        <w:spacing w:line="360" w:lineRule="auto"/>
        <w:jc w:val="both"/>
        <w:rPr>
          <w:rFonts w:cs="David"/>
          <w:sz w:val="24"/>
          <w:szCs w:val="24"/>
        </w:rPr>
      </w:pPr>
      <w:r w:rsidRPr="00100744">
        <w:rPr>
          <w:rFonts w:hint="cs" w:cs="David"/>
          <w:sz w:val="24"/>
          <w:szCs w:val="24"/>
          <w:rtl/>
        </w:rPr>
        <w:t xml:space="preserve">ברע"א 661/17 </w:t>
      </w:r>
      <w:r w:rsidRPr="00100744">
        <w:rPr>
          <w:rFonts w:hint="cs" w:cs="David"/>
          <w:b/>
          <w:bCs/>
          <w:sz w:val="24"/>
          <w:szCs w:val="24"/>
          <w:rtl/>
        </w:rPr>
        <w:t>אלמשרק נ' אלסנדוק ואח'</w:t>
      </w:r>
      <w:r w:rsidRPr="00100744">
        <w:rPr>
          <w:rFonts w:hint="cs" w:cs="David"/>
          <w:sz w:val="24"/>
          <w:szCs w:val="24"/>
          <w:rtl/>
        </w:rPr>
        <w:t xml:space="preserve"> (פורסם בנבו), נקבע:</w:t>
      </w:r>
    </w:p>
    <w:p w:rsidRPr="00100744" w:rsidR="00100744" w:rsidP="00100744" w:rsidRDefault="00100744">
      <w:pPr>
        <w:pStyle w:val="ad"/>
        <w:overflowPunct w:val="0"/>
        <w:autoSpaceDE w:val="0"/>
        <w:autoSpaceDN w:val="0"/>
        <w:spacing w:line="360" w:lineRule="auto"/>
        <w:jc w:val="both"/>
        <w:rPr>
          <w:rFonts w:hint="cs" w:cs="David"/>
          <w:sz w:val="24"/>
          <w:szCs w:val="24"/>
          <w:rtl/>
        </w:rPr>
      </w:pPr>
    </w:p>
    <w:p w:rsidRPr="00207F7D" w:rsidR="00100744" w:rsidP="00207F7D" w:rsidRDefault="00207F7D">
      <w:pPr>
        <w:pStyle w:val="ad"/>
        <w:overflowPunct w:val="0"/>
        <w:autoSpaceDE w:val="0"/>
        <w:autoSpaceDN w:val="0"/>
        <w:spacing w:line="360" w:lineRule="auto"/>
        <w:jc w:val="both"/>
        <w:rPr>
          <w:rFonts w:cs="David"/>
          <w:b/>
          <w:bCs/>
          <w:sz w:val="24"/>
          <w:szCs w:val="24"/>
          <w:rtl/>
        </w:rPr>
      </w:pPr>
      <w:r w:rsidRPr="00207F7D">
        <w:rPr>
          <w:rFonts w:hint="cs" w:cs="David"/>
          <w:b/>
          <w:bCs/>
          <w:sz w:val="24"/>
          <w:szCs w:val="24"/>
          <w:rtl/>
        </w:rPr>
        <w:t>"</w:t>
      </w:r>
      <w:r w:rsidRPr="00207F7D" w:rsidR="00100744">
        <w:rPr>
          <w:rFonts w:hint="cs" w:cs="David"/>
          <w:b/>
          <w:bCs/>
          <w:sz w:val="24"/>
          <w:szCs w:val="24"/>
          <w:rtl/>
        </w:rPr>
        <w:t>ניכר כי בין הצדדים ניטשת מחלוקת באשר לעובדות המקרה ולנפקותן המשפטית וראוי שהן יתבררו שלא במסגרת בקשה לסילוק על סף (</w:t>
      </w:r>
      <w:hyperlink w:history="1" r:id="rId9">
        <w:r w:rsidRPr="00207F7D" w:rsidR="00100744">
          <w:rPr>
            <w:rFonts w:hint="cs" w:cs="David"/>
            <w:b/>
            <w:bCs/>
            <w:sz w:val="24"/>
            <w:szCs w:val="24"/>
            <w:rtl/>
          </w:rPr>
          <w:t>רע"א 6770/01</w:t>
        </w:r>
      </w:hyperlink>
      <w:r w:rsidRPr="00207F7D" w:rsidR="00100744">
        <w:rPr>
          <w:rFonts w:hint="cs" w:cs="David"/>
          <w:b/>
          <w:bCs/>
          <w:sz w:val="24"/>
          <w:szCs w:val="24"/>
          <w:rtl/>
        </w:rPr>
        <w:t xml:space="preserve"> קי.בי.ע. קבוצת בוני ערים בע"מ נ' מועצה אזורית באר טוביה, [פורסם בנבו] בפסקה 5 (14.10.2001); </w:t>
      </w:r>
      <w:hyperlink w:history="1" r:id="rId10">
        <w:r w:rsidRPr="00207F7D" w:rsidR="00100744">
          <w:rPr>
            <w:rFonts w:hint="cs" w:cs="David"/>
            <w:b/>
            <w:bCs/>
            <w:sz w:val="24"/>
            <w:szCs w:val="24"/>
            <w:rtl/>
          </w:rPr>
          <w:t>רע"א 8862/08</w:t>
        </w:r>
      </w:hyperlink>
      <w:r w:rsidRPr="00207F7D" w:rsidR="00100744">
        <w:rPr>
          <w:rFonts w:hint="cs" w:cs="David"/>
          <w:b/>
          <w:bCs/>
          <w:sz w:val="24"/>
          <w:szCs w:val="24"/>
          <w:rtl/>
        </w:rPr>
        <w:t xml:space="preserve"> צין טורס חדשה נ' אהרוני, פסקאות ד'-ה' (1.12.2008)). סילוק תביעה אך בשל החשש כי ההליך יתברר כמיותר יעשה במקרים קיצוניים בהם הדבר יגרור השקעת משאבים יוצאת דופן (</w:t>
      </w:r>
      <w:hyperlink w:history="1" r:id="rId11">
        <w:r w:rsidRPr="00207F7D" w:rsidR="00100744">
          <w:rPr>
            <w:rFonts w:hint="cs" w:cs="David"/>
            <w:b/>
            <w:bCs/>
            <w:sz w:val="24"/>
            <w:szCs w:val="24"/>
            <w:rtl/>
          </w:rPr>
          <w:t>רע"א 7913/14</w:t>
        </w:r>
      </w:hyperlink>
      <w:r w:rsidRPr="00207F7D" w:rsidR="00100744">
        <w:rPr>
          <w:rFonts w:hint="cs" w:cs="David"/>
          <w:b/>
          <w:bCs/>
          <w:sz w:val="24"/>
          <w:szCs w:val="24"/>
          <w:rtl/>
        </w:rPr>
        <w:t xml:space="preserve"> תרכובת ברום בע"מ נ' הדס חצב, [פורסם בנבו] פסקה 7 (‏8.2.2015)), ולא הוצגה תשתית עובדתית התומכת בטענה זו.</w:t>
      </w:r>
      <w:r w:rsidRPr="00207F7D">
        <w:rPr>
          <w:rFonts w:hint="cs" w:cs="David"/>
          <w:b/>
          <w:bCs/>
          <w:sz w:val="24"/>
          <w:szCs w:val="24"/>
          <w:rtl/>
        </w:rPr>
        <w:t>"</w:t>
      </w:r>
      <w:r w:rsidRPr="00207F7D" w:rsidR="00100744">
        <w:rPr>
          <w:rFonts w:hint="cs" w:cs="David"/>
          <w:b/>
          <w:bCs/>
          <w:sz w:val="24"/>
          <w:szCs w:val="24"/>
          <w:rtl/>
        </w:rPr>
        <w:t xml:space="preserve"> </w:t>
      </w:r>
    </w:p>
    <w:p w:rsidR="00207F7D" w:rsidP="00207F7D" w:rsidRDefault="00207F7D">
      <w:pPr>
        <w:pStyle w:val="ad"/>
        <w:overflowPunct w:val="0"/>
        <w:autoSpaceDE w:val="0"/>
        <w:autoSpaceDN w:val="0"/>
        <w:spacing w:line="360" w:lineRule="auto"/>
        <w:jc w:val="both"/>
        <w:rPr>
          <w:rFonts w:cs="David"/>
          <w:sz w:val="24"/>
          <w:szCs w:val="24"/>
        </w:rPr>
      </w:pPr>
    </w:p>
    <w:p w:rsidR="00207F7D" w:rsidP="001D7846" w:rsidRDefault="00207F7D">
      <w:pPr>
        <w:pStyle w:val="ad"/>
        <w:numPr>
          <w:ilvl w:val="0"/>
          <w:numId w:val="1"/>
        </w:numPr>
        <w:overflowPunct w:val="0"/>
        <w:autoSpaceDE w:val="0"/>
        <w:autoSpaceDN w:val="0"/>
        <w:spacing w:line="360" w:lineRule="auto"/>
        <w:jc w:val="both"/>
        <w:rPr>
          <w:rFonts w:hint="cs" w:cs="David"/>
          <w:sz w:val="24"/>
          <w:szCs w:val="24"/>
        </w:rPr>
      </w:pPr>
      <w:r>
        <w:rPr>
          <w:rFonts w:hint="cs" w:cs="David"/>
          <w:sz w:val="24"/>
          <w:szCs w:val="24"/>
          <w:rtl/>
        </w:rPr>
        <w:t>לאור טענות הצדדים והמחלוקת העובדתית, אין מקום בשלב זה של ההליך להורות על סילוק התובענה על הסף. מן הראוי לברר את המחלוקת אם אכן במסגרת הסכם הרכישה של חלק ממניות הנתבעת 1 ע"י המבקשת, הסכימו הצדדים</w:t>
      </w:r>
      <w:r w:rsidR="001D7846">
        <w:rPr>
          <w:rFonts w:hint="cs" w:cs="David"/>
          <w:sz w:val="24"/>
          <w:szCs w:val="24"/>
          <w:rtl/>
        </w:rPr>
        <w:t xml:space="preserve"> (הנתבעת 1 והמבקשת)</w:t>
      </w:r>
      <w:r>
        <w:rPr>
          <w:rFonts w:hint="cs" w:cs="David"/>
          <w:sz w:val="24"/>
          <w:szCs w:val="24"/>
          <w:rtl/>
        </w:rPr>
        <w:t xml:space="preserve"> על הפקדת כספים בחשבון נאמנות לצורך פירעון החוב הנטען נשוא ההליך דנא</w:t>
      </w:r>
      <w:r w:rsidR="001D7846">
        <w:rPr>
          <w:rFonts w:hint="cs" w:cs="David"/>
          <w:sz w:val="24"/>
          <w:szCs w:val="24"/>
          <w:rtl/>
        </w:rPr>
        <w:t xml:space="preserve"> למשיבה</w:t>
      </w:r>
      <w:r>
        <w:rPr>
          <w:rFonts w:hint="cs" w:cs="David"/>
          <w:sz w:val="24"/>
          <w:szCs w:val="24"/>
          <w:rtl/>
        </w:rPr>
        <w:t>.</w:t>
      </w:r>
    </w:p>
    <w:p w:rsidRPr="001D7846" w:rsidR="00207F7D" w:rsidP="00207F7D" w:rsidRDefault="00207F7D">
      <w:pPr>
        <w:pStyle w:val="ad"/>
        <w:overflowPunct w:val="0"/>
        <w:autoSpaceDE w:val="0"/>
        <w:autoSpaceDN w:val="0"/>
        <w:spacing w:line="360" w:lineRule="auto"/>
        <w:jc w:val="both"/>
        <w:rPr>
          <w:rFonts w:cs="David"/>
          <w:sz w:val="24"/>
          <w:szCs w:val="24"/>
        </w:rPr>
      </w:pPr>
    </w:p>
    <w:p w:rsidR="00207F7D" w:rsidP="0091275E" w:rsidRDefault="00207F7D">
      <w:pPr>
        <w:pStyle w:val="ad"/>
        <w:numPr>
          <w:ilvl w:val="0"/>
          <w:numId w:val="1"/>
        </w:numPr>
        <w:overflowPunct w:val="0"/>
        <w:autoSpaceDE w:val="0"/>
        <w:autoSpaceDN w:val="0"/>
        <w:spacing w:line="360" w:lineRule="auto"/>
        <w:jc w:val="both"/>
        <w:rPr>
          <w:rFonts w:hint="cs" w:cs="David"/>
          <w:sz w:val="24"/>
          <w:szCs w:val="24"/>
        </w:rPr>
      </w:pPr>
      <w:r>
        <w:rPr>
          <w:rFonts w:hint="cs" w:cs="David"/>
          <w:sz w:val="24"/>
          <w:szCs w:val="24"/>
          <w:rtl/>
        </w:rPr>
        <w:t>לאור המפורט לעיל, לא מצאתי בשלב זה צורך לדון בנושא</w:t>
      </w:r>
      <w:r w:rsidR="0091275E">
        <w:rPr>
          <w:rFonts w:hint="cs" w:cs="David"/>
          <w:sz w:val="24"/>
          <w:szCs w:val="24"/>
          <w:rtl/>
        </w:rPr>
        <w:t xml:space="preserve"> האישיות המשפטית הנפרדת והרמת מסך ההתאגדות. </w:t>
      </w:r>
    </w:p>
    <w:p w:rsidR="00207F7D" w:rsidP="0091275E" w:rsidRDefault="00207F7D">
      <w:pPr>
        <w:pStyle w:val="ad"/>
        <w:overflowPunct w:val="0"/>
        <w:autoSpaceDE w:val="0"/>
        <w:autoSpaceDN w:val="0"/>
        <w:spacing w:line="360" w:lineRule="auto"/>
        <w:jc w:val="both"/>
        <w:rPr>
          <w:rFonts w:hint="cs" w:cs="David"/>
          <w:sz w:val="24"/>
          <w:szCs w:val="24"/>
        </w:rPr>
      </w:pPr>
    </w:p>
    <w:p w:rsidR="00207F7D" w:rsidP="00100744" w:rsidRDefault="0091275E">
      <w:pPr>
        <w:pStyle w:val="ad"/>
        <w:numPr>
          <w:ilvl w:val="0"/>
          <w:numId w:val="1"/>
        </w:numPr>
        <w:overflowPunct w:val="0"/>
        <w:autoSpaceDE w:val="0"/>
        <w:autoSpaceDN w:val="0"/>
        <w:spacing w:line="360" w:lineRule="auto"/>
        <w:jc w:val="both"/>
        <w:rPr>
          <w:rFonts w:cs="David"/>
          <w:sz w:val="24"/>
          <w:szCs w:val="24"/>
        </w:rPr>
      </w:pPr>
      <w:r>
        <w:rPr>
          <w:rFonts w:hint="cs" w:cs="David"/>
          <w:sz w:val="24"/>
          <w:szCs w:val="24"/>
          <w:rtl/>
        </w:rPr>
        <w:t>המבקשת תגיש כתב הגנה תוך 30 ימים מהיום.</w:t>
      </w:r>
    </w:p>
    <w:p w:rsidR="0091275E" w:rsidP="0091275E" w:rsidRDefault="0091275E">
      <w:pPr>
        <w:pStyle w:val="ad"/>
        <w:overflowPunct w:val="0"/>
        <w:autoSpaceDE w:val="0"/>
        <w:autoSpaceDN w:val="0"/>
        <w:spacing w:line="360" w:lineRule="auto"/>
        <w:jc w:val="both"/>
        <w:rPr>
          <w:rFonts w:hint="cs" w:cs="David"/>
          <w:sz w:val="24"/>
          <w:szCs w:val="24"/>
        </w:rPr>
      </w:pPr>
    </w:p>
    <w:p w:rsidRPr="00100744" w:rsidR="0091275E" w:rsidP="00100744" w:rsidRDefault="0091275E">
      <w:pPr>
        <w:pStyle w:val="ad"/>
        <w:numPr>
          <w:ilvl w:val="0"/>
          <w:numId w:val="1"/>
        </w:numPr>
        <w:overflowPunct w:val="0"/>
        <w:autoSpaceDE w:val="0"/>
        <w:autoSpaceDN w:val="0"/>
        <w:spacing w:line="360" w:lineRule="auto"/>
        <w:jc w:val="both"/>
        <w:rPr>
          <w:rFonts w:hint="cs" w:cs="David"/>
          <w:sz w:val="24"/>
          <w:szCs w:val="24"/>
          <w:rtl/>
        </w:rPr>
      </w:pPr>
      <w:r>
        <w:rPr>
          <w:rFonts w:hint="cs" w:cs="David"/>
          <w:sz w:val="24"/>
          <w:szCs w:val="24"/>
          <w:rtl/>
        </w:rPr>
        <w:lastRenderedPageBreak/>
        <w:t xml:space="preserve">סוגיית ההוצאות בסך של 500 </w:t>
      </w:r>
      <w:r>
        <w:rPr>
          <w:rFonts w:hint="eastAsia" w:cs="David"/>
          <w:sz w:val="24"/>
          <w:szCs w:val="24"/>
          <w:rtl/>
        </w:rPr>
        <w:t>₪</w:t>
      </w:r>
      <w:r>
        <w:rPr>
          <w:rFonts w:hint="cs" w:cs="David"/>
          <w:sz w:val="24"/>
          <w:szCs w:val="24"/>
          <w:rtl/>
        </w:rPr>
        <w:t xml:space="preserve"> תילקח בחשבון בסוף ההליך ובהתאם לתוצאותיו. </w:t>
      </w:r>
    </w:p>
    <w:p w:rsidRPr="00100744" w:rsidR="00100744" w:rsidP="00100744" w:rsidRDefault="00100744">
      <w:pPr>
        <w:pStyle w:val="ad"/>
        <w:numPr>
          <w:ilvl w:val="0"/>
          <w:numId w:val="1"/>
        </w:numPr>
        <w:bidi w:val="0"/>
        <w:rPr>
          <w:rFonts w:cs="David"/>
          <w:sz w:val="24"/>
          <w:szCs w:val="24"/>
          <w:rtl/>
        </w:rPr>
      </w:pPr>
    </w:p>
    <w:p w:rsidR="00694556" w:rsidRDefault="00694556">
      <w:pPr>
        <w:spacing w:line="360" w:lineRule="auto"/>
        <w:jc w:val="both"/>
        <w:rPr>
          <w:rFonts w:hint="c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31269770"/>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223032954"/>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RDefault="00CC5F52">
      <w:pPr>
        <w:spacing w:line="360" w:lineRule="auto"/>
        <w:ind w:left="3600" w:firstLine="720"/>
        <w:jc w:val="both"/>
        <w:rPr>
          <w:rFonts w:ascii="Arial" w:hAnsi="Arial"/>
          <w:noProof w:val="0"/>
          <w:rtl/>
        </w:rPr>
      </w:pPr>
      <w:sdt>
        <w:sdtPr>
          <w:alias w:val="MergeField"/>
          <w:tag w:val="1237"/>
        </w:sdtPr>
        <w:sdtContent>
          <w:p>
            <w:r>
              <w:drawing>
                <wp:inline distT="0" distB="0" distL="0" distR="0" wp14:editId="50D07946">
                  <wp:extent cx="1138334" cy="342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0d9a0c3102e42f9" cstate="print">
                            <a:extLst>
                              <a:ext uri="{28A0092B-C50C-407E-A947-70E740481C1C}"/>
                            </a:extLst>
                          </a:blip>
                          <a:stretch>
                            <a:fillRect/>
                          </a:stretch>
                        </pic:blipFill>
                        <pic:spPr>
                          <a:xfrm>
                            <a:off x="0" y="0"/>
                            <a:ext cx="1138334" cy="342336"/>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bookmarkStart w:name="_GoBack" w:id="0"/>
      <w:bookmarkEnd w:id="0"/>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B75018">
    <w:pPr>
      <w:pStyle w:val="a4"/>
      <w:jc w:val="center"/>
      <w:rPr>
        <w:rStyle w:val="ac"/>
      </w:rPr>
    </w:pPr>
    <w:r w:rsidRPr="004E6E3C">
      <w:rPr>
        <w:rStyle w:val="ac"/>
        <w:rFonts w:cs="Times New Roman"/>
      </w:rPr>
      <w:fldChar w:fldCharType="begin"/>
    </w:r>
    <w:r w:rsidRPr="004E6E3C" w:rsidR="00005C8B">
      <w:rPr>
        <w:rStyle w:val="ac"/>
        <w:rFonts w:cs="Times New Roman"/>
      </w:rPr>
      <w:instrText xml:space="preserve"> PAGE </w:instrText>
    </w:r>
    <w:r w:rsidRPr="004E6E3C">
      <w:rPr>
        <w:rStyle w:val="ac"/>
        <w:rFonts w:cs="Times New Roman"/>
      </w:rPr>
      <w:fldChar w:fldCharType="separate"/>
    </w:r>
    <w:r w:rsidR="00CC5F52">
      <w:rPr>
        <w:rStyle w:val="ac"/>
        <w:rFonts w:cs="Times New Roman"/>
        <w:rtl/>
      </w:rPr>
      <w:t>3</w:t>
    </w:r>
    <w:r w:rsidRPr="004E6E3C">
      <w:rPr>
        <w:rStyle w:val="ac"/>
        <w:rFonts w:cs="Times New Roman"/>
      </w:rPr>
      <w:fldChar w:fldCharType="end"/>
    </w:r>
    <w:r w:rsidRPr="004E6E3C" w:rsidR="00005C8B">
      <w:rPr>
        <w:rStyle w:val="ac"/>
        <w:rFonts w:hint="cs"/>
        <w:rtl/>
      </w:rPr>
      <w:t xml:space="preserve"> מתוך </w:t>
    </w:r>
    <w:r w:rsidRPr="004E6E3C">
      <w:rPr>
        <w:rStyle w:val="ac"/>
      </w:rPr>
      <w:fldChar w:fldCharType="begin"/>
    </w:r>
    <w:r w:rsidRPr="004E6E3C" w:rsidR="00005C8B">
      <w:rPr>
        <w:rStyle w:val="ac"/>
      </w:rPr>
      <w:instrText xml:space="preserve"> NUMPAGES </w:instrText>
    </w:r>
    <w:r w:rsidRPr="004E6E3C">
      <w:rPr>
        <w:rStyle w:val="ac"/>
      </w:rPr>
      <w:fldChar w:fldCharType="separate"/>
    </w:r>
    <w:r w:rsidR="00CC5F52">
      <w:rPr>
        <w:rStyle w:val="ac"/>
        <w:rtl/>
      </w:rPr>
      <w:t>3</w:t>
    </w:r>
    <w:r w:rsidRPr="004E6E3C">
      <w:rPr>
        <w:rStyle w:val="ac"/>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C5F52">
    <w:pPr>
      <w:pStyle w:val="a3"/>
      <w:jc w:val="center"/>
      <w:rPr>
        <w:rFonts w:cs="FrankRuehl"/>
        <w:noProof w:val="0"/>
        <w:sz w:val="28"/>
        <w:szCs w:val="28"/>
        <w:rtl/>
      </w:rPr>
    </w:pPr>
    <w:r>
      <w:rPr>
        <w:rFonts w:cs="FrankRuehl"/>
        <w:sz w:val="28"/>
        <w:szCs w:val="28"/>
        <w:rtl/>
      </w:rPr>
    </w:r>
    <w:r w:rsidR="00074A57">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4"/>
      <w:gridCol w:w="3591"/>
    </w:tblGrid>
    <w:tr w:rsidR="00694556">
      <w:trPr>
        <w:trHeight w:val="418" w:hRule="exact"/>
        <w:jc w:val="center"/>
      </w:trPr>
      <w:sdt>
        <w:sdtPr>
          <w:rPr>
            <w:rtl/>
          </w:rPr>
          <w:alias w:val="1174"/>
          <w:tag w:val="1174"/>
          <w:id w:val="416374978"/>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ברמלה</w:t>
              </w:r>
            </w:p>
          </w:tc>
        </w:sdtContent>
      </w:sdt>
    </w:tr>
    <w:tr w:rsidR="00694556">
      <w:trPr>
        <w:trHeight w:val="337"/>
        <w:jc w:val="center"/>
      </w:trPr>
      <w:tc>
        <w:tcPr>
          <w:tcW w:w="5047" w:type="dxa"/>
        </w:tcPr>
        <w:p w:rsidR="00694556" w:rsidRDefault="00694556">
          <w:pPr>
            <w:rPr>
              <w:b/>
              <w:bCs/>
              <w:noProof w:val="0"/>
              <w:sz w:val="26"/>
              <w:szCs w:val="26"/>
              <w:rtl/>
            </w:rPr>
          </w:pPr>
        </w:p>
      </w:tc>
      <w:sdt>
        <w:sdtPr>
          <w:rPr>
            <w:rtl/>
          </w:rPr>
          <w:alias w:val="1456"/>
          <w:tag w:val="1456"/>
          <w:id w:val="1499689212"/>
          <w:text/>
        </w:sdtPr>
        <w:sdtEndPr/>
        <w:sdtContent>
          <w:tc>
            <w:tcPr>
              <w:tcW w:w="3674" w:type="dxa"/>
            </w:tcPr>
            <w:p w:rsidR="00694556" w:rsidRDefault="00005C8B">
              <w:pPr>
                <w:pStyle w:val="a3"/>
                <w:jc w:val="right"/>
                <w:rPr>
                  <w:b/>
                  <w:bCs/>
                  <w:noProof w:val="0"/>
                  <w:sz w:val="26"/>
                  <w:szCs w:val="26"/>
                  <w:rtl/>
                </w:rPr>
              </w:pPr>
              <w:r>
                <w:rPr>
                  <w:b/>
                  <w:bCs/>
                  <w:noProof w:val="0"/>
                  <w:sz w:val="26"/>
                  <w:szCs w:val="26"/>
                  <w:rtl/>
                </w:rPr>
                <w:t>12 אפריל 2018</w:t>
              </w:r>
            </w:p>
          </w:tc>
        </w:sdtContent>
      </w:sdt>
    </w:tr>
    <w:tr w:rsidR="00694556">
      <w:trPr>
        <w:trHeight w:val="337"/>
        <w:jc w:val="center"/>
      </w:trPr>
      <w:tc>
        <w:tcPr>
          <w:tcW w:w="8721" w:type="dxa"/>
          <w:gridSpan w:val="2"/>
        </w:tcPr>
        <w:p w:rsidR="00694556" w:rsidRDefault="00CC5F52">
          <w:pPr>
            <w:rPr>
              <w:b/>
              <w:bCs/>
              <w:noProof w:val="0"/>
              <w:sz w:val="26"/>
              <w:szCs w:val="26"/>
              <w:rtl/>
            </w:rPr>
          </w:pPr>
          <w:sdt>
            <w:sdtPr>
              <w:rPr>
                <w:rtl/>
              </w:rPr>
              <w:alias w:val="1170"/>
              <w:tag w:val="1170"/>
              <w:id w:val="-838620253"/>
              <w:text w:multiLine="1"/>
            </w:sdtPr>
            <w:sdtEndPr/>
            <w:sdtContent>
              <w:r w:rsidR="00BE5BCE">
                <w:rPr>
                  <w:b/>
                  <w:bCs/>
                  <w:noProof w:val="0"/>
                  <w:sz w:val="26"/>
                  <w:szCs w:val="26"/>
                  <w:rtl/>
                </w:rPr>
                <w:t>ת"א</w:t>
              </w:r>
            </w:sdtContent>
          </w:sdt>
          <w:r w:rsidR="00005C8B">
            <w:rPr>
              <w:b/>
              <w:bCs/>
              <w:noProof w:val="0"/>
              <w:sz w:val="26"/>
              <w:szCs w:val="26"/>
              <w:rtl/>
            </w:rPr>
            <w:t xml:space="preserve"> </w:t>
          </w:r>
          <w:sdt>
            <w:sdtPr>
              <w:rPr>
                <w:rtl/>
              </w:rPr>
              <w:alias w:val="1171"/>
              <w:tag w:val="1171"/>
              <w:id w:val="-271866137"/>
              <w:text w:multiLine="1"/>
            </w:sdtPr>
            <w:sdtEndPr/>
            <w:sdtContent>
              <w:r w:rsidR="00BE5BCE">
                <w:rPr>
                  <w:b/>
                  <w:bCs/>
                  <w:noProof w:val="0"/>
                  <w:sz w:val="26"/>
                  <w:szCs w:val="26"/>
                  <w:rtl/>
                </w:rPr>
                <w:t>13274-01-18</w:t>
              </w:r>
            </w:sdtContent>
          </w:sdt>
          <w:r w:rsidR="00005C8B">
            <w:rPr>
              <w:b/>
              <w:bCs/>
              <w:noProof w:val="0"/>
              <w:sz w:val="26"/>
              <w:szCs w:val="26"/>
              <w:rtl/>
            </w:rPr>
            <w:t xml:space="preserve"> </w:t>
          </w:r>
          <w:sdt>
            <w:sdtPr>
              <w:rPr>
                <w:rtl/>
              </w:rPr>
              <w:alias w:val="1172"/>
              <w:tag w:val="1172"/>
              <w:id w:val="1012348765"/>
              <w:text w:multiLine="1"/>
            </w:sdtPr>
            <w:sdtEndPr/>
            <w:sdtContent>
              <w:r w:rsidR="00BE5BCE">
                <w:rPr>
                  <w:b/>
                  <w:bCs/>
                  <w:noProof w:val="0"/>
                  <w:sz w:val="26"/>
                  <w:szCs w:val="26"/>
                  <w:rtl/>
                </w:rPr>
                <w:t>אל בת אחזקות יישום פתרונות ניהול בע"מ נ' ביתרם אחזקות בע"מ ואח'</w:t>
              </w:r>
            </w:sdtContent>
          </w:sdt>
        </w:p>
        <w:p w:rsidR="00694556" w:rsidRDefault="00694556">
          <w:pPr>
            <w:rPr>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E92A56"/>
    <w:multiLevelType w:val="hybridMultilevel"/>
    <w:tmpl w:val="D8F23BE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5474"/>
    <o:shapelayout v:ext="edit">
      <o:idmap v:ext="edit" data="10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564AB"/>
    <w:rsid w:val="00064FBD"/>
    <w:rsid w:val="00074A57"/>
    <w:rsid w:val="00096AF7"/>
    <w:rsid w:val="000C3B0F"/>
    <w:rsid w:val="000F0BC8"/>
    <w:rsid w:val="00100744"/>
    <w:rsid w:val="00107E6D"/>
    <w:rsid w:val="00143A8A"/>
    <w:rsid w:val="00144D2A"/>
    <w:rsid w:val="00180519"/>
    <w:rsid w:val="001C4003"/>
    <w:rsid w:val="001D4430"/>
    <w:rsid w:val="001D7846"/>
    <w:rsid w:val="00207F7D"/>
    <w:rsid w:val="002265FF"/>
    <w:rsid w:val="00243A4E"/>
    <w:rsid w:val="00270892"/>
    <w:rsid w:val="002B1CCE"/>
    <w:rsid w:val="00307A6A"/>
    <w:rsid w:val="00307C40"/>
    <w:rsid w:val="00320433"/>
    <w:rsid w:val="0036743F"/>
    <w:rsid w:val="0043125D"/>
    <w:rsid w:val="0043502B"/>
    <w:rsid w:val="0048689D"/>
    <w:rsid w:val="004A271D"/>
    <w:rsid w:val="004C4BDF"/>
    <w:rsid w:val="004D1187"/>
    <w:rsid w:val="004D158E"/>
    <w:rsid w:val="004E6E3C"/>
    <w:rsid w:val="005268F6"/>
    <w:rsid w:val="00547DB7"/>
    <w:rsid w:val="005A162C"/>
    <w:rsid w:val="00622BAA"/>
    <w:rsid w:val="00671BD5"/>
    <w:rsid w:val="006805C1"/>
    <w:rsid w:val="00694556"/>
    <w:rsid w:val="006E1A53"/>
    <w:rsid w:val="006E4FB7"/>
    <w:rsid w:val="007462AC"/>
    <w:rsid w:val="007E6115"/>
    <w:rsid w:val="008051D0"/>
    <w:rsid w:val="00820005"/>
    <w:rsid w:val="00861C20"/>
    <w:rsid w:val="00896889"/>
    <w:rsid w:val="008C5714"/>
    <w:rsid w:val="008D1FCB"/>
    <w:rsid w:val="00903896"/>
    <w:rsid w:val="00906F3D"/>
    <w:rsid w:val="0091275E"/>
    <w:rsid w:val="009C7B46"/>
    <w:rsid w:val="00A94B64"/>
    <w:rsid w:val="00AA3A2B"/>
    <w:rsid w:val="00AC28AD"/>
    <w:rsid w:val="00AC5209"/>
    <w:rsid w:val="00B5375A"/>
    <w:rsid w:val="00B75018"/>
    <w:rsid w:val="00B80CBD"/>
    <w:rsid w:val="00B86096"/>
    <w:rsid w:val="00BD04F1"/>
    <w:rsid w:val="00BE5BCE"/>
    <w:rsid w:val="00BF1908"/>
    <w:rsid w:val="00C22D93"/>
    <w:rsid w:val="00C34482"/>
    <w:rsid w:val="00CC5F52"/>
    <w:rsid w:val="00CD1337"/>
    <w:rsid w:val="00D33B86"/>
    <w:rsid w:val="00D53924"/>
    <w:rsid w:val="00D96D8C"/>
    <w:rsid w:val="00DA6649"/>
    <w:rsid w:val="00E54642"/>
    <w:rsid w:val="00EC37E9"/>
    <w:rsid w:val="00EE262F"/>
    <w:rsid w:val="00F84B6D"/>
    <w:rsid w:val="00FA2C2C"/>
    <w:rsid w:val="00FD79E4"/>
    <w:rsid w:val="00FE2117"/>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5474"/>
    <o:shapelayout v:ext="edit">
      <o:idmap v:ext="edit" data="1"/>
    </o:shapelayout>
  </w:shapeDefaults>
  <w:decimalSymbol w:val="."/>
  <w:listSeparator w:val=","/>
  <w14:docId w14:val="15AFB12C"/>
  <w15:docId w15:val="{D2FA1D53-CD1A-42EE-98A1-D5AAEFF7F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link w:val="a5"/>
    <w:uiPriority w:val="99"/>
    <w:rsid w:val="00C64423"/>
    <w:pPr>
      <w:tabs>
        <w:tab w:val="center" w:pos="4153"/>
        <w:tab w:val="right" w:pos="8306"/>
      </w:tabs>
    </w:pPr>
  </w:style>
  <w:style w:type="paragraph" w:customStyle="1" w:styleId="a6">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semiHidden/>
    <w:rsid w:val="00C64423"/>
    <w:rPr>
      <w:rFonts w:cs="Times New Roman"/>
      <w:noProof w:val="0"/>
    </w:rPr>
  </w:style>
  <w:style w:type="character" w:styleId="a8">
    <w:name w:val="annotation reference"/>
    <w:basedOn w:val="a0"/>
    <w:semiHidden/>
    <w:rsid w:val="00C64423"/>
    <w:rPr>
      <w:sz w:val="16"/>
      <w:szCs w:val="16"/>
    </w:rPr>
  </w:style>
  <w:style w:type="paragraph" w:styleId="a9">
    <w:name w:val="Balloon Text"/>
    <w:basedOn w:val="a"/>
    <w:semiHidden/>
    <w:rsid w:val="00C64423"/>
    <w:rPr>
      <w:rFonts w:ascii="Tahoma" w:hAnsi="Tahoma" w:cs="Tahoma"/>
      <w:sz w:val="16"/>
      <w:szCs w:val="16"/>
    </w:rPr>
  </w:style>
  <w:style w:type="table" w:styleId="aa">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basedOn w:val="a0"/>
    <w:rsid w:val="00C64423"/>
  </w:style>
  <w:style w:type="character" w:styleId="ac">
    <w:name w:val="page number"/>
    <w:basedOn w:val="a0"/>
    <w:rsid w:val="00C64423"/>
  </w:style>
  <w:style w:type="table" w:customStyle="1" w:styleId="1">
    <w:name w:val="טבלת רשת1"/>
    <w:basedOn w:val="a1"/>
    <w:next w:val="aa"/>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4A271D"/>
    <w:pPr>
      <w:spacing w:after="160" w:line="256" w:lineRule="auto"/>
      <w:ind w:left="720"/>
      <w:contextualSpacing/>
    </w:pPr>
    <w:rPr>
      <w:rFonts w:asciiTheme="minorHAnsi" w:hAnsiTheme="minorHAnsi" w:cs="Arial"/>
      <w:noProof w:val="0"/>
      <w:sz w:val="22"/>
      <w:szCs w:val="22"/>
    </w:rPr>
  </w:style>
  <w:style w:type="character" w:customStyle="1" w:styleId="a5">
    <w:name w:val="כותרת תחתונה תו"/>
    <w:basedOn w:val="a0"/>
    <w:link w:val="a4"/>
    <w:uiPriority w:val="99"/>
    <w:locked/>
    <w:rsid w:val="004A271D"/>
    <w:rPr>
      <w:rFonts w:cs="David"/>
      <w:noProof/>
      <w:sz w:val="24"/>
      <w:szCs w:val="24"/>
    </w:rPr>
  </w:style>
  <w:style w:type="character" w:styleId="Hyperlink">
    <w:name w:val="Hyperlink"/>
    <w:basedOn w:val="a0"/>
    <w:uiPriority w:val="99"/>
    <w:semiHidden/>
    <w:unhideWhenUsed/>
    <w:rsid w:val="001007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0823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eader" Target="header1.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yperlink" Target="http://www.nevo.co.il/case/18654219" TargetMode="External"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hyperlink" Target="http://www.nevo.co.il/case/6139558" TargetMode="External" Id="rId10" /><Relationship Type="http://schemas.openxmlformats.org/officeDocument/2006/relationships/styles" Target="styles.xml" Id="rId4" /><Relationship Type="http://schemas.openxmlformats.org/officeDocument/2006/relationships/hyperlink" Target="http://www.nevo.co.il/case/6082858" TargetMode="External" Id="rId9" /><Relationship Type="http://schemas.openxmlformats.org/officeDocument/2006/relationships/fontTable" Target="fontTable.xml" Id="rId14" /><Relationship Type="http://schemas.openxmlformats.org/officeDocument/2006/relationships/image" Target="/media/image2.jpg" Id="Ra0d9a0c3102e42f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462</Words>
  <Characters>2312</Characters>
  <Application>Microsoft Office Word</Application>
  <DocSecurity>0</DocSecurity>
  <Lines>19</Lines>
  <Paragraphs>5</Paragraphs>
  <ScaleCrop>false</ScaleCrop>
  <Company>Microsoft Corporation</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נועם רף</cp:lastModifiedBy>
  <cp:revision>21</cp:revision>
  <dcterms:created xsi:type="dcterms:W3CDTF">2012-08-06T00:53:00Z</dcterms:created>
  <dcterms:modified xsi:type="dcterms:W3CDTF">2018-04-12T11:02:00Z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