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6A23D8" w:rsidR="0019070D" w:rsidTr="004A2EC4">
        <w:tc>
          <w:tcPr>
            <w:tcW w:w="8505" w:type="dxa"/>
            <w:gridSpan w:val="2"/>
          </w:tcPr>
          <w:p w:rsidRPr="006A23D8" w:rsidR="00D1084D" w:rsidP="0019070D" w:rsidRDefault="0019070D">
            <w:pPr>
              <w:jc w:val="both"/>
              <w:rPr>
                <w:b/>
                <w:bCs/>
                <w:sz w:val="28"/>
                <w:szCs w:val="28"/>
                <w:rtl/>
              </w:rPr>
            </w:pPr>
            <w:r w:rsidRPr="006A23D8">
              <w:rPr>
                <w:rFonts w:hint="cs"/>
                <w:b/>
                <w:bCs/>
                <w:sz w:val="28"/>
                <w:szCs w:val="28"/>
                <w:rtl/>
              </w:rPr>
              <w:t>לפני כבוד ה</w:t>
            </w:r>
            <w:sdt>
              <w:sdtPr>
                <w:rPr>
                  <w:b/>
                  <w:bCs/>
                  <w:sz w:val="28"/>
                  <w:szCs w:val="28"/>
                  <w:rtl/>
                </w:rPr>
                <w:alias w:val="1574"/>
                <w:tag w:val="1574"/>
                <w:id w:val="-809160815"/>
                <w:placeholder>
                  <w:docPart w:val="7F0E6F69D01E490897A2554B4DA008CD"/>
                </w:placeholder>
                <w:text w:multiLine="1"/>
              </w:sdtPr>
              <w:sdtEndPr/>
              <w:sdtContent>
                <w:r w:rsidRPr="006A23D8">
                  <w:rPr>
                    <w:b/>
                    <w:bCs/>
                    <w:sz w:val="28"/>
                    <w:szCs w:val="28"/>
                    <w:rtl/>
                  </w:rPr>
                  <w:t>שופט בכיר</w:t>
                </w:r>
              </w:sdtContent>
            </w:sdt>
            <w:r w:rsidRPr="006A23D8">
              <w:rPr>
                <w:rFonts w:hint="cs"/>
                <w:b/>
                <w:bCs/>
                <w:sz w:val="28"/>
                <w:szCs w:val="28"/>
                <w:rtl/>
              </w:rPr>
              <w:t xml:space="preserve"> </w:t>
            </w:r>
            <w:sdt>
              <w:sdtPr>
                <w:rPr>
                  <w:rFonts w:hint="cs"/>
                  <w:b/>
                  <w:bCs/>
                  <w:sz w:val="28"/>
                  <w:szCs w:val="28"/>
                  <w:rtl/>
                </w:rPr>
                <w:alias w:val="1573"/>
                <w:tag w:val="1573"/>
                <w:id w:val="1110703911"/>
                <w:placeholder>
                  <w:docPart w:val="76C81DBB999547F5BDE11B5E4ED738DC"/>
                </w:placeholder>
                <w:text w:multiLine="1"/>
              </w:sdtPr>
              <w:sdtEndPr/>
              <w:sdtContent>
                <w:r w:rsidRPr="006A23D8">
                  <w:rPr>
                    <w:rFonts w:hint="eastAsia"/>
                    <w:b/>
                    <w:bCs/>
                    <w:sz w:val="28"/>
                    <w:szCs w:val="28"/>
                    <w:rtl/>
                  </w:rPr>
                  <w:t>יחזקאל הראל</w:t>
                </w:r>
              </w:sdtContent>
            </w:sdt>
            <w:r w:rsidRPr="006A23D8">
              <w:rPr>
                <w:rFonts w:hint="cs"/>
                <w:b/>
                <w:bCs/>
                <w:sz w:val="28"/>
                <w:szCs w:val="28"/>
                <w:rtl/>
              </w:rPr>
              <w:t xml:space="preserve"> </w:t>
            </w:r>
          </w:p>
          <w:p w:rsidRPr="006A23D8" w:rsidR="0019070D" w:rsidP="0019070D" w:rsidRDefault="0019070D">
            <w:pPr>
              <w:jc w:val="both"/>
              <w:rPr>
                <w:b/>
                <w:bCs/>
                <w:sz w:val="28"/>
                <w:szCs w:val="28"/>
              </w:rPr>
            </w:pPr>
            <w:r w:rsidRPr="006A23D8">
              <w:rPr>
                <w:b/>
                <w:bCs/>
                <w:sz w:val="28"/>
                <w:szCs w:val="28"/>
                <w:rtl/>
              </w:rPr>
              <w:t xml:space="preserve">   </w:t>
            </w:r>
            <w:r w:rsidRPr="006A23D8">
              <w:rPr>
                <w:rFonts w:hint="cs"/>
                <w:b/>
                <w:bCs/>
                <w:sz w:val="28"/>
                <w:szCs w:val="28"/>
                <w:rtl/>
              </w:rPr>
              <w:t xml:space="preserve">                        </w:t>
            </w:r>
          </w:p>
        </w:tc>
      </w:tr>
      <w:tr w:rsidRPr="006A23D8" w:rsidR="0019070D" w:rsidTr="00563222">
        <w:tc>
          <w:tcPr>
            <w:tcW w:w="3685" w:type="dxa"/>
          </w:tcPr>
          <w:p w:rsidRPr="006A23D8" w:rsidR="0019070D" w:rsidP="0019070D" w:rsidRDefault="0019070D">
            <w:pPr>
              <w:rPr>
                <w:rFonts w:ascii="Arial" w:hAnsi="Arial"/>
                <w:b/>
                <w:bCs/>
                <w:caps/>
                <w:noProof w:val="0"/>
                <w:sz w:val="28"/>
                <w:szCs w:val="28"/>
                <w:rtl/>
              </w:rPr>
            </w:pPr>
            <w:r w:rsidRPr="006A23D8">
              <w:rPr>
                <w:rFonts w:hint="cs"/>
                <w:b/>
                <w:bCs/>
                <w:sz w:val="28"/>
                <w:szCs w:val="28"/>
                <w:rtl/>
              </w:rPr>
              <w:t>ה</w:t>
            </w:r>
            <w:sdt>
              <w:sdtPr>
                <w:rPr>
                  <w:sz w:val="28"/>
                  <w:szCs w:val="28"/>
                  <w:rtl/>
                </w:rPr>
                <w:alias w:val="1180"/>
                <w:tag w:val="1180"/>
                <w:id w:val="637458750"/>
                <w:text w:multiLine="1"/>
              </w:sdtPr>
              <w:sdtEndPr/>
              <w:sdtContent>
                <w:r w:rsidRPr="006A23D8">
                  <w:rPr>
                    <w:rFonts w:ascii="Arial" w:hAnsi="Arial"/>
                    <w:b/>
                    <w:bCs/>
                    <w:noProof w:val="0"/>
                    <w:sz w:val="28"/>
                    <w:szCs w:val="28"/>
                    <w:rtl/>
                  </w:rPr>
                  <w:t>תובעים</w:t>
                </w:r>
              </w:sdtContent>
            </w:sdt>
            <w:r w:rsidRPr="006A23D8">
              <w:rPr>
                <w:rFonts w:hint="cs" w:ascii="Arial" w:hAnsi="Arial"/>
                <w:b/>
                <w:bCs/>
                <w:noProof w:val="0"/>
                <w:sz w:val="28"/>
                <w:szCs w:val="28"/>
                <w:rtl/>
              </w:rPr>
              <w:t>:</w:t>
            </w:r>
          </w:p>
        </w:tc>
        <w:tc>
          <w:tcPr>
            <w:tcW w:w="4820" w:type="dxa"/>
          </w:tcPr>
          <w:p w:rsidRPr="006A23D8" w:rsidR="0019070D" w:rsidP="00563222" w:rsidRDefault="0019070D">
            <w:pPr>
              <w:rPr>
                <w:b/>
                <w:bCs/>
                <w:noProof w:val="0"/>
                <w:sz w:val="28"/>
                <w:szCs w:val="28"/>
              </w:rPr>
            </w:pPr>
            <w:r w:rsidRPr="006A23D8">
              <w:rPr>
                <w:rFonts w:hint="cs" w:ascii="Arial" w:hAnsi="Arial"/>
                <w:b/>
                <w:bCs/>
                <w:noProof w:val="0"/>
                <w:sz w:val="28"/>
                <w:szCs w:val="28"/>
                <w:rtl/>
              </w:rPr>
              <w:t>פלוני</w:t>
            </w:r>
          </w:p>
        </w:tc>
      </w:tr>
      <w:tr w:rsidRPr="006A23D8" w:rsidR="0019070D" w:rsidTr="004A2EC4">
        <w:tc>
          <w:tcPr>
            <w:tcW w:w="8505" w:type="dxa"/>
            <w:gridSpan w:val="2"/>
          </w:tcPr>
          <w:p w:rsidRPr="006A23D8" w:rsidR="0019070D" w:rsidP="0019070D" w:rsidRDefault="0019070D">
            <w:pPr>
              <w:jc w:val="center"/>
              <w:rPr>
                <w:rFonts w:ascii="Arial" w:hAnsi="Arial"/>
                <w:b/>
                <w:bCs/>
                <w:noProof w:val="0"/>
                <w:sz w:val="26"/>
                <w:szCs w:val="26"/>
                <w:rtl/>
              </w:rPr>
            </w:pPr>
          </w:p>
          <w:p w:rsidRPr="006A23D8" w:rsidR="0019070D" w:rsidP="0019070D" w:rsidRDefault="0019070D">
            <w:pPr>
              <w:jc w:val="center"/>
              <w:rPr>
                <w:rFonts w:ascii="Arial" w:hAnsi="Arial"/>
                <w:b/>
                <w:bCs/>
                <w:noProof w:val="0"/>
                <w:sz w:val="28"/>
                <w:szCs w:val="28"/>
                <w:rtl/>
              </w:rPr>
            </w:pPr>
            <w:r w:rsidRPr="006A23D8">
              <w:rPr>
                <w:rFonts w:ascii="Arial" w:hAnsi="Arial"/>
                <w:b/>
                <w:bCs/>
                <w:noProof w:val="0"/>
                <w:sz w:val="28"/>
                <w:szCs w:val="28"/>
                <w:rtl/>
              </w:rPr>
              <w:t>נגד</w:t>
            </w:r>
          </w:p>
          <w:p w:rsidRPr="006A23D8" w:rsidR="0019070D" w:rsidP="0019070D" w:rsidRDefault="0019070D">
            <w:pPr>
              <w:rPr>
                <w:rFonts w:ascii="Arial" w:hAnsi="Arial"/>
                <w:b/>
                <w:bCs/>
                <w:noProof w:val="0"/>
                <w:sz w:val="18"/>
                <w:szCs w:val="18"/>
              </w:rPr>
            </w:pPr>
          </w:p>
        </w:tc>
      </w:tr>
      <w:tr w:rsidRPr="006A23D8" w:rsidR="0019070D" w:rsidTr="00563222">
        <w:tc>
          <w:tcPr>
            <w:tcW w:w="3685" w:type="dxa"/>
          </w:tcPr>
          <w:p w:rsidRPr="006A23D8" w:rsidR="0019070D" w:rsidP="0019070D" w:rsidRDefault="0019070D">
            <w:pPr>
              <w:rPr>
                <w:rFonts w:ascii="Arial" w:hAnsi="Arial"/>
                <w:b/>
                <w:bCs/>
                <w:noProof w:val="0"/>
                <w:sz w:val="28"/>
                <w:szCs w:val="28"/>
              </w:rPr>
            </w:pPr>
            <w:r w:rsidRPr="006A23D8">
              <w:rPr>
                <w:rFonts w:hint="cs"/>
                <w:b/>
                <w:bCs/>
                <w:sz w:val="28"/>
                <w:szCs w:val="28"/>
                <w:rtl/>
              </w:rPr>
              <w:t>ה</w:t>
            </w:r>
            <w:sdt>
              <w:sdtPr>
                <w:rPr>
                  <w:sz w:val="28"/>
                  <w:szCs w:val="28"/>
                  <w:rtl/>
                </w:rPr>
                <w:alias w:val="1184"/>
                <w:tag w:val="1184"/>
                <w:id w:val="-340621022"/>
                <w:text w:multiLine="1"/>
              </w:sdtPr>
              <w:sdtEndPr/>
              <w:sdtContent>
                <w:r w:rsidRPr="006A23D8">
                  <w:rPr>
                    <w:rFonts w:ascii="Arial" w:hAnsi="Arial"/>
                    <w:b/>
                    <w:bCs/>
                    <w:noProof w:val="0"/>
                    <w:sz w:val="28"/>
                    <w:szCs w:val="28"/>
                    <w:rtl/>
                  </w:rPr>
                  <w:t>נתבעים</w:t>
                </w:r>
              </w:sdtContent>
            </w:sdt>
            <w:r w:rsidRPr="006A23D8">
              <w:rPr>
                <w:rFonts w:hint="cs"/>
                <w:b/>
                <w:bCs/>
                <w:sz w:val="28"/>
                <w:szCs w:val="28"/>
                <w:rtl/>
              </w:rPr>
              <w:t>:</w:t>
            </w:r>
          </w:p>
        </w:tc>
        <w:tc>
          <w:tcPr>
            <w:tcW w:w="4820" w:type="dxa"/>
          </w:tcPr>
          <w:p w:rsidRPr="006A23D8" w:rsidR="0019070D" w:rsidP="0019070D" w:rsidRDefault="00A73B81">
            <w:pPr>
              <w:rPr>
                <w:sz w:val="28"/>
                <w:szCs w:val="28"/>
                <w:rtl/>
              </w:rPr>
            </w:pPr>
            <w:sdt>
              <w:sdtPr>
                <w:rPr>
                  <w:rFonts w:hint="cs"/>
                  <w:sz w:val="28"/>
                  <w:szCs w:val="28"/>
                  <w:rtl/>
                </w:rPr>
                <w:alias w:val="1486"/>
                <w:tag w:val="1486"/>
                <w:id w:val="-309872140"/>
                <w:text w:multiLine="1"/>
              </w:sdtPr>
              <w:sdtEndPr/>
              <w:sdtContent>
                <w:r w:rsidRPr="006A23D8" w:rsidR="00563222">
                  <w:rPr>
                    <w:rFonts w:hint="cs" w:ascii="Arial" w:hAnsi="Arial"/>
                    <w:b/>
                    <w:bCs/>
                    <w:noProof w:val="0"/>
                    <w:sz w:val="28"/>
                    <w:szCs w:val="28"/>
                    <w:rtl/>
                  </w:rPr>
                  <w:t>הכשרה היישוב חברה לביטוח</w:t>
                </w:r>
              </w:sdtContent>
            </w:sdt>
          </w:p>
        </w:tc>
      </w:tr>
    </w:tbl>
    <w:p w:rsidRPr="006A23D8" w:rsidR="0094424E" w:rsidP="0094424E" w:rsidRDefault="0094424E">
      <w:pPr>
        <w:rPr>
          <w:sz w:val="26"/>
          <w:szCs w:val="26"/>
          <w:rtl/>
        </w:rPr>
      </w:pPr>
    </w:p>
    <w:p w:rsidRPr="006A23D8" w:rsidR="005D400C" w:rsidP="001D66EC" w:rsidRDefault="005D400C">
      <w:pPr>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6A23D8" w:rsidR="00694556">
        <w:trPr>
          <w:jc w:val="center"/>
        </w:trPr>
        <w:tc>
          <w:tcPr>
            <w:tcW w:w="8820" w:type="dxa"/>
          </w:tcPr>
          <w:p w:rsidRPr="006A23D8" w:rsidR="00694556" w:rsidRDefault="00180519">
            <w:pPr>
              <w:bidi w:val="0"/>
              <w:jc w:val="center"/>
              <w:rPr>
                <w:rFonts w:ascii="Arial" w:hAnsi="Arial"/>
                <w:b/>
                <w:bCs/>
                <w:noProof w:val="0"/>
                <w:sz w:val="30"/>
                <w:szCs w:val="30"/>
                <w:u w:val="single"/>
              </w:rPr>
            </w:pPr>
            <w:r w:rsidRPr="006A23D8">
              <w:rPr>
                <w:rFonts w:hint="cs" w:ascii="Arial" w:hAnsi="Arial"/>
                <w:b/>
                <w:bCs/>
                <w:noProof w:val="0"/>
                <w:sz w:val="30"/>
                <w:szCs w:val="30"/>
                <w:u w:val="single"/>
                <w:rtl/>
              </w:rPr>
              <w:t>החלטה</w:t>
            </w:r>
          </w:p>
        </w:tc>
      </w:tr>
    </w:tbl>
    <w:p w:rsidR="006A23D8" w:rsidP="005D400C" w:rsidRDefault="006A23D8">
      <w:pPr>
        <w:spacing w:line="360" w:lineRule="auto"/>
        <w:jc w:val="both"/>
        <w:rPr>
          <w:rFonts w:ascii="Arial" w:hAnsi="Arial"/>
          <w:b/>
          <w:bCs/>
          <w:noProof w:val="0"/>
          <w:sz w:val="26"/>
          <w:szCs w:val="26"/>
          <w:rtl/>
        </w:rPr>
      </w:pPr>
    </w:p>
    <w:p w:rsidR="00694556" w:rsidP="006A23D8" w:rsidRDefault="006A23D8">
      <w:pPr>
        <w:spacing w:line="360" w:lineRule="auto"/>
        <w:jc w:val="both"/>
        <w:rPr>
          <w:rFonts w:ascii="Arial" w:hAnsi="Arial"/>
          <w:b/>
          <w:bCs/>
          <w:noProof w:val="0"/>
          <w:sz w:val="26"/>
          <w:szCs w:val="26"/>
          <w:rtl/>
        </w:rPr>
      </w:pPr>
      <w:r>
        <w:rPr>
          <w:rFonts w:hint="cs" w:ascii="Arial" w:hAnsi="Arial"/>
          <w:b/>
          <w:bCs/>
          <w:noProof w:val="0"/>
          <w:sz w:val="26"/>
          <w:szCs w:val="26"/>
          <w:rtl/>
        </w:rPr>
        <w:t>הניסיון מלמד כי אין מקום לעכב ההליכים בתיק זה ומשכך יפעלו הצדדים כמפורט להלן:</w:t>
      </w:r>
    </w:p>
    <w:p w:rsidRPr="00D102E3" w:rsidR="006A23D8" w:rsidP="006A23D8" w:rsidRDefault="006A23D8">
      <w:pPr>
        <w:pStyle w:val="NormalWeb"/>
        <w:bidi/>
        <w:spacing w:line="360" w:lineRule="auto"/>
        <w:jc w:val="both"/>
        <w:rPr>
          <w:rFonts w:ascii="Arial" w:hAnsi="Arial" w:cs="David"/>
          <w:sz w:val="26"/>
          <w:szCs w:val="26"/>
          <w:rtl/>
        </w:rPr>
      </w:pPr>
      <w:r w:rsidRPr="00D102E3">
        <w:rPr>
          <w:rFonts w:ascii="Arial" w:hAnsi="Arial" w:cs="David"/>
          <w:sz w:val="26"/>
          <w:szCs w:val="26"/>
          <w:rtl/>
        </w:rPr>
        <w:t xml:space="preserve">התובע/ת (להלן: </w:t>
      </w:r>
      <w:r w:rsidRPr="00D102E3">
        <w:rPr>
          <w:rStyle w:val="ad"/>
          <w:rFonts w:ascii="Arial" w:hAnsi="Arial" w:cs="David"/>
          <w:sz w:val="26"/>
          <w:szCs w:val="26"/>
          <w:rtl/>
        </w:rPr>
        <w:t>"התובע</w:t>
      </w:r>
      <w:r w:rsidRPr="00D102E3">
        <w:rPr>
          <w:rFonts w:ascii="Arial" w:hAnsi="Arial" w:cs="David"/>
          <w:sz w:val="26"/>
          <w:szCs w:val="26"/>
          <w:rtl/>
        </w:rPr>
        <w:t>") יגיש תצהירי עדויות ראשית בצירוף תיק מוצגים בתוך</w:t>
      </w:r>
      <w:r>
        <w:rPr>
          <w:rFonts w:ascii="Arial" w:hAnsi="Arial" w:cs="David"/>
          <w:sz w:val="26"/>
          <w:szCs w:val="26"/>
          <w:rtl/>
        </w:rPr>
        <w:t xml:space="preserve"> </w:t>
      </w:r>
      <w:r>
        <w:rPr>
          <w:rFonts w:hint="cs" w:ascii="Arial" w:hAnsi="Arial" w:cs="David"/>
          <w:sz w:val="26"/>
          <w:szCs w:val="26"/>
          <w:rtl/>
        </w:rPr>
        <w:t>40</w:t>
      </w:r>
      <w:r w:rsidRPr="00D102E3">
        <w:rPr>
          <w:rFonts w:ascii="Arial" w:hAnsi="Arial" w:cs="David"/>
          <w:sz w:val="26"/>
          <w:szCs w:val="26"/>
          <w:rtl/>
        </w:rPr>
        <w:t xml:space="preserve"> יום מהיום.</w:t>
      </w:r>
    </w:p>
    <w:p w:rsidRPr="00D102E3" w:rsidR="006A23D8" w:rsidP="002B7423" w:rsidRDefault="006A23D8">
      <w:pPr>
        <w:pStyle w:val="NormalWeb"/>
        <w:bidi/>
        <w:spacing w:line="360" w:lineRule="auto"/>
        <w:jc w:val="both"/>
        <w:rPr>
          <w:rFonts w:ascii="Arial" w:hAnsi="Arial" w:cs="David"/>
          <w:sz w:val="26"/>
          <w:szCs w:val="26"/>
          <w:rtl/>
        </w:rPr>
      </w:pPr>
    </w:p>
    <w:p w:rsidRPr="00D102E3" w:rsidR="006A23D8" w:rsidP="002B7423" w:rsidRDefault="006A23D8">
      <w:pPr>
        <w:pStyle w:val="NormalWeb"/>
        <w:bidi/>
        <w:spacing w:line="360" w:lineRule="auto"/>
        <w:jc w:val="both"/>
        <w:rPr>
          <w:rFonts w:ascii="Arial" w:hAnsi="Arial" w:cs="David"/>
          <w:sz w:val="26"/>
          <w:szCs w:val="26"/>
          <w:rtl/>
        </w:rPr>
      </w:pPr>
      <w:r w:rsidRPr="00D102E3">
        <w:rPr>
          <w:rFonts w:ascii="Arial" w:hAnsi="Arial" w:cs="David"/>
          <w:sz w:val="26"/>
          <w:szCs w:val="26"/>
          <w:rtl/>
        </w:rPr>
        <w:t xml:space="preserve">הנתבע/ים/ות (להלן </w:t>
      </w:r>
      <w:r w:rsidRPr="00D102E3">
        <w:rPr>
          <w:rStyle w:val="ad"/>
          <w:rFonts w:ascii="Arial" w:hAnsi="Arial" w:cs="David"/>
          <w:sz w:val="26"/>
          <w:szCs w:val="26"/>
          <w:rtl/>
        </w:rPr>
        <w:t>"הנתבעות</w:t>
      </w:r>
      <w:r w:rsidRPr="00D102E3">
        <w:rPr>
          <w:rFonts w:ascii="Arial" w:hAnsi="Arial" w:cs="David"/>
          <w:sz w:val="26"/>
          <w:szCs w:val="26"/>
          <w:rtl/>
        </w:rPr>
        <w:t xml:space="preserve">") תגשנה תצהירי עדויות ראשיות מטעמם בצירוף תיק מוצגים בתוך </w:t>
      </w:r>
      <w:r>
        <w:rPr>
          <w:rFonts w:ascii="Arial" w:hAnsi="Arial" w:cs="David"/>
          <w:sz w:val="26"/>
          <w:szCs w:val="26"/>
          <w:rtl/>
        </w:rPr>
        <w:t xml:space="preserve">40 </w:t>
      </w:r>
      <w:r w:rsidRPr="00D102E3">
        <w:rPr>
          <w:rFonts w:ascii="Arial" w:hAnsi="Arial" w:cs="David"/>
          <w:sz w:val="26"/>
          <w:szCs w:val="26"/>
          <w:rtl/>
        </w:rPr>
        <w:t>יום ממועד קבלת ראיות התובע.</w:t>
      </w:r>
    </w:p>
    <w:p w:rsidRPr="00D102E3" w:rsidR="006A23D8" w:rsidP="002B7423" w:rsidRDefault="006A23D8">
      <w:pPr>
        <w:pStyle w:val="NormalWeb"/>
        <w:bidi/>
        <w:spacing w:line="360" w:lineRule="auto"/>
        <w:jc w:val="both"/>
        <w:rPr>
          <w:rFonts w:ascii="Arial" w:hAnsi="Arial" w:cs="David"/>
          <w:sz w:val="26"/>
          <w:szCs w:val="26"/>
          <w:rtl/>
        </w:rPr>
      </w:pPr>
    </w:p>
    <w:p w:rsidR="006A23D8" w:rsidP="00581D3D" w:rsidRDefault="006A23D8">
      <w:pPr>
        <w:spacing w:before="15" w:after="15" w:line="360" w:lineRule="auto"/>
        <w:ind w:right="15"/>
        <w:jc w:val="both"/>
        <w:rPr>
          <w:rFonts w:ascii="Arial" w:hAnsi="Arial"/>
          <w:sz w:val="26"/>
          <w:szCs w:val="26"/>
        </w:rPr>
      </w:pPr>
      <w:bookmarkStart w:name="_GoBack" w:id="0"/>
      <w:bookmarkEnd w:id="0"/>
      <w:r>
        <w:rPr>
          <w:rFonts w:hint="cs" w:ascii="Arial" w:hAnsi="Arial"/>
          <w:b/>
          <w:bCs/>
          <w:sz w:val="26"/>
          <w:szCs w:val="26"/>
          <w:rtl/>
        </w:rPr>
        <w:t>כפוף להוראות הדין</w:t>
      </w:r>
      <w:r>
        <w:rPr>
          <w:rFonts w:hint="cs" w:ascii="Arial" w:hAnsi="Arial"/>
          <w:sz w:val="26"/>
          <w:szCs w:val="26"/>
          <w:rtl/>
        </w:rPr>
        <w:t xml:space="preserve">, תצהירי חוקרים יוגשו </w:t>
      </w:r>
      <w:r>
        <w:rPr>
          <w:rFonts w:hint="cs" w:ascii="Arial" w:hAnsi="Arial"/>
          <w:b/>
          <w:bCs/>
          <w:sz w:val="26"/>
          <w:szCs w:val="26"/>
          <w:u w:val="single"/>
          <w:rtl/>
        </w:rPr>
        <w:t>במעטפה סגורה</w:t>
      </w:r>
      <w:r>
        <w:rPr>
          <w:rFonts w:hint="cs" w:ascii="Arial" w:hAnsi="Arial"/>
          <w:sz w:val="26"/>
          <w:szCs w:val="26"/>
          <w:rtl/>
        </w:rPr>
        <w:t xml:space="preserve"> ישירות ללשכתי בתוך המועד הנ"ל שאם לא כן לא תותר הגשתם, זאת גם באם הנתבעות תודענה "כמקובל" כי בכוונתן להגיש תצהירי חוקרים מבלי שהגישום במועד. </w:t>
      </w:r>
    </w:p>
    <w:p w:rsidRPr="00D102E3" w:rsidR="006A23D8" w:rsidP="00581D3D" w:rsidRDefault="006A23D8">
      <w:pPr>
        <w:pStyle w:val="NormalWeb"/>
        <w:bidi/>
        <w:spacing w:line="360" w:lineRule="auto"/>
        <w:jc w:val="both"/>
        <w:rPr>
          <w:rFonts w:ascii="Arial" w:hAnsi="Arial" w:cs="David"/>
          <w:sz w:val="26"/>
          <w:szCs w:val="26"/>
          <w:rtl/>
        </w:rPr>
      </w:pPr>
    </w:p>
    <w:p w:rsidRPr="00D102E3" w:rsidR="006A23D8" w:rsidP="002B7423" w:rsidRDefault="006A23D8">
      <w:pPr>
        <w:pStyle w:val="NormalWeb"/>
        <w:bidi/>
        <w:spacing w:line="360" w:lineRule="auto"/>
        <w:jc w:val="both"/>
        <w:rPr>
          <w:rFonts w:ascii="Arial" w:hAnsi="Arial" w:cs="David"/>
          <w:sz w:val="26"/>
          <w:szCs w:val="26"/>
          <w:rtl/>
        </w:rPr>
      </w:pPr>
      <w:r w:rsidRPr="00D102E3">
        <w:rPr>
          <w:rFonts w:ascii="Arial" w:hAnsi="Arial" w:cs="David"/>
          <w:sz w:val="26"/>
          <w:szCs w:val="26"/>
          <w:rtl/>
        </w:rPr>
        <w:t xml:space="preserve">צד המתנגד להגשת מסמך </w:t>
      </w:r>
      <w:r w:rsidRPr="00D102E3">
        <w:rPr>
          <w:rFonts w:ascii="Arial" w:hAnsi="Arial" w:cs="David"/>
          <w:sz w:val="26"/>
          <w:szCs w:val="26"/>
          <w:u w:val="single"/>
          <w:rtl/>
        </w:rPr>
        <w:t>מכל סיבה</w:t>
      </w:r>
      <w:r w:rsidRPr="00662C08">
        <w:rPr>
          <w:rFonts w:ascii="Arial" w:hAnsi="Arial" w:cs="David"/>
          <w:sz w:val="26"/>
          <w:szCs w:val="26"/>
          <w:u w:val="single"/>
          <w:rtl/>
        </w:rPr>
        <w:t xml:space="preserve"> שהיא</w:t>
      </w:r>
      <w:r w:rsidRPr="00662C08">
        <w:rPr>
          <w:rFonts w:ascii="Arial" w:hAnsi="Arial" w:cs="David"/>
          <w:sz w:val="26"/>
          <w:szCs w:val="26"/>
          <w:rtl/>
        </w:rPr>
        <w:t xml:space="preserve"> לרבות הגשתו </w:t>
      </w:r>
      <w:r w:rsidRPr="00D102E3">
        <w:rPr>
          <w:rFonts w:ascii="Arial" w:hAnsi="Arial" w:cs="David"/>
          <w:sz w:val="26"/>
          <w:szCs w:val="26"/>
          <w:rtl/>
        </w:rPr>
        <w:t>ללא חקירת עורכו יודיע על כך לצד שכנגד בתוך 10 ימים ממועד קבלת מסמכי הצד שכנגד שאם לא כן יראוהו כמסכים להגשת המסמך גם אם אינו מסכים לתוכנו.</w:t>
      </w:r>
    </w:p>
    <w:p w:rsidRPr="00D102E3" w:rsidR="006A23D8" w:rsidP="002B7423" w:rsidRDefault="006A23D8">
      <w:pPr>
        <w:pStyle w:val="NormalWeb"/>
        <w:bidi/>
        <w:spacing w:line="360" w:lineRule="auto"/>
        <w:jc w:val="both"/>
        <w:rPr>
          <w:rFonts w:ascii="Arial" w:hAnsi="Arial" w:cs="David"/>
          <w:sz w:val="26"/>
          <w:szCs w:val="26"/>
          <w:rtl/>
        </w:rPr>
      </w:pPr>
      <w:r w:rsidRPr="00D102E3">
        <w:rPr>
          <w:rFonts w:ascii="Arial" w:hAnsi="Arial" w:cs="David"/>
          <w:sz w:val="26"/>
          <w:szCs w:val="26"/>
          <w:rtl/>
        </w:rPr>
        <w:t>הכוונה הינה הן למסמכים שצורפו לתצהירים והן למסמכים שצורפו לתיקי המוצגים.</w:t>
      </w:r>
    </w:p>
    <w:p w:rsidRPr="00D102E3" w:rsidR="006A23D8" w:rsidP="002B7423" w:rsidRDefault="006A23D8">
      <w:pPr>
        <w:pStyle w:val="NormalWeb"/>
        <w:bidi/>
        <w:spacing w:line="360" w:lineRule="auto"/>
        <w:jc w:val="both"/>
        <w:rPr>
          <w:rFonts w:ascii="Arial" w:hAnsi="Arial" w:cs="David"/>
          <w:sz w:val="26"/>
          <w:szCs w:val="26"/>
          <w:rtl/>
        </w:rPr>
      </w:pPr>
      <w:r w:rsidRPr="00D102E3">
        <w:rPr>
          <w:rFonts w:ascii="Arial" w:hAnsi="Arial" w:cs="David"/>
          <w:sz w:val="26"/>
          <w:szCs w:val="26"/>
          <w:rtl/>
        </w:rPr>
        <w:t>היה והצדדים לא יגיעו להסכמה ביניהם באשר להתנגדויות יגיש הצד המתנגד בתוך 7 ימים נוספים את התנגדותו והעתקה יועבר ישירות ובמקביל באמצעות הפקסימיליה לצד שכנגד אשר יהא רשאי להשיב בתוך 7 ימים ממועד קבלת ההתנגדות.</w:t>
      </w:r>
    </w:p>
    <w:p w:rsidRPr="00D102E3" w:rsidR="006A23D8" w:rsidP="002B7423" w:rsidRDefault="006A23D8">
      <w:pPr>
        <w:pStyle w:val="NormalWeb"/>
        <w:bidi/>
        <w:spacing w:line="360" w:lineRule="auto"/>
        <w:jc w:val="both"/>
        <w:rPr>
          <w:rFonts w:ascii="Arial" w:hAnsi="Arial" w:cs="David"/>
          <w:sz w:val="26"/>
          <w:szCs w:val="26"/>
          <w:rtl/>
        </w:rPr>
      </w:pPr>
    </w:p>
    <w:p w:rsidR="006A23D8" w:rsidP="002B7423" w:rsidRDefault="006A23D8">
      <w:pPr>
        <w:pStyle w:val="NormalWeb"/>
        <w:bidi/>
        <w:spacing w:line="360" w:lineRule="auto"/>
        <w:jc w:val="both"/>
        <w:rPr>
          <w:rFonts w:ascii="Arial" w:hAnsi="Arial" w:cs="David"/>
          <w:sz w:val="26"/>
          <w:szCs w:val="26"/>
          <w:rtl/>
        </w:rPr>
      </w:pPr>
      <w:r w:rsidRPr="00D102E3">
        <w:rPr>
          <w:rFonts w:ascii="Arial" w:hAnsi="Arial" w:cs="David"/>
          <w:sz w:val="26"/>
          <w:szCs w:val="26"/>
          <w:rtl/>
        </w:rPr>
        <w:t>לא תותר הגשת מסמכים שלא צורפו לתיק בית המשפט.</w:t>
      </w:r>
    </w:p>
    <w:p w:rsidR="006A23D8" w:rsidP="002B7423" w:rsidRDefault="006A23D8">
      <w:pPr>
        <w:pStyle w:val="NormalWeb"/>
        <w:bidi/>
        <w:spacing w:line="360" w:lineRule="auto"/>
        <w:jc w:val="both"/>
        <w:rPr>
          <w:rFonts w:ascii="Arial" w:hAnsi="Arial" w:cs="David"/>
          <w:sz w:val="26"/>
          <w:szCs w:val="26"/>
          <w:rtl/>
        </w:rPr>
      </w:pPr>
    </w:p>
    <w:p w:rsidRPr="003E4088" w:rsidR="006A23D8" w:rsidP="002B7423" w:rsidRDefault="006A23D8">
      <w:pPr>
        <w:pStyle w:val="NormalWeb"/>
        <w:bidi/>
        <w:spacing w:line="360" w:lineRule="auto"/>
        <w:jc w:val="both"/>
        <w:rPr>
          <w:rFonts w:ascii="Arial" w:hAnsi="Arial" w:cs="David"/>
          <w:b/>
          <w:bCs/>
          <w:sz w:val="26"/>
          <w:szCs w:val="26"/>
          <w:u w:val="single"/>
          <w:rtl/>
        </w:rPr>
      </w:pPr>
      <w:r w:rsidRPr="003E4088">
        <w:rPr>
          <w:rFonts w:ascii="Arial" w:hAnsi="Arial" w:cs="David"/>
          <w:b/>
          <w:bCs/>
          <w:sz w:val="26"/>
          <w:szCs w:val="26"/>
          <w:u w:val="single"/>
          <w:rtl/>
        </w:rPr>
        <w:lastRenderedPageBreak/>
        <w:t>ככל שאין בכוונת הנתבעות להגיש ראיות, לרבות תיק מוצגים – הן מתבקשות להודיע על כך בתוך המועד שנקבע להגשת ראיותיהן על מנת שאוכל לבחון מבעוד מועד את הראיות שהוגשו מבלי להמתין לראיות הנתבעת שלא תוגשנה.</w:t>
      </w:r>
    </w:p>
    <w:p w:rsidR="006A23D8" w:rsidP="002B7423" w:rsidRDefault="006A23D8">
      <w:pPr>
        <w:pStyle w:val="NormalWeb"/>
        <w:bidi/>
        <w:spacing w:line="360" w:lineRule="auto"/>
        <w:jc w:val="both"/>
        <w:rPr>
          <w:rFonts w:ascii="Arial" w:hAnsi="Arial" w:cs="David"/>
          <w:sz w:val="26"/>
          <w:szCs w:val="26"/>
          <w:rtl/>
        </w:rPr>
      </w:pPr>
    </w:p>
    <w:p w:rsidRPr="0099156F" w:rsidR="006A23D8" w:rsidP="002B7423" w:rsidRDefault="006A23D8">
      <w:pPr>
        <w:pStyle w:val="NormalWeb"/>
        <w:bidi/>
        <w:spacing w:line="360" w:lineRule="auto"/>
        <w:jc w:val="both"/>
        <w:rPr>
          <w:rFonts w:cs="David"/>
          <w:b/>
          <w:bCs/>
          <w:sz w:val="26"/>
          <w:szCs w:val="26"/>
        </w:rPr>
      </w:pPr>
      <w:r w:rsidRPr="0099156F">
        <w:rPr>
          <w:rFonts w:cs="David"/>
          <w:b/>
          <w:bCs/>
          <w:sz w:val="26"/>
          <w:szCs w:val="26"/>
          <w:rtl/>
        </w:rPr>
        <w:t xml:space="preserve">תיקי המוצגים והנספחים מטעם הצדדים יוגשו כשהם ממוספרים לפי סדר עולה על מנת להקל על מהלך שמיעת הראיות, הסיכומים ופסק הדין. ככל שכמות המסמכים שתוגש ע"י מי מהצדדים במסגרת הראיות ותיקי המוצגים גם יחד תעלה על 50 עמ'- יש להגיש בנוסף עותק כרוך ומדוגלן ע"מ שלא יסרק, אלא יתויק בתיק הנייר. </w:t>
      </w:r>
    </w:p>
    <w:p w:rsidRPr="0099156F" w:rsidR="006A23D8" w:rsidP="002B7423" w:rsidRDefault="006A23D8">
      <w:pPr>
        <w:pStyle w:val="NormalWeb"/>
        <w:bidi/>
        <w:spacing w:line="360" w:lineRule="auto"/>
        <w:jc w:val="both"/>
        <w:rPr>
          <w:rFonts w:ascii="Arial" w:hAnsi="Arial" w:cs="David"/>
          <w:sz w:val="26"/>
          <w:szCs w:val="26"/>
          <w:rtl/>
        </w:rPr>
      </w:pPr>
    </w:p>
    <w:p w:rsidRPr="00D102E3" w:rsidR="006A23D8" w:rsidP="002B7423" w:rsidRDefault="006A23D8">
      <w:pPr>
        <w:pStyle w:val="NormalWeb"/>
        <w:bidi/>
        <w:spacing w:line="360" w:lineRule="auto"/>
        <w:jc w:val="both"/>
        <w:rPr>
          <w:rFonts w:ascii="Arial" w:hAnsi="Arial" w:cs="David"/>
          <w:sz w:val="26"/>
          <w:szCs w:val="26"/>
          <w:rtl/>
        </w:rPr>
      </w:pPr>
      <w:r w:rsidRPr="00D102E3">
        <w:rPr>
          <w:rStyle w:val="ad"/>
          <w:rFonts w:ascii="Arial" w:hAnsi="Arial" w:cs="David"/>
          <w:sz w:val="26"/>
          <w:szCs w:val="26"/>
          <w:u w:val="single"/>
          <w:rtl/>
        </w:rPr>
        <w:t>הפגרה תבוא במניין הימים.</w:t>
      </w:r>
    </w:p>
    <w:p w:rsidRPr="00D102E3" w:rsidR="006A23D8" w:rsidP="002B7423" w:rsidRDefault="006A23D8">
      <w:pPr>
        <w:pStyle w:val="NormalWeb"/>
        <w:bidi/>
        <w:spacing w:line="360" w:lineRule="auto"/>
        <w:jc w:val="both"/>
        <w:rPr>
          <w:rFonts w:ascii="Arial" w:hAnsi="Arial" w:cs="David"/>
          <w:sz w:val="26"/>
          <w:szCs w:val="26"/>
          <w:rtl/>
        </w:rPr>
      </w:pPr>
    </w:p>
    <w:p w:rsidRPr="006A23D8" w:rsidR="00694556" w:rsidRDefault="00694556">
      <w:pPr>
        <w:spacing w:line="360" w:lineRule="auto"/>
        <w:jc w:val="both"/>
        <w:rPr>
          <w:rFonts w:ascii="Arial" w:hAnsi="Arial"/>
          <w:noProof w:val="0"/>
          <w:sz w:val="26"/>
          <w:szCs w:val="26"/>
          <w:rtl/>
        </w:rPr>
      </w:pPr>
      <w:bookmarkStart w:name="NGCSBookmark" w:id="1"/>
      <w:bookmarkEnd w:id="1"/>
    </w:p>
    <w:p w:rsidRPr="006A23D8" w:rsidR="00694556" w:rsidRDefault="0043502B">
      <w:pPr>
        <w:spacing w:line="360" w:lineRule="auto"/>
        <w:jc w:val="both"/>
        <w:rPr>
          <w:rFonts w:ascii="Arial" w:hAnsi="Arial"/>
          <w:noProof w:val="0"/>
          <w:sz w:val="26"/>
          <w:szCs w:val="26"/>
          <w:rtl/>
        </w:rPr>
      </w:pPr>
      <w:r w:rsidRPr="006A23D8">
        <w:rPr>
          <w:rFonts w:ascii="Arial" w:hAnsi="Arial"/>
          <w:noProof w:val="0"/>
          <w:sz w:val="26"/>
          <w:szCs w:val="26"/>
          <w:rtl/>
        </w:rPr>
        <w:t>נית</w:t>
      </w:r>
      <w:r w:rsidRPr="006A23D8">
        <w:rPr>
          <w:rFonts w:hint="cs" w:ascii="Arial" w:hAnsi="Arial"/>
          <w:noProof w:val="0"/>
          <w:sz w:val="26"/>
          <w:szCs w:val="26"/>
          <w:rtl/>
        </w:rPr>
        <w:t>נה</w:t>
      </w:r>
      <w:r w:rsidRPr="006A23D8" w:rsidR="00005C8B">
        <w:rPr>
          <w:rFonts w:ascii="Arial" w:hAnsi="Arial"/>
          <w:noProof w:val="0"/>
          <w:sz w:val="26"/>
          <w:szCs w:val="26"/>
          <w:rtl/>
        </w:rPr>
        <w:t xml:space="preserve"> היום, </w:t>
      </w:r>
      <w:sdt>
        <w:sdtPr>
          <w:rPr>
            <w:sz w:val="26"/>
            <w:szCs w:val="26"/>
            <w:rtl/>
          </w:rPr>
          <w:alias w:val="1455"/>
          <w:tag w:val="1455"/>
          <w:id w:val="1666048407"/>
          <w:text w:multiLine="1"/>
        </w:sdtPr>
        <w:sdtEndPr/>
        <w:sdtContent>
          <w:r>
            <w:rPr>
              <w:rFonts w:ascii="Arial" w:hAnsi="Arial"/>
              <w:noProof w:val="0"/>
              <w:sz w:val="26"/>
              <w:szCs w:val="26"/>
              <w:rtl/>
            </w:rPr>
            <w:t>כ"ז ניסן תשע"ח</w:t>
          </w:r>
        </w:sdtContent>
      </w:sdt>
      <w:r w:rsidRPr="006A23D8" w:rsidR="00005C8B">
        <w:rPr>
          <w:rFonts w:ascii="Arial" w:hAnsi="Arial"/>
          <w:noProof w:val="0"/>
          <w:sz w:val="26"/>
          <w:szCs w:val="26"/>
          <w:rtl/>
        </w:rPr>
        <w:t xml:space="preserve">, </w:t>
      </w:r>
      <w:sdt>
        <w:sdtPr>
          <w:rPr>
            <w:sz w:val="26"/>
            <w:szCs w:val="26"/>
            <w:rtl/>
          </w:rPr>
          <w:alias w:val="1456"/>
          <w:tag w:val="1456"/>
          <w:id w:val="-1186288958"/>
          <w:text w:multiLine="1"/>
        </w:sdtPr>
        <w:sdtEndPr/>
        <w:sdtContent>
          <w:r>
            <w:rPr>
              <w:rFonts w:ascii="Arial" w:hAnsi="Arial"/>
              <w:noProof w:val="0"/>
              <w:sz w:val="26"/>
              <w:szCs w:val="26"/>
              <w:rtl/>
            </w:rPr>
            <w:t>12 אפריל 2018</w:t>
          </w:r>
        </w:sdtContent>
      </w:sdt>
      <w:r w:rsidRPr="006A23D8" w:rsidR="00005C8B">
        <w:rPr>
          <w:rFonts w:ascii="Arial" w:hAnsi="Arial"/>
          <w:noProof w:val="0"/>
          <w:sz w:val="26"/>
          <w:szCs w:val="26"/>
          <w:rtl/>
        </w:rPr>
        <w:t>, בהעדר הצדדים.</w:t>
      </w:r>
    </w:p>
    <w:p w:rsidRPr="006A23D8" w:rsidR="00C43648" w:rsidP="00BD6531" w:rsidRDefault="00A73B81">
      <w:pPr>
        <w:tabs>
          <w:tab w:val="left" w:pos="2553"/>
        </w:tabs>
        <w:ind w:left="5040"/>
        <w:rPr>
          <w:sz w:val="26"/>
          <w:szCs w:val="26"/>
          <w:rtl/>
        </w:rPr>
      </w:pPr>
      <w:sdt>
        <w:sdtPr>
          <w:rPr>
            <w:rFonts w:hint="cs"/>
            <w:sz w:val="26"/>
            <w:szCs w:val="26"/>
            <w:rtl/>
          </w:rPr>
          <w:alias w:val="2045"/>
          <w:tag w:val="2045"/>
          <w:id w:val="740689340"/>
          <w:placeholder>
            <w:docPart w:val="E460D38E05664FF79D4EFF282EF8EC99"/>
          </w:placeholder>
          <w:showingPlcHdr/>
          <w:text w:multiLine="1"/>
        </w:sdtPr>
        <w:sdtEndPr/>
        <w:sdtContent>
          <w:r w:rsidRPr="006A23D8" w:rsidR="00C43648">
            <w:rPr>
              <w:rFonts w:hint="cs"/>
              <w:sz w:val="26"/>
              <w:szCs w:val="26"/>
              <w:rtl/>
            </w:rPr>
            <w:t xml:space="preserve">     </w:t>
          </w:r>
        </w:sdtContent>
      </w:sdt>
    </w:p>
    <w:p w:rsidRPr="006A23D8" w:rsidR="00694556" w:rsidP="00BD6531" w:rsidRDefault="00BD6531">
      <w:pPr>
        <w:tabs>
          <w:tab w:val="left" w:pos="2553"/>
        </w:tabs>
        <w:rPr>
          <w:rFonts w:ascii="Arial" w:hAnsi="Arial"/>
          <w:noProof w:val="0"/>
          <w:sz w:val="26"/>
          <w:szCs w:val="26"/>
          <w:rtl/>
        </w:rPr>
      </w:pPr>
      <w:r w:rsidRPr="006A23D8">
        <w:rPr>
          <w:rFonts w:hint="cs"/>
          <w:sz w:val="26"/>
          <w:szCs w:val="26"/>
          <w:rtl/>
        </w:rPr>
        <w:tab/>
      </w:r>
      <w:r w:rsidRPr="006A23D8">
        <w:rPr>
          <w:rFonts w:hint="cs"/>
          <w:sz w:val="26"/>
          <w:szCs w:val="26"/>
          <w:rtl/>
        </w:rPr>
        <w:tab/>
      </w:r>
      <w:r w:rsidRPr="006A23D8">
        <w:rPr>
          <w:rFonts w:hint="cs"/>
          <w:sz w:val="26"/>
          <w:szCs w:val="26"/>
          <w:rtl/>
        </w:rPr>
        <w:tab/>
      </w:r>
      <w:r w:rsidRPr="006A23D8">
        <w:rPr>
          <w:rFonts w:hint="cs"/>
          <w:sz w:val="26"/>
          <w:szCs w:val="26"/>
          <w:rtl/>
        </w:rPr>
        <w:tab/>
        <w:t xml:space="preserve">        </w:t>
      </w:r>
      <w:sdt>
        <w:sdtPr>
          <w:alias w:val="MergeField"/>
          <w:tag w:val="1237"/>
        </w:sdtPr>
        <w:sdtContent>
          <w:p>
            <w:r>
              <w:drawing>
                <wp:inline distT="0" distB="0" distL="0" distR="0" wp14:editId="50D07946">
                  <wp:extent cx="1531620"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312d1bb15094329" cstate="print">
                            <a:extLst>
                              <a:ext uri="{28A0092B-C50C-407E-A947-70E740481C1C}"/>
                            </a:extLst>
                          </a:blip>
                          <a:stretch>
                            <a:fillRect/>
                          </a:stretch>
                        </pic:blipFill>
                        <pic:spPr>
                          <a:xfrm>
                            <a:off x="0" y="0"/>
                            <a:ext cx="1531620" cy="576072"/>
                          </a:xfrm>
                          <a:prstGeom prst="rect">
                            <a:avLst/>
                          </a:prstGeom>
                        </pic:spPr>
                      </pic:pic>
                    </a:graphicData>
                  </a:graphic>
                </wp:inline>
              </w:drawing>
            </w:r>
          </w:p>
        </w:sdtContent>
      </w:sdt>
    </w:p>
    <w:sectPr w:rsidRPr="006A23D8" w:rsidR="00694556" w:rsidSect="005D400C">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3D8" w:rsidRDefault="006A23D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4"/>
      <w:jc w:val="center"/>
      <w:rPr>
        <w:rStyle w:val="ab"/>
      </w:rPr>
    </w:pPr>
    <w:r w:rsidRPr="005D400C">
      <w:rPr>
        <w:rStyle w:val="ab"/>
      </w:rPr>
      <w:fldChar w:fldCharType="begin"/>
    </w:r>
    <w:r w:rsidRPr="005D400C" w:rsidR="00005C8B">
      <w:rPr>
        <w:rStyle w:val="ab"/>
      </w:rPr>
      <w:instrText xml:space="preserve"> PAGE </w:instrText>
    </w:r>
    <w:r w:rsidRPr="005D400C">
      <w:rPr>
        <w:rStyle w:val="ab"/>
      </w:rPr>
      <w:fldChar w:fldCharType="separate"/>
    </w:r>
    <w:r w:rsidR="00A73B81">
      <w:rPr>
        <w:rStyle w:val="ab"/>
        <w:rtl/>
      </w:rPr>
      <w:t>1</w:t>
    </w:r>
    <w:r w:rsidRPr="005D400C">
      <w:rPr>
        <w:rStyle w:val="ab"/>
      </w:rPr>
      <w:fldChar w:fldCharType="end"/>
    </w:r>
    <w:r w:rsidRPr="005D400C" w:rsidR="00005C8B">
      <w:rPr>
        <w:rStyle w:val="ab"/>
        <w:rFonts w:hint="cs"/>
        <w:rtl/>
      </w:rPr>
      <w:t xml:space="preserve"> מתוך </w:t>
    </w:r>
    <w:r w:rsidRPr="005D400C">
      <w:rPr>
        <w:rStyle w:val="ab"/>
      </w:rPr>
      <w:fldChar w:fldCharType="begin"/>
    </w:r>
    <w:r w:rsidRPr="005D400C" w:rsidR="00005C8B">
      <w:rPr>
        <w:rStyle w:val="ab"/>
      </w:rPr>
      <w:instrText xml:space="preserve"> NUMPAGES </w:instrText>
    </w:r>
    <w:r w:rsidRPr="005D400C">
      <w:rPr>
        <w:rStyle w:val="ab"/>
      </w:rPr>
      <w:fldChar w:fldCharType="separate"/>
    </w:r>
    <w:r w:rsidR="00A73B81">
      <w:rPr>
        <w:rStyle w:val="ab"/>
        <w:rtl/>
      </w:rPr>
      <w:t>2</w:t>
    </w:r>
    <w:r w:rsidRPr="005D400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3D8" w:rsidRDefault="006A23D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3D8" w:rsidRDefault="006A23D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A23D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3"/>
                <w:jc w:val="center"/>
                <w:rPr>
                  <w:rFonts w:ascii="Tahoma" w:hAnsi="Tahoma"/>
                  <w:noProof w:val="0"/>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A73B81">
          <w:pPr>
            <w:rPr>
              <w:b/>
              <w:bCs/>
              <w:noProof w:val="0"/>
              <w:sz w:val="26"/>
              <w:szCs w:val="26"/>
              <w:rtl/>
            </w:rPr>
          </w:pPr>
          <w:sdt>
            <w:sdtPr>
              <w:rPr>
                <w:sz w:val="26"/>
                <w:szCs w:val="26"/>
                <w:rtl/>
              </w:rPr>
              <w:alias w:val="1170"/>
              <w:tag w:val="1170"/>
              <w:id w:val="1066377040"/>
              <w:text w:multiLine="1"/>
            </w:sdtPr>
            <w:sdtEndPr/>
            <w:sdtContent>
              <w:r w:rsidR="00563222">
                <w:rPr>
                  <w:b/>
                  <w:bCs/>
                  <w:noProof w:val="0"/>
                  <w:sz w:val="26"/>
                  <w:szCs w:val="26"/>
                  <w:rtl/>
                </w:rPr>
                <w:t>ת"א</w:t>
              </w:r>
            </w:sdtContent>
          </w:sdt>
          <w:r w:rsidRPr="004F36A3" w:rsidR="004F36A3">
            <w:rPr>
              <w:b/>
              <w:bCs/>
              <w:noProof w:val="0"/>
              <w:sz w:val="26"/>
              <w:szCs w:val="26"/>
              <w:rtl/>
            </w:rPr>
            <w:t xml:space="preserve"> </w:t>
          </w:r>
          <w:sdt>
            <w:sdtPr>
              <w:rPr>
                <w:sz w:val="26"/>
                <w:szCs w:val="26"/>
                <w:rtl/>
              </w:rPr>
              <w:alias w:val="1171"/>
              <w:tag w:val="1171"/>
              <w:id w:val="257034231"/>
              <w:text w:multiLine="1"/>
            </w:sdtPr>
            <w:sdtEndPr/>
            <w:sdtContent>
              <w:r w:rsidR="00563222">
                <w:rPr>
                  <w:b/>
                  <w:bCs/>
                  <w:noProof w:val="0"/>
                  <w:sz w:val="26"/>
                  <w:szCs w:val="26"/>
                  <w:rtl/>
                </w:rPr>
                <w:t>67590-06-17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3D8" w:rsidRDefault="006A23D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A23D8"/>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73B81"/>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70792A4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NormalWeb">
    <w:name w:val="Normal (Web)"/>
    <w:basedOn w:val="a"/>
    <w:uiPriority w:val="99"/>
    <w:rsid w:val="006A23D8"/>
    <w:pPr>
      <w:bidi w:val="0"/>
      <w:spacing w:before="15" w:after="15"/>
      <w:ind w:left="15" w:right="15"/>
    </w:pPr>
    <w:rPr>
      <w:rFonts w:cs="Times New Roman"/>
      <w:noProof w:val="0"/>
    </w:rPr>
  </w:style>
  <w:style w:type="character" w:customStyle="1" w:styleId="clsfield">
    <w:name w:val="clsfield"/>
    <w:basedOn w:val="a0"/>
    <w:rsid w:val="006A23D8"/>
    <w:rPr>
      <w:rFonts w:cs="Times New Roman"/>
    </w:rPr>
  </w:style>
  <w:style w:type="character" w:styleId="ad">
    <w:name w:val="Strong"/>
    <w:basedOn w:val="a0"/>
    <w:uiPriority w:val="22"/>
    <w:qFormat/>
    <w:rsid w:val="006A23D8"/>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312d1bb1509432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288</Words>
  <Characters>1440</Characters>
  <Application>Microsoft Office Word</Application>
  <DocSecurity>0</DocSecurity>
  <Lines>12</Lines>
  <Paragraphs>3</Paragraphs>
  <ScaleCrop>false</ScaleCrop>
  <Company>Microsoft Corporation</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יחזקאל הראל</cp:lastModifiedBy>
  <cp:revision>140</cp:revision>
  <dcterms:created xsi:type="dcterms:W3CDTF">2012-08-06T05:16:00Z</dcterms:created>
  <dcterms:modified xsi:type="dcterms:W3CDTF">2018-04-12T06:56:00Z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