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p>
        </w:tc>
        <w:tc>
          <w:tcPr>
            <w:tcW w:w="8077" w:type="dxa"/>
            <w:gridSpan w:val="2"/>
            <w:hideMark/>
          </w:tcPr>
          <w:p w:rsidRPr="00821D81" w:rsidR="006816EC" w:rsidP="006816EC" w:rsidRDefault="00821D81">
            <w:pPr>
              <w:rPr>
                <w:b/>
                <w:bCs/>
                <w:sz w:val="26"/>
                <w:szCs w:val="26"/>
              </w:rPr>
            </w:pPr>
            <w:r w:rsidRPr="00821D81">
              <w:rPr>
                <w:b/>
                <w:bCs/>
                <w:sz w:val="26"/>
                <w:szCs w:val="26"/>
                <w:rtl/>
              </w:rPr>
              <w:t>בפני כב' השופט יוסף סוהיל – סגן נשיא</w:t>
            </w:r>
          </w:p>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6D1960" w:rsidRDefault="00F767BA">
                <w:pPr>
                  <w:rPr>
                    <w:rFonts w:ascii="Arial (W1)" w:hAnsi="Arial (W1)"/>
                    <w:b/>
                    <w:bCs/>
                    <w:noProof w:val="0"/>
                    <w:sz w:val="28"/>
                    <w:szCs w:val="28"/>
                  </w:rPr>
                </w:pPr>
                <w:r>
                  <w:rPr>
                    <w:rFonts w:hint="cs"/>
                    <w:b/>
                    <w:bCs/>
                    <w:noProof w:val="0"/>
                    <w:sz w:val="28"/>
                    <w:rtl/>
                  </w:rPr>
                  <w:t>מבקש</w:t>
                </w:r>
              </w:p>
            </w:sdtContent>
          </w:sdt>
        </w:tc>
        <w:tc>
          <w:tcPr>
            <w:tcW w:w="5571" w:type="dxa"/>
          </w:tcPr>
          <w:p w:rsidR="006816EC" w:rsidRDefault="006816EC">
            <w:pPr>
              <w:rPr>
                <w:rFonts w:ascii="Arial (W1)" w:hAnsi="Arial (W1)"/>
                <w:b/>
                <w:bCs/>
                <w:noProof w:val="0"/>
                <w:sz w:val="28"/>
                <w:szCs w:val="28"/>
                <w:rtl/>
              </w:rPr>
            </w:pPr>
          </w:p>
          <w:p w:rsidR="006816EC" w:rsidP="00321D95" w:rsidRDefault="004E76E0">
            <w:pPr>
              <w:rPr>
                <w:rFonts w:ascii="Arial (W1)" w:hAnsi="Arial (W1)"/>
                <w:b/>
                <w:bCs/>
                <w:noProof w:val="0"/>
                <w:sz w:val="28"/>
                <w:szCs w:val="28"/>
              </w:rPr>
            </w:pPr>
            <w:sdt>
              <w:sdtPr>
                <w:rPr>
                  <w:rFonts w:hint="cs"/>
                  <w:rtl/>
                </w:rPr>
                <w:alias w:val="1478"/>
                <w:tag w:val="1478"/>
                <w:id w:val="160126198"/>
                <w:text w:multiLine="1"/>
              </w:sdtPr>
              <w:sdtEndPr/>
              <w:sdtContent>
                <w:r w:rsidR="00821D81">
                  <w:rPr>
                    <w:rFonts w:hint="cs"/>
                    <w:b/>
                    <w:bCs/>
                    <w:noProof w:val="0"/>
                    <w:sz w:val="28"/>
                    <w:rtl/>
                  </w:rPr>
                  <w:t>אמיל חורי</w:t>
                </w:r>
                <w:r w:rsidR="00321D95">
                  <w:rPr>
                    <w:b/>
                    <w:bCs/>
                    <w:noProof w:val="0"/>
                    <w:sz w:val="28"/>
                    <w:rtl/>
                  </w:rPr>
                  <w:br/>
                </w:r>
                <w:r w:rsidR="00321D95">
                  <w:rPr>
                    <w:rFonts w:hint="cs"/>
                    <w:rtl/>
                  </w:rPr>
                  <w:t>ע"י עוה"ד עיסא פראג' ואח'</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4E76E0">
            <w:pPr>
              <w:rPr>
                <w:rFonts w:ascii="Arial (W1)" w:hAnsi="Arial (W1)"/>
                <w:b/>
                <w:bCs/>
                <w:noProof w:val="0"/>
                <w:sz w:val="28"/>
                <w:szCs w:val="28"/>
              </w:rPr>
            </w:pPr>
            <w:sdt>
              <w:sdtPr>
                <w:rPr>
                  <w:rFonts w:hint="cs"/>
                  <w:rtl/>
                </w:rPr>
                <w:alias w:val="1184"/>
                <w:tag w:val="1184"/>
                <w:id w:val="-910234160"/>
                <w:text w:multiLine="1"/>
              </w:sdtPr>
              <w:sdtEndPr/>
              <w:sdtContent>
                <w:r w:rsidR="00F767BA">
                  <w:rPr>
                    <w:rFonts w:hint="cs"/>
                    <w:b/>
                    <w:bCs/>
                    <w:noProof w:val="0"/>
                    <w:sz w:val="28"/>
                    <w:rtl/>
                  </w:rPr>
                  <w:t>משיב</w:t>
                </w:r>
              </w:sdtContent>
            </w:sdt>
          </w:p>
        </w:tc>
        <w:tc>
          <w:tcPr>
            <w:tcW w:w="5571" w:type="dxa"/>
          </w:tcPr>
          <w:p w:rsidR="006816EC" w:rsidRDefault="006816EC">
            <w:pPr>
              <w:rPr>
                <w:rFonts w:ascii="Arial (W1)" w:hAnsi="Arial (W1)"/>
                <w:b/>
                <w:bCs/>
                <w:noProof w:val="0"/>
                <w:sz w:val="28"/>
                <w:szCs w:val="28"/>
                <w:rtl/>
              </w:rPr>
            </w:pPr>
          </w:p>
          <w:p w:rsidR="006816EC" w:rsidP="00321D95" w:rsidRDefault="004E76E0">
            <w:pPr>
              <w:rPr>
                <w:rFonts w:ascii="Arial (W1)" w:hAnsi="Arial (W1)"/>
                <w:b/>
                <w:bCs/>
                <w:noProof w:val="0"/>
                <w:sz w:val="28"/>
                <w:szCs w:val="28"/>
              </w:rPr>
            </w:pPr>
            <w:sdt>
              <w:sdtPr>
                <w:rPr>
                  <w:rFonts w:hint="cs"/>
                  <w:rtl/>
                </w:rPr>
                <w:alias w:val="1486"/>
                <w:tag w:val="1486"/>
                <w:id w:val="1487590763"/>
                <w:text w:multiLine="1"/>
              </w:sdtPr>
              <w:sdtEndPr/>
              <w:sdtContent>
                <w:r w:rsidR="00821D81">
                  <w:rPr>
                    <w:rFonts w:hint="cs"/>
                    <w:b/>
                    <w:bCs/>
                    <w:noProof w:val="0"/>
                    <w:sz w:val="28"/>
                    <w:rtl/>
                  </w:rPr>
                  <w:t>מרכנתיל דיסקונט תל אביב סניף אבן גבירול</w:t>
                </w:r>
                <w:r w:rsidR="00321D95">
                  <w:rPr>
                    <w:b/>
                    <w:bCs/>
                    <w:noProof w:val="0"/>
                    <w:sz w:val="28"/>
                    <w:rtl/>
                  </w:rPr>
                  <w:br/>
                </w:r>
                <w:r w:rsidR="00321D95">
                  <w:rPr>
                    <w:rFonts w:hint="cs"/>
                    <w:rtl/>
                  </w:rPr>
                  <w:t>ע"י עוה"ד חאלד זועבי</w:t>
                </w:r>
              </w:sdtContent>
            </w:sdt>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Pr="00F767BA" w:rsidR="00F767BA" w:rsidP="00F767BA" w:rsidRDefault="00F767BA">
      <w:pPr>
        <w:spacing w:line="360" w:lineRule="auto"/>
        <w:rPr>
          <w:rFonts w:ascii="Arial" w:hAnsi="Arial"/>
          <w:b/>
          <w:bCs/>
          <w:noProof w:val="0"/>
          <w:u w:val="single"/>
          <w:rtl/>
        </w:rPr>
      </w:pPr>
    </w:p>
    <w:p w:rsidRPr="00F767BA" w:rsidR="00F767BA" w:rsidP="00814ACA" w:rsidRDefault="00F767BA">
      <w:pPr>
        <w:spacing w:line="360" w:lineRule="auto"/>
        <w:ind w:left="720" w:hanging="720"/>
        <w:jc w:val="both"/>
        <w:rPr>
          <w:rFonts w:ascii="Arial" w:hAnsi="Arial"/>
          <w:noProof w:val="0"/>
          <w:rtl/>
        </w:rPr>
      </w:pPr>
      <w:r w:rsidRPr="00F767BA">
        <w:rPr>
          <w:rFonts w:ascii="Arial" w:hAnsi="Arial"/>
          <w:noProof w:val="0"/>
          <w:rtl/>
        </w:rPr>
        <w:t>1.</w:t>
      </w:r>
      <w:r w:rsidRPr="00F767BA">
        <w:rPr>
          <w:rFonts w:ascii="Arial" w:hAnsi="Arial"/>
          <w:noProof w:val="0"/>
          <w:rtl/>
        </w:rPr>
        <w:tab/>
        <w:t>ענייננו בבקשת רשות ערעור על החלטת כב' רשם ההוצל"פ שאדי שאדי ג'</w:t>
      </w:r>
      <w:r w:rsidR="00814ACA">
        <w:rPr>
          <w:rFonts w:hint="cs" w:ascii="Arial" w:hAnsi="Arial"/>
          <w:noProof w:val="0"/>
          <w:rtl/>
        </w:rPr>
        <w:t>ו</w:t>
      </w:r>
      <w:r w:rsidRPr="00F767BA">
        <w:rPr>
          <w:rFonts w:ascii="Arial" w:hAnsi="Arial"/>
          <w:noProof w:val="0"/>
          <w:rtl/>
        </w:rPr>
        <w:t>בר</w:t>
      </w:r>
      <w:r w:rsidR="00814ACA">
        <w:rPr>
          <w:rFonts w:hint="cs" w:ascii="Arial" w:hAnsi="Arial"/>
          <w:noProof w:val="0"/>
          <w:rtl/>
        </w:rPr>
        <w:t>א</w:t>
      </w:r>
      <w:r w:rsidRPr="00F767BA">
        <w:rPr>
          <w:rFonts w:ascii="Arial" w:hAnsi="Arial"/>
          <w:noProof w:val="0"/>
          <w:rtl/>
        </w:rPr>
        <w:t xml:space="preserve">ן שניתנה ביום </w:t>
      </w:r>
      <w:r w:rsidRPr="00F767BA">
        <w:rPr>
          <w:rFonts w:ascii="Arial" w:hAnsi="Arial"/>
          <w:noProof w:val="0"/>
          <w:u w:val="single"/>
          <w:rtl/>
        </w:rPr>
        <w:t>06/03/2018</w:t>
      </w:r>
      <w:r w:rsidRPr="00F767BA">
        <w:rPr>
          <w:rFonts w:ascii="Arial" w:hAnsi="Arial"/>
          <w:noProof w:val="0"/>
          <w:rtl/>
        </w:rPr>
        <w:t>, במסגרת תיק הוצל"פ 10-05956-05-9.</w:t>
      </w:r>
    </w:p>
    <w:p w:rsidR="00F767BA" w:rsidP="00814ACA" w:rsidRDefault="00F767BA">
      <w:pPr>
        <w:spacing w:line="360" w:lineRule="auto"/>
        <w:ind w:left="720" w:hanging="720"/>
        <w:jc w:val="both"/>
        <w:rPr>
          <w:rFonts w:ascii="Arial" w:hAnsi="Arial"/>
          <w:noProof w:val="0"/>
          <w:rtl/>
        </w:rPr>
      </w:pPr>
      <w:r w:rsidRPr="00F767BA">
        <w:rPr>
          <w:rFonts w:ascii="Arial" w:hAnsi="Arial"/>
          <w:noProof w:val="0"/>
          <w:rtl/>
        </w:rPr>
        <w:tab/>
        <w:t>בהתאם להחלטת כב' הרשם,  הדיון בבקשת המבקש להכריז</w:t>
      </w:r>
      <w:r w:rsidR="007561D9">
        <w:rPr>
          <w:rFonts w:ascii="Arial" w:hAnsi="Arial"/>
          <w:noProof w:val="0"/>
          <w:rtl/>
        </w:rPr>
        <w:t xml:space="preserve"> עליו כחייב מוגבל באמצעים, הותנ</w:t>
      </w:r>
      <w:r w:rsidRPr="00F767BA">
        <w:rPr>
          <w:rFonts w:ascii="Arial" w:hAnsi="Arial"/>
          <w:noProof w:val="0"/>
          <w:rtl/>
        </w:rPr>
        <w:t>ה בהפקד</w:t>
      </w:r>
      <w:r w:rsidR="007561D9">
        <w:rPr>
          <w:rFonts w:ascii="Arial" w:hAnsi="Arial"/>
          <w:noProof w:val="0"/>
          <w:rtl/>
        </w:rPr>
        <w:t>ת ערבון בסך 3,000 ₪ כדמי רצינות</w:t>
      </w:r>
      <w:r w:rsidR="007561D9">
        <w:rPr>
          <w:rFonts w:hint="cs" w:ascii="Arial" w:hAnsi="Arial"/>
          <w:noProof w:val="0"/>
          <w:rtl/>
        </w:rPr>
        <w:t xml:space="preserve"> מצד</w:t>
      </w:r>
      <w:r w:rsidRPr="00F767BA">
        <w:rPr>
          <w:rFonts w:ascii="Arial" w:hAnsi="Arial"/>
          <w:noProof w:val="0"/>
          <w:rtl/>
        </w:rPr>
        <w:t xml:space="preserve"> </w:t>
      </w:r>
      <w:r w:rsidRPr="00F767BA" w:rsidR="007561D9">
        <w:rPr>
          <w:rFonts w:ascii="Arial" w:hAnsi="Arial"/>
          <w:noProof w:val="0"/>
          <w:rtl/>
        </w:rPr>
        <w:t>המבקש לשלם את חובותיו ולעמוד בצו התשלומים</w:t>
      </w:r>
      <w:r w:rsidR="00814ACA">
        <w:rPr>
          <w:rFonts w:hint="cs" w:ascii="Arial" w:hAnsi="Arial"/>
          <w:noProof w:val="0"/>
          <w:rtl/>
        </w:rPr>
        <w:t>,</w:t>
      </w:r>
      <w:bookmarkStart w:name="_GoBack" w:id="0"/>
      <w:bookmarkEnd w:id="0"/>
      <w:r w:rsidR="007561D9">
        <w:rPr>
          <w:rFonts w:hint="cs" w:ascii="Arial" w:hAnsi="Arial"/>
          <w:noProof w:val="0"/>
          <w:rtl/>
        </w:rPr>
        <w:t xml:space="preserve"> זאת </w:t>
      </w:r>
      <w:r w:rsidRPr="00F767BA">
        <w:rPr>
          <w:rFonts w:ascii="Arial" w:hAnsi="Arial"/>
          <w:noProof w:val="0"/>
          <w:rtl/>
        </w:rPr>
        <w:t>לאור הליך הפש"ר ותיק האיחוד הקודמים שבוטלו</w:t>
      </w:r>
      <w:bookmarkStart w:name="ABSTRACT_END" w:id="1"/>
      <w:bookmarkEnd w:id="1"/>
      <w:r w:rsidR="007561D9">
        <w:rPr>
          <w:rFonts w:hint="cs" w:ascii="Arial" w:hAnsi="Arial"/>
          <w:noProof w:val="0"/>
          <w:rtl/>
        </w:rPr>
        <w:t>.</w:t>
      </w:r>
    </w:p>
    <w:p w:rsidRPr="00F767BA" w:rsidR="007561D9" w:rsidP="007561D9" w:rsidRDefault="007561D9">
      <w:pPr>
        <w:spacing w:line="360" w:lineRule="auto"/>
        <w:ind w:left="720" w:hanging="720"/>
        <w:jc w:val="both"/>
        <w:rPr>
          <w:rFonts w:ascii="Arial" w:hAnsi="Arial"/>
          <w:noProof w:val="0"/>
          <w:rtl/>
        </w:rPr>
      </w:pPr>
    </w:p>
    <w:p w:rsidRPr="00F767BA" w:rsidR="00F767BA" w:rsidP="00F767BA" w:rsidRDefault="00F767BA">
      <w:pPr>
        <w:adjustRightInd w:val="0"/>
        <w:spacing w:line="360" w:lineRule="auto"/>
        <w:ind w:left="720" w:hanging="720"/>
        <w:jc w:val="both"/>
        <w:rPr>
          <w:rFonts w:ascii="Arial" w:hAnsi="Arial"/>
          <w:noProof w:val="0"/>
          <w:color w:val="000000"/>
          <w:rtl/>
        </w:rPr>
      </w:pPr>
      <w:r w:rsidRPr="00F767BA">
        <w:rPr>
          <w:rFonts w:ascii="Tahoma" w:hAnsi="Tahoma"/>
          <w:rtl/>
        </w:rPr>
        <w:t>2.</w:t>
      </w:r>
      <w:r w:rsidRPr="00F767BA">
        <w:rPr>
          <w:rFonts w:ascii="Tahoma" w:hAnsi="Tahoma"/>
          <w:rtl/>
        </w:rPr>
        <w:tab/>
        <w:t xml:space="preserve">מכוח סמכותי על-פי </w:t>
      </w:r>
      <w:hyperlink w:history="1" r:id="rId8">
        <w:r w:rsidRPr="00F767BA">
          <w:rPr>
            <w:rFonts w:ascii="Tahoma" w:hAnsi="Tahoma"/>
            <w:rtl/>
          </w:rPr>
          <w:t>תקנה 119(ז)</w:t>
        </w:r>
      </w:hyperlink>
      <w:r w:rsidRPr="00F767BA">
        <w:rPr>
          <w:rFonts w:ascii="Tahoma" w:hAnsi="Tahoma"/>
          <w:rtl/>
        </w:rPr>
        <w:t xml:space="preserve"> ל</w:t>
      </w:r>
      <w:hyperlink w:history="1" r:id="rId9">
        <w:r w:rsidRPr="00F767BA">
          <w:rPr>
            <w:rFonts w:ascii="Tahoma" w:hAnsi="Tahoma"/>
            <w:rtl/>
          </w:rPr>
          <w:t>תקנות ההוצאה לפועל</w:t>
        </w:r>
      </w:hyperlink>
      <w:r w:rsidRPr="00F767BA">
        <w:rPr>
          <w:rFonts w:ascii="Tahoma" w:hAnsi="Tahoma"/>
          <w:rtl/>
        </w:rPr>
        <w:t xml:space="preserve">, תש"ם-1979, ולאחר שעיינתי בבקשה על נימוקיה וצרופיה, ולאחר שעיינתי בהחלטת כב' רשם ההוצאה לפועל, נשוא הבקשה, סבורני כי הבקשה אינה מצריכה תשובה, </w:t>
      </w:r>
      <w:r w:rsidRPr="00F767BA">
        <w:rPr>
          <w:rFonts w:ascii="Tahoma" w:hAnsi="Tahoma"/>
          <w:b/>
          <w:bCs/>
          <w:rtl/>
        </w:rPr>
        <w:t>ודינה דחייה מיד</w:t>
      </w:r>
      <w:r w:rsidRPr="00F767BA">
        <w:rPr>
          <w:rFonts w:ascii="Tahoma" w:hAnsi="Tahoma"/>
          <w:rtl/>
        </w:rPr>
        <w:t>.</w:t>
      </w:r>
    </w:p>
    <w:p w:rsidRPr="00F767BA" w:rsidR="00F767BA" w:rsidP="00F767BA" w:rsidRDefault="00F767BA">
      <w:pPr>
        <w:adjustRightInd w:val="0"/>
        <w:spacing w:line="360" w:lineRule="auto"/>
        <w:ind w:left="720" w:hanging="720"/>
        <w:jc w:val="both"/>
        <w:rPr>
          <w:rFonts w:ascii="Arial" w:hAnsi="Arial"/>
          <w:noProof w:val="0"/>
          <w:rtl/>
        </w:rPr>
      </w:pPr>
    </w:p>
    <w:p w:rsidRPr="00F767BA" w:rsidR="00F767BA" w:rsidP="00F767BA" w:rsidRDefault="00F767BA">
      <w:pPr>
        <w:tabs>
          <w:tab w:val="left" w:pos="26"/>
          <w:tab w:val="left" w:pos="567"/>
        </w:tabs>
        <w:spacing w:after="160" w:line="360" w:lineRule="auto"/>
        <w:ind w:left="567" w:hanging="567"/>
        <w:jc w:val="both"/>
        <w:rPr>
          <w:b/>
          <w:bCs/>
          <w:noProof w:val="0"/>
          <w:rtl/>
        </w:rPr>
      </w:pPr>
      <w:r w:rsidRPr="00F767BA">
        <w:rPr>
          <w:rFonts w:ascii="Arial" w:hAnsi="Arial"/>
          <w:rtl/>
        </w:rPr>
        <w:t>3.</w:t>
      </w:r>
      <w:r w:rsidRPr="00F767BA">
        <w:rPr>
          <w:rFonts w:ascii="Arial" w:hAnsi="Arial"/>
          <w:rtl/>
        </w:rPr>
        <w:tab/>
      </w:r>
      <w:hyperlink w:history="1" r:id="rId10">
        <w:r w:rsidRPr="00F767BA">
          <w:rPr>
            <w:rFonts w:ascii="Arial" w:hAnsi="Arial"/>
            <w:noProof w:val="0"/>
            <w:rtl/>
          </w:rPr>
          <w:t>חוק ההוצאה לפועל</w:t>
        </w:r>
      </w:hyperlink>
      <w:r w:rsidRPr="00F767BA">
        <w:rPr>
          <w:rFonts w:ascii="Arial" w:hAnsi="Arial"/>
          <w:noProof w:val="0"/>
          <w:rtl/>
        </w:rPr>
        <w:t>, התשכ"ז – 1967 (להלן: "</w:t>
      </w:r>
      <w:r w:rsidRPr="00F767BA">
        <w:rPr>
          <w:rFonts w:ascii="Arial" w:hAnsi="Arial"/>
          <w:b/>
          <w:bCs/>
          <w:noProof w:val="0"/>
          <w:rtl/>
        </w:rPr>
        <w:t>חוק ההוצל"פ</w:t>
      </w:r>
      <w:r w:rsidRPr="00F767BA">
        <w:rPr>
          <w:rFonts w:ascii="Arial" w:hAnsi="Arial"/>
          <w:noProof w:val="0"/>
          <w:rtl/>
        </w:rPr>
        <w:t xml:space="preserve">") נועד ליצור מנגנון לגביית חובות באופן יעיל ומהיר, תוך שהוא מספק הגנה לחייבים אשר מצבם הכלכלי אינו מאפשר להם לפרוע את חובותיהם. </w:t>
      </w:r>
    </w:p>
    <w:p w:rsidRPr="00F767BA" w:rsidR="00F767BA" w:rsidP="00F767BA" w:rsidRDefault="00F767BA">
      <w:pPr>
        <w:rPr>
          <w:rFonts w:ascii="Calibri" w:hAnsi="Calibri" w:cs="Arial"/>
          <w:noProof w:val="0"/>
          <w:sz w:val="22"/>
          <w:szCs w:val="22"/>
          <w:rtl/>
        </w:rPr>
      </w:pPr>
    </w:p>
    <w:p w:rsidRPr="00F767BA" w:rsidR="00F767BA" w:rsidP="00F767BA" w:rsidRDefault="00F767BA">
      <w:pPr>
        <w:spacing w:line="360" w:lineRule="auto"/>
        <w:jc w:val="both"/>
        <w:rPr>
          <w:noProof w:val="0"/>
          <w:rtl/>
        </w:rPr>
      </w:pPr>
      <w:r w:rsidRPr="00F767BA">
        <w:rPr>
          <w:noProof w:val="0"/>
          <w:rtl/>
        </w:rPr>
        <w:t>4.</w:t>
      </w:r>
      <w:r w:rsidRPr="00F767BA">
        <w:rPr>
          <w:noProof w:val="0"/>
          <w:rtl/>
        </w:rPr>
        <w:tab/>
      </w:r>
      <w:r w:rsidRPr="00F767BA">
        <w:rPr>
          <w:rFonts w:ascii="Arial" w:hAnsi="Arial"/>
          <w:noProof w:val="0"/>
          <w:rtl/>
        </w:rPr>
        <w:t xml:space="preserve">סמכותו של רשם ההוצל"פ להכריז על חייב כמוגבל באמצעים היא סמכות שבשיקול דעת </w:t>
      </w:r>
      <w:r w:rsidRPr="00F767BA">
        <w:rPr>
          <w:rFonts w:ascii="Arial" w:hAnsi="Arial"/>
          <w:noProof w:val="0"/>
          <w:rtl/>
        </w:rPr>
        <w:tab/>
        <w:t>המאפשרת לו לשקול ולאזן בין כלל השיקולים של כל מקרה על פי נסיבותיו (</w:t>
      </w:r>
      <w:hyperlink w:history="1" r:id="rId11">
        <w:r w:rsidRPr="00F767BA">
          <w:rPr>
            <w:rFonts w:ascii="Arial" w:hAnsi="Arial"/>
            <w:noProof w:val="0"/>
            <w:rtl/>
          </w:rPr>
          <w:t>ע"א 2097/02</w:t>
        </w:r>
      </w:hyperlink>
      <w:r w:rsidRPr="00F767BA">
        <w:rPr>
          <w:rFonts w:ascii="Arial" w:hAnsi="Arial"/>
          <w:noProof w:val="0"/>
          <w:rtl/>
        </w:rPr>
        <w:t xml:space="preserve"> </w:t>
      </w:r>
      <w:r w:rsidRPr="00F767BA">
        <w:rPr>
          <w:rFonts w:ascii="Arial" w:hAnsi="Arial"/>
          <w:noProof w:val="0"/>
          <w:rtl/>
        </w:rPr>
        <w:tab/>
      </w:r>
      <w:r w:rsidRPr="00F767BA">
        <w:rPr>
          <w:rFonts w:ascii="Arial" w:hAnsi="Arial"/>
          <w:b/>
          <w:bCs/>
          <w:noProof w:val="0"/>
          <w:rtl/>
        </w:rPr>
        <w:t>איטונג נ' חדיד</w:t>
      </w:r>
      <w:r w:rsidRPr="00F767BA">
        <w:rPr>
          <w:rFonts w:ascii="Arial" w:hAnsi="Arial"/>
          <w:noProof w:val="0"/>
          <w:rtl/>
        </w:rPr>
        <w:t>, מיום 13.05.03).</w:t>
      </w:r>
    </w:p>
    <w:p w:rsidRPr="00F767BA" w:rsidR="00F767BA" w:rsidP="00F767BA" w:rsidRDefault="00F767BA">
      <w:pPr>
        <w:spacing w:line="360" w:lineRule="auto"/>
        <w:jc w:val="both"/>
        <w:rPr>
          <w:noProof w:val="0"/>
          <w:rtl/>
        </w:rPr>
      </w:pPr>
    </w:p>
    <w:p w:rsidRPr="00F767BA" w:rsidR="00F767BA" w:rsidP="00F767BA" w:rsidRDefault="00F767BA">
      <w:pPr>
        <w:spacing w:line="360" w:lineRule="auto"/>
        <w:jc w:val="both"/>
        <w:rPr>
          <w:noProof w:val="0"/>
          <w:rtl/>
        </w:rPr>
      </w:pPr>
      <w:r w:rsidRPr="00F767BA">
        <w:rPr>
          <w:noProof w:val="0"/>
          <w:rtl/>
        </w:rPr>
        <w:tab/>
      </w:r>
      <w:r w:rsidRPr="00F767BA">
        <w:rPr>
          <w:rFonts w:ascii="Arial" w:hAnsi="Arial"/>
          <w:noProof w:val="0"/>
          <w:rtl/>
        </w:rPr>
        <w:t>לעניין זה קובע סעיף 74יא(א) לחוק ההוצל"פ:</w:t>
      </w:r>
    </w:p>
    <w:p w:rsidRPr="00F767BA" w:rsidR="00F767BA" w:rsidP="00F767BA" w:rsidRDefault="00F767BA">
      <w:pPr>
        <w:ind w:left="1440" w:right="993"/>
        <w:jc w:val="both"/>
        <w:rPr>
          <w:rFonts w:ascii="Arial" w:hAnsi="Arial"/>
        </w:rPr>
      </w:pPr>
      <w:r w:rsidRPr="00F767BA">
        <w:rPr>
          <w:rFonts w:ascii="Arial" w:hAnsi="Arial"/>
          <w:noProof w:val="0"/>
          <w:rtl/>
        </w:rPr>
        <w:t>"</w:t>
      </w:r>
      <w:r w:rsidRPr="00F767BA">
        <w:rPr>
          <w:rFonts w:ascii="Arial" w:hAnsi="Arial"/>
          <w:b/>
          <w:bCs/>
          <w:noProof w:val="0"/>
          <w:rtl/>
        </w:rPr>
        <w:t>נתן רשם ההוצאה לפועל צו איחוד, רשאי הוא להתנותו במתן ערובה להנחת דעתו, ולהורות בו על נקיטה של כל הליך לפי חוק זה, ועל התנאים לפרעון חובות החייב, לרבות סדרי התשלומים, שיעוריהם ומועדיהם...</w:t>
      </w:r>
      <w:r w:rsidRPr="00F767BA">
        <w:rPr>
          <w:rFonts w:ascii="Arial" w:hAnsi="Arial"/>
          <w:noProof w:val="0"/>
          <w:rtl/>
        </w:rPr>
        <w:t>" (ההדגשה שלי – ס"י).</w:t>
      </w:r>
    </w:p>
    <w:p w:rsidRPr="00F767BA" w:rsidR="00F767BA" w:rsidP="00F767BA" w:rsidRDefault="00F767BA">
      <w:pPr>
        <w:tabs>
          <w:tab w:val="left" w:pos="26"/>
          <w:tab w:val="left" w:pos="567"/>
        </w:tabs>
        <w:spacing w:line="360" w:lineRule="auto"/>
        <w:jc w:val="both"/>
        <w:rPr>
          <w:noProof w:val="0"/>
          <w:rtl/>
        </w:rPr>
      </w:pPr>
    </w:p>
    <w:p w:rsidRPr="00F767BA" w:rsidR="00F767BA" w:rsidP="00F767BA" w:rsidRDefault="00F767BA">
      <w:pPr>
        <w:spacing w:line="360" w:lineRule="auto"/>
        <w:jc w:val="both"/>
        <w:rPr>
          <w:noProof w:val="0"/>
          <w:rtl/>
        </w:rPr>
      </w:pPr>
      <w:r w:rsidRPr="00F767BA">
        <w:rPr>
          <w:rFonts w:ascii="Arial" w:hAnsi="Arial"/>
          <w:noProof w:val="0"/>
          <w:rtl/>
        </w:rPr>
        <w:lastRenderedPageBreak/>
        <w:t>5.</w:t>
      </w:r>
      <w:r w:rsidRPr="00F767BA">
        <w:rPr>
          <w:rFonts w:ascii="Arial" w:hAnsi="Arial"/>
          <w:noProof w:val="0"/>
          <w:rtl/>
        </w:rPr>
        <w:tab/>
        <w:t xml:space="preserve">נקבע לא אחת, כי התערבות ערכאת הערעור בקביעת הפקדת הערובה, וצו החיוב </w:t>
      </w:r>
      <w:r w:rsidRPr="00F767BA">
        <w:rPr>
          <w:rFonts w:ascii="Arial" w:hAnsi="Arial"/>
          <w:noProof w:val="0"/>
          <w:rtl/>
        </w:rPr>
        <w:tab/>
        <w:t xml:space="preserve">בתשלומים כתנאי לאיחוד תיקים,  תהא מצומצמת ותעשה במשורה, זאת נוכח העובדה כי </w:t>
      </w:r>
      <w:r w:rsidRPr="00F767BA">
        <w:rPr>
          <w:rFonts w:ascii="Arial" w:hAnsi="Arial"/>
          <w:noProof w:val="0"/>
          <w:rtl/>
        </w:rPr>
        <w:tab/>
        <w:t xml:space="preserve">רשם ההוצאה לפועל הוא האחראי על בחינת יכולת הפירעון של החייב בהתאם לנסיבותיו, </w:t>
      </w:r>
      <w:r w:rsidRPr="00F767BA">
        <w:rPr>
          <w:rFonts w:ascii="Arial" w:hAnsi="Arial"/>
          <w:noProof w:val="0"/>
          <w:rtl/>
        </w:rPr>
        <w:tab/>
        <w:t>והוא המופקד על עריכת חקירת היכולת בעניינו</w:t>
      </w:r>
      <w:r w:rsidRPr="00F767BA">
        <w:rPr>
          <w:rFonts w:ascii="Arial" w:hAnsi="Arial"/>
          <w:noProof w:val="0"/>
        </w:rPr>
        <w:t xml:space="preserve"> </w:t>
      </w:r>
      <w:r w:rsidRPr="00F767BA">
        <w:rPr>
          <w:rFonts w:ascii="Arial" w:hAnsi="Arial"/>
          <w:noProof w:val="0"/>
          <w:rtl/>
        </w:rPr>
        <w:t>ׁ(</w:t>
      </w:r>
      <w:hyperlink w:history="1" r:id="rId12">
        <w:r w:rsidRPr="00F767BA">
          <w:rPr>
            <w:rFonts w:ascii="Arial" w:hAnsi="Arial"/>
            <w:noProof w:val="0"/>
            <w:rtl/>
          </w:rPr>
          <w:t>בר"ע 1071/03</w:t>
        </w:r>
      </w:hyperlink>
      <w:r w:rsidRPr="00F767BA">
        <w:rPr>
          <w:rFonts w:ascii="Arial" w:hAnsi="Arial"/>
          <w:noProof w:val="0"/>
          <w:rtl/>
        </w:rPr>
        <w:t xml:space="preserve"> </w:t>
      </w:r>
      <w:r w:rsidRPr="00F767BA">
        <w:rPr>
          <w:rFonts w:ascii="Arial" w:hAnsi="Arial"/>
          <w:b/>
          <w:bCs/>
          <w:noProof w:val="0"/>
          <w:rtl/>
        </w:rPr>
        <w:t xml:space="preserve">דרור גולן נ' בנק לאומי </w:t>
      </w:r>
      <w:r w:rsidRPr="00F767BA">
        <w:rPr>
          <w:rFonts w:ascii="Arial" w:hAnsi="Arial"/>
          <w:b/>
          <w:bCs/>
          <w:noProof w:val="0"/>
          <w:rtl/>
        </w:rPr>
        <w:tab/>
        <w:t>לישראל בע"מ</w:t>
      </w:r>
      <w:r w:rsidRPr="00F767BA">
        <w:rPr>
          <w:rFonts w:ascii="Arial" w:hAnsi="Arial"/>
          <w:noProof w:val="0"/>
          <w:rtl/>
        </w:rPr>
        <w:t xml:space="preserve"> (2.02.03); </w:t>
      </w:r>
      <w:hyperlink w:history="1" r:id="rId13">
        <w:r w:rsidRPr="00F767BA">
          <w:rPr>
            <w:rFonts w:ascii="Arial" w:hAnsi="Arial"/>
            <w:noProof w:val="0"/>
            <w:rtl/>
          </w:rPr>
          <w:t>רע"א 7195/09</w:t>
        </w:r>
      </w:hyperlink>
      <w:r w:rsidRPr="00F767BA">
        <w:rPr>
          <w:rFonts w:ascii="Arial" w:hAnsi="Arial"/>
          <w:noProof w:val="0"/>
          <w:rtl/>
        </w:rPr>
        <w:t xml:space="preserve"> </w:t>
      </w:r>
      <w:r w:rsidRPr="00F767BA">
        <w:rPr>
          <w:rFonts w:ascii="Arial" w:hAnsi="Arial"/>
          <w:b/>
          <w:bCs/>
          <w:noProof w:val="0"/>
          <w:rtl/>
        </w:rPr>
        <w:t>ציון קרטה נ' פרקליטות מחוז חיפה ואח'</w:t>
      </w:r>
      <w:r w:rsidRPr="00F767BA">
        <w:rPr>
          <w:rFonts w:ascii="Arial" w:hAnsi="Arial"/>
          <w:noProof w:val="0"/>
          <w:rtl/>
        </w:rPr>
        <w:t xml:space="preserve">, דינים </w:t>
      </w:r>
      <w:r w:rsidRPr="00F767BA">
        <w:rPr>
          <w:rFonts w:ascii="Arial" w:hAnsi="Arial"/>
          <w:noProof w:val="0"/>
          <w:rtl/>
        </w:rPr>
        <w:tab/>
        <w:t xml:space="preserve">עליון 2009(118) 1423; </w:t>
      </w:r>
      <w:hyperlink w:history="1" r:id="rId14">
        <w:r w:rsidRPr="00F767BA">
          <w:rPr>
            <w:rFonts w:ascii="Arial" w:hAnsi="Arial"/>
            <w:noProof w:val="0"/>
            <w:rtl/>
          </w:rPr>
          <w:t>רע"צ 35723-04-12</w:t>
        </w:r>
      </w:hyperlink>
      <w:r w:rsidRPr="00F767BA">
        <w:rPr>
          <w:rFonts w:ascii="Arial" w:hAnsi="Arial"/>
          <w:noProof w:val="0"/>
          <w:rtl/>
        </w:rPr>
        <w:t xml:space="preserve"> </w:t>
      </w:r>
      <w:r w:rsidRPr="00F767BA">
        <w:rPr>
          <w:rFonts w:ascii="Arial" w:hAnsi="Arial"/>
          <w:b/>
          <w:bCs/>
          <w:noProof w:val="0"/>
          <w:rtl/>
        </w:rPr>
        <w:t>לוסב נ' שטרוך</w:t>
      </w:r>
      <w:r w:rsidRPr="00F767BA">
        <w:rPr>
          <w:rFonts w:ascii="Arial" w:hAnsi="Arial"/>
          <w:noProof w:val="0"/>
          <w:rtl/>
        </w:rPr>
        <w:t xml:space="preserve"> (30.04.12).</w:t>
      </w:r>
    </w:p>
    <w:p w:rsidRPr="00F767BA" w:rsidR="00F767BA" w:rsidP="00F767BA" w:rsidRDefault="00F767BA">
      <w:pPr>
        <w:spacing w:line="360" w:lineRule="auto"/>
        <w:ind w:left="720" w:hanging="720"/>
        <w:jc w:val="both"/>
        <w:rPr>
          <w:rFonts w:ascii="Arial" w:hAnsi="Arial"/>
          <w:noProof w:val="0"/>
          <w:sz w:val="22"/>
          <w:rtl/>
        </w:rPr>
      </w:pPr>
    </w:p>
    <w:p w:rsidRPr="00F767BA" w:rsidR="00F767BA" w:rsidP="00F767BA" w:rsidRDefault="00F767BA">
      <w:pPr>
        <w:tabs>
          <w:tab w:val="left" w:pos="26"/>
          <w:tab w:val="left" w:pos="567"/>
        </w:tabs>
        <w:spacing w:after="160" w:line="360" w:lineRule="auto"/>
        <w:ind w:left="567" w:hanging="539"/>
        <w:jc w:val="both"/>
        <w:rPr>
          <w:rFonts w:ascii="Arial" w:hAnsi="Arial"/>
          <w:rtl/>
        </w:rPr>
      </w:pPr>
      <w:r w:rsidRPr="00F767BA">
        <w:rPr>
          <w:rFonts w:ascii="Arial" w:hAnsi="Arial"/>
          <w:noProof w:val="0"/>
          <w:sz w:val="22"/>
          <w:rtl/>
        </w:rPr>
        <w:t>6.</w:t>
      </w:r>
      <w:r w:rsidRPr="00F767BA">
        <w:rPr>
          <w:rFonts w:ascii="Arial" w:hAnsi="Arial"/>
          <w:noProof w:val="0"/>
          <w:sz w:val="22"/>
          <w:rtl/>
        </w:rPr>
        <w:tab/>
      </w:r>
      <w:r w:rsidRPr="00F767BA">
        <w:rPr>
          <w:noProof w:val="0"/>
          <w:rtl/>
        </w:rPr>
        <w:t>כב' רשם ההוצל"פ פירט בהחלטתו הכנסות המבקש אל</w:t>
      </w:r>
      <w:r w:rsidR="007561D9">
        <w:rPr>
          <w:noProof w:val="0"/>
          <w:rtl/>
        </w:rPr>
        <w:t xml:space="preserve"> מול הוצאותי</w:t>
      </w:r>
      <w:r w:rsidR="007561D9">
        <w:rPr>
          <w:rFonts w:hint="cs"/>
          <w:noProof w:val="0"/>
          <w:rtl/>
        </w:rPr>
        <w:t>ו</w:t>
      </w:r>
      <w:r w:rsidRPr="00F767BA">
        <w:rPr>
          <w:noProof w:val="0"/>
          <w:rtl/>
        </w:rPr>
        <w:t xml:space="preserve">, כפי שדיווח המבקש, ונימק החלטתו די הצורך. </w:t>
      </w:r>
      <w:r w:rsidRPr="00F767BA">
        <w:rPr>
          <w:rFonts w:ascii="Arial" w:hAnsi="Arial"/>
          <w:noProof w:val="0"/>
          <w:rtl/>
        </w:rPr>
        <w:t xml:space="preserve">החלטת כב' הרשם מבוססת על המסמכים אותם המציא </w:t>
      </w:r>
      <w:r w:rsidR="007561D9">
        <w:rPr>
          <w:rFonts w:ascii="Arial" w:hAnsi="Arial"/>
          <w:noProof w:val="0"/>
          <w:rtl/>
        </w:rPr>
        <w:t>המבקש עצמו. המבקש לא צירף לבקשת</w:t>
      </w:r>
      <w:r w:rsidR="007561D9">
        <w:rPr>
          <w:rFonts w:hint="cs" w:ascii="Arial" w:hAnsi="Arial"/>
          <w:noProof w:val="0"/>
          <w:rtl/>
        </w:rPr>
        <w:t>ו</w:t>
      </w:r>
      <w:r w:rsidRPr="00F767BA">
        <w:rPr>
          <w:rFonts w:ascii="Arial" w:hAnsi="Arial"/>
          <w:noProof w:val="0"/>
          <w:rtl/>
        </w:rPr>
        <w:t xml:space="preserve"> זו מסמכים חדשים שלא היו לפני כב' הרשם. הוא שב וחזר על אותן הטענות שהוצגו לפני כב' הרשם, ואשר נדחו, כאמור.</w:t>
      </w:r>
    </w:p>
    <w:p w:rsidRPr="00F767BA" w:rsidR="00F767BA" w:rsidP="00F767BA" w:rsidRDefault="00F767BA">
      <w:pPr>
        <w:spacing w:line="360" w:lineRule="auto"/>
        <w:jc w:val="both"/>
        <w:rPr>
          <w:rFonts w:ascii="Arial" w:hAnsi="Arial"/>
          <w:noProof w:val="0"/>
          <w:sz w:val="22"/>
          <w:rtl/>
        </w:rPr>
      </w:pPr>
    </w:p>
    <w:p w:rsidRPr="00F767BA" w:rsidR="00F767BA" w:rsidP="00F767BA" w:rsidRDefault="00F767BA">
      <w:pPr>
        <w:spacing w:line="360" w:lineRule="auto"/>
        <w:ind w:left="720" w:hanging="720"/>
        <w:jc w:val="both"/>
        <w:rPr>
          <w:rFonts w:ascii="Arial" w:hAnsi="Arial"/>
          <w:noProof w:val="0"/>
          <w:sz w:val="22"/>
          <w:rtl/>
        </w:rPr>
      </w:pPr>
      <w:r w:rsidRPr="00F767BA">
        <w:rPr>
          <w:rFonts w:ascii="Arial" w:hAnsi="Arial"/>
          <w:noProof w:val="0"/>
          <w:sz w:val="22"/>
          <w:rtl/>
        </w:rPr>
        <w:t>7.</w:t>
      </w:r>
      <w:r w:rsidRPr="00F767BA">
        <w:rPr>
          <w:rFonts w:ascii="Arial" w:hAnsi="Arial"/>
          <w:noProof w:val="0"/>
          <w:sz w:val="22"/>
          <w:rtl/>
        </w:rPr>
        <w:tab/>
        <w:t xml:space="preserve">במניין השיקולים, מציין כב' הרשם בהחלטתו, כי למבקש 15 תיקים בהוצל"פ ומצבת חובותיו עומדת על סך 611,392 ₪. כנגד המבקש התנהל בעבר תיק איחוד שפוזר בשל אי עמידה בצו התשלומים. ועוד, המבקש היה בהליך פש"ר שבוטל לאחרונה בשנת 2017. משכך, </w:t>
      </w:r>
      <w:r w:rsidRPr="00F767BA">
        <w:rPr>
          <w:rFonts w:ascii="Arial" w:hAnsi="Arial"/>
          <w:noProof w:val="0"/>
          <w:rtl/>
        </w:rPr>
        <w:t>הסכום החד פעמי בסך  3,000 ₪ כדמי רצינות, משקף איזון ראוי בין</w:t>
      </w:r>
      <w:r w:rsidR="007561D9">
        <w:rPr>
          <w:rFonts w:ascii="Arial" w:hAnsi="Arial"/>
          <w:noProof w:val="0"/>
          <w:rtl/>
        </w:rPr>
        <w:t xml:space="preserve"> זכויות המבקש כחייב, לרבות זכות</w:t>
      </w:r>
      <w:r w:rsidR="007561D9">
        <w:rPr>
          <w:rFonts w:hint="cs" w:ascii="Arial" w:hAnsi="Arial"/>
          <w:noProof w:val="0"/>
          <w:rtl/>
        </w:rPr>
        <w:t>ו</w:t>
      </w:r>
      <w:r w:rsidRPr="00F767BA">
        <w:rPr>
          <w:rFonts w:ascii="Arial" w:hAnsi="Arial"/>
          <w:noProof w:val="0"/>
          <w:rtl/>
        </w:rPr>
        <w:t xml:space="preserve"> לקיום מינימאלי על פי נתוניו ויכולותיו, לבין זכות הקניין של נושיו להיפרע ממנו.</w:t>
      </w:r>
    </w:p>
    <w:p w:rsidRPr="00F767BA" w:rsidR="00F767BA" w:rsidP="00F767BA" w:rsidRDefault="00F767BA">
      <w:pPr>
        <w:spacing w:line="360" w:lineRule="auto"/>
        <w:ind w:left="720" w:hanging="720"/>
        <w:jc w:val="both"/>
        <w:rPr>
          <w:rFonts w:ascii="Arial" w:hAnsi="Arial"/>
          <w:noProof w:val="0"/>
          <w:sz w:val="22"/>
          <w:rtl/>
        </w:rPr>
      </w:pPr>
    </w:p>
    <w:p w:rsidRPr="00F767BA" w:rsidR="00F767BA" w:rsidP="00F767BA" w:rsidRDefault="00F767BA">
      <w:pPr>
        <w:spacing w:line="360" w:lineRule="auto"/>
        <w:ind w:left="720" w:hanging="720"/>
        <w:jc w:val="both"/>
        <w:rPr>
          <w:rFonts w:ascii="Arial" w:hAnsi="Arial"/>
          <w:noProof w:val="0"/>
          <w:sz w:val="22"/>
          <w:rtl/>
        </w:rPr>
      </w:pPr>
      <w:r w:rsidRPr="00F767BA">
        <w:rPr>
          <w:rFonts w:ascii="Arial" w:hAnsi="Arial"/>
          <w:noProof w:val="0"/>
          <w:sz w:val="22"/>
          <w:rtl/>
        </w:rPr>
        <w:t>8.</w:t>
      </w:r>
      <w:r w:rsidRPr="00F767BA">
        <w:rPr>
          <w:rFonts w:ascii="Arial" w:hAnsi="Arial"/>
          <w:noProof w:val="0"/>
          <w:sz w:val="22"/>
          <w:rtl/>
        </w:rPr>
        <w:tab/>
        <w:t xml:space="preserve">לאור המקובץ, </w:t>
      </w:r>
      <w:r w:rsidRPr="00F767BA">
        <w:rPr>
          <w:rFonts w:ascii="Arial" w:hAnsi="Arial"/>
          <w:b/>
          <w:bCs/>
          <w:noProof w:val="0"/>
          <w:sz w:val="22"/>
          <w:rtl/>
        </w:rPr>
        <w:t>דין הבקשה להידחות.</w:t>
      </w:r>
    </w:p>
    <w:p w:rsidRPr="00F767BA" w:rsidR="00F767BA" w:rsidP="00F767BA" w:rsidRDefault="00F767BA">
      <w:pPr>
        <w:spacing w:line="360" w:lineRule="auto"/>
        <w:ind w:left="720" w:hanging="720"/>
        <w:jc w:val="both"/>
        <w:rPr>
          <w:rFonts w:ascii="Arial" w:hAnsi="Arial"/>
          <w:noProof w:val="0"/>
          <w:sz w:val="22"/>
          <w:rtl/>
        </w:rPr>
      </w:pPr>
    </w:p>
    <w:p w:rsidRPr="00F767BA" w:rsidR="00F767BA" w:rsidP="00F767BA" w:rsidRDefault="00F767BA">
      <w:pPr>
        <w:spacing w:line="360" w:lineRule="auto"/>
        <w:ind w:left="720"/>
        <w:jc w:val="both"/>
        <w:rPr>
          <w:rFonts w:ascii="Arial" w:hAnsi="Arial"/>
          <w:noProof w:val="0"/>
          <w:sz w:val="22"/>
        </w:rPr>
      </w:pPr>
      <w:r w:rsidRPr="00F767BA">
        <w:rPr>
          <w:rFonts w:ascii="Arial" w:hAnsi="Arial"/>
          <w:noProof w:val="0"/>
          <w:sz w:val="22"/>
          <w:rtl/>
        </w:rPr>
        <w:t>בנסיבות, אינני עושה צו להוצאות.</w:t>
      </w:r>
    </w:p>
    <w:p w:rsidR="00F767BA" w:rsidRDefault="00F767BA">
      <w:pPr>
        <w:spacing w:line="360" w:lineRule="auto"/>
        <w:jc w:val="both"/>
        <w:rPr>
          <w:rFonts w:ascii="Calibri" w:hAnsi="Calibri" w:cs="Arial"/>
          <w:noProof w:val="0"/>
          <w:sz w:val="22"/>
          <w:szCs w:val="22"/>
          <w:rtl/>
        </w:rPr>
      </w:pPr>
    </w:p>
    <w:p w:rsidRPr="00F767BA" w:rsidR="00694556" w:rsidP="00F767BA" w:rsidRDefault="00F767BA">
      <w:pPr>
        <w:spacing w:line="360" w:lineRule="auto"/>
        <w:ind w:firstLine="720"/>
        <w:jc w:val="both"/>
        <w:rPr>
          <w:rFonts w:ascii="Arial" w:hAnsi="Arial"/>
          <w:noProof w:val="0"/>
          <w:rtl/>
        </w:rPr>
      </w:pPr>
      <w:r w:rsidRPr="00F767BA">
        <w:rPr>
          <w:rFonts w:hint="cs" w:ascii="Calibri" w:hAnsi="Calibri"/>
          <w:noProof w:val="0"/>
          <w:rtl/>
        </w:rPr>
        <w:t>המזכירות תמציא לצדדים.</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4E76E0">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9716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5256e8f799d475f" cstate="print">
                            <a:extLst>
                              <a:ext uri="{28A0092B-C50C-407E-A947-70E740481C1C}"/>
                            </a:extLst>
                          </a:blip>
                          <a:stretch>
                            <a:fillRect/>
                          </a:stretch>
                        </pic:blipFill>
                        <pic:spPr>
                          <a:xfrm>
                            <a:off x="0" y="0"/>
                            <a:ext cx="1971675" cy="10763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5"/>
      <w:footerReference w:type="default" r:id="rId16"/>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E76E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E76E0">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E76E0">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4E76E0">
          <w:pPr>
            <w:rPr>
              <w:b/>
              <w:bCs/>
              <w:noProof w:val="0"/>
              <w:sz w:val="26"/>
              <w:szCs w:val="26"/>
              <w:rtl/>
            </w:rPr>
          </w:pPr>
          <w:sdt>
            <w:sdtPr>
              <w:rPr>
                <w:b/>
                <w:bCs/>
                <w:noProof w:val="0"/>
                <w:sz w:val="26"/>
                <w:szCs w:val="26"/>
                <w:rtl/>
              </w:rPr>
              <w:alias w:val="1170"/>
              <w:tag w:val="1170"/>
              <w:id w:val="299038016"/>
              <w:text w:multiLine="1"/>
            </w:sdtPr>
            <w:sdtEndPr/>
            <w:sdtContent>
              <w:r w:rsidR="00821D81">
                <w:rPr>
                  <w:b/>
                  <w:bCs/>
                  <w:noProof w:val="0"/>
                  <w:sz w:val="26"/>
                  <w:szCs w:val="26"/>
                  <w:rtl/>
                </w:rPr>
                <w:t>רע"צ</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821D81">
                <w:rPr>
                  <w:b/>
                  <w:bCs/>
                  <w:noProof w:val="0"/>
                  <w:sz w:val="26"/>
                  <w:szCs w:val="26"/>
                  <w:rtl/>
                </w:rPr>
                <w:t>41150-03-18</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821D81">
                <w:rPr>
                  <w:b/>
                  <w:bCs/>
                  <w:noProof w:val="0"/>
                  <w:sz w:val="26"/>
                  <w:szCs w:val="26"/>
                  <w:rtl/>
                </w:rPr>
                <w:t>חורי נ' מרכנתיל דיסקונט תל אביב סניף אבן גבירול</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1005956059</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6738"/>
    <o:shapelayout v:ext="edit">
      <o:idmap v:ext="edit" data="1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58FD"/>
    <w:rsid w:val="000564AB"/>
    <w:rsid w:val="000D4A02"/>
    <w:rsid w:val="001072A9"/>
    <w:rsid w:val="00121F97"/>
    <w:rsid w:val="001277D7"/>
    <w:rsid w:val="00132017"/>
    <w:rsid w:val="0014234E"/>
    <w:rsid w:val="00145A87"/>
    <w:rsid w:val="001C4003"/>
    <w:rsid w:val="002352F7"/>
    <w:rsid w:val="00321D95"/>
    <w:rsid w:val="00381D3A"/>
    <w:rsid w:val="003823DA"/>
    <w:rsid w:val="0043595F"/>
    <w:rsid w:val="0047645A"/>
    <w:rsid w:val="004D49A3"/>
    <w:rsid w:val="004E6E3C"/>
    <w:rsid w:val="004E76E0"/>
    <w:rsid w:val="005124F1"/>
    <w:rsid w:val="00530BAD"/>
    <w:rsid w:val="00541598"/>
    <w:rsid w:val="00547DB7"/>
    <w:rsid w:val="00567324"/>
    <w:rsid w:val="005B0F49"/>
    <w:rsid w:val="005C7EC6"/>
    <w:rsid w:val="005D4BDB"/>
    <w:rsid w:val="00622BAA"/>
    <w:rsid w:val="00625C89"/>
    <w:rsid w:val="00671BD5"/>
    <w:rsid w:val="006805C1"/>
    <w:rsid w:val="006816EC"/>
    <w:rsid w:val="00694556"/>
    <w:rsid w:val="006D1960"/>
    <w:rsid w:val="006E1A53"/>
    <w:rsid w:val="007056AA"/>
    <w:rsid w:val="00744F41"/>
    <w:rsid w:val="007561D9"/>
    <w:rsid w:val="007A24FE"/>
    <w:rsid w:val="007A35AA"/>
    <w:rsid w:val="007F1048"/>
    <w:rsid w:val="00805176"/>
    <w:rsid w:val="00814ACA"/>
    <w:rsid w:val="00820005"/>
    <w:rsid w:val="00821D81"/>
    <w:rsid w:val="00846D27"/>
    <w:rsid w:val="008610A7"/>
    <w:rsid w:val="008E1332"/>
    <w:rsid w:val="00903896"/>
    <w:rsid w:val="00927813"/>
    <w:rsid w:val="00944D13"/>
    <w:rsid w:val="00957C90"/>
    <w:rsid w:val="009E0263"/>
    <w:rsid w:val="00A267CF"/>
    <w:rsid w:val="00A43458"/>
    <w:rsid w:val="00AC4E19"/>
    <w:rsid w:val="00AF1ED6"/>
    <w:rsid w:val="00B368FE"/>
    <w:rsid w:val="00B80CBD"/>
    <w:rsid w:val="00BC3369"/>
    <w:rsid w:val="00BF77EE"/>
    <w:rsid w:val="00C32E0F"/>
    <w:rsid w:val="00C42BF9"/>
    <w:rsid w:val="00C83E56"/>
    <w:rsid w:val="00D319B3"/>
    <w:rsid w:val="00D53924"/>
    <w:rsid w:val="00D60849"/>
    <w:rsid w:val="00D96D8C"/>
    <w:rsid w:val="00DD337E"/>
    <w:rsid w:val="00E00B6F"/>
    <w:rsid w:val="00E54642"/>
    <w:rsid w:val="00E97908"/>
    <w:rsid w:val="00EF3ED0"/>
    <w:rsid w:val="00F17E56"/>
    <w:rsid w:val="00F767B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14:docId w14:val="3CEEFF01"/>
  <w15:docId w15:val="{948C8C28-0571-4382-BBD2-9C7CE06C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law/90684/119.g" TargetMode="External" Id="rId8" /><Relationship Type="http://schemas.openxmlformats.org/officeDocument/2006/relationships/hyperlink" Target="http://www.nevo.co.il/case/6097916"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nevo.co.il/case/318435" TargetMode="External" Id="rId12" /><Relationship Type="http://schemas.openxmlformats.org/officeDocument/2006/relationships/fontTable" Target="fontTable.xml" Id="rId17" /><Relationship Type="http://schemas.openxmlformats.org/officeDocument/2006/relationships/footer" Target="footer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hyperlink" Target="http://www.nevo.co.il/case/5811174"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http://www.nevo.co.il/law/74985" TargetMode="External" Id="rId10" /><Relationship Type="http://schemas.openxmlformats.org/officeDocument/2006/relationships/settings" Target="settings.xml" Id="rId4" /><Relationship Type="http://schemas.openxmlformats.org/officeDocument/2006/relationships/hyperlink" Target="http://www.nevo.co.il/law/90684" TargetMode="External" Id="rId9" /><Relationship Type="http://schemas.openxmlformats.org/officeDocument/2006/relationships/hyperlink" Target="http://www.nevo.co.il/case/5420983" TargetMode="External" Id="rId14" /><Relationship Type="http://schemas.openxmlformats.org/officeDocument/2006/relationships/image" Target="/media/image2.jpg" Id="R95256e8f799d475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505</Words>
  <Characters>2525</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יוסף סוהיל</cp:lastModifiedBy>
  <cp:revision>38</cp:revision>
  <dcterms:created xsi:type="dcterms:W3CDTF">2012-08-05T21:29:00Z</dcterms:created>
  <dcterms:modified xsi:type="dcterms:W3CDTF">2018-04-12T06:45:00Z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