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
        <w:gridCol w:w="3107"/>
        <w:gridCol w:w="5611"/>
        <w:gridCol w:w="56"/>
      </w:tblGrid>
      <w:tr w:rsidR="00501B12" w:rsidTr="00501B12">
        <w:trPr>
          <w:gridBefore w:val="1"/>
          <w:gridAfter w:val="1"/>
          <w:wBefore w:w="28" w:type="dxa"/>
          <w:wAfter w:w="56" w:type="dxa"/>
        </w:trPr>
        <w:tc>
          <w:tcPr>
            <w:tcW w:w="8718" w:type="dxa"/>
            <w:gridSpan w:val="2"/>
            <w:hideMark/>
          </w:tcPr>
          <w:p w:rsidR="00501B12" w:rsidRDefault="004A0233">
            <w:pPr>
              <w:rPr>
                <w:b/>
                <w:bCs/>
                <w:sz w:val="26"/>
                <w:szCs w:val="26"/>
                <w:rtl/>
              </w:rPr>
            </w:pPr>
            <w:r>
              <w:rPr>
                <w:rFonts w:hint="cs"/>
                <w:b/>
                <w:bCs/>
                <w:sz w:val="26"/>
                <w:szCs w:val="26"/>
                <w:rtl/>
              </w:rPr>
              <w:t>לפני כבוד ה</w:t>
            </w:r>
            <w:sdt>
              <w:sdtPr>
                <w:rPr>
                  <w:rtl/>
                </w:rPr>
                <w:alias w:val="165"/>
                <w:tag w:val="165"/>
                <w:id w:val="319463490"/>
                <w:text w:multiLine="1"/>
              </w:sdtPr>
              <w:sdtEndPr/>
              <w:sdtContent>
                <w:r>
                  <w:rPr>
                    <w:rFonts w:hint="cs"/>
                    <w:b/>
                    <w:bCs/>
                    <w:sz w:val="26"/>
                    <w:szCs w:val="26"/>
                    <w:rtl/>
                  </w:rPr>
                  <w:t>שופט אלעד טל</w:t>
                </w:r>
              </w:sdtContent>
            </w:sdt>
            <w:r>
              <w:rPr>
                <w:rStyle w:val="TimesNewRomanTimesNewRoman"/>
                <w:rFonts w:hint="cs"/>
                <w:rtl/>
              </w:rPr>
              <w:t xml:space="preserve"> </w:t>
            </w:r>
          </w:p>
        </w:tc>
      </w:tr>
      <w:tr w:rsidR="00501B12" w:rsidTr="00FA5015">
        <w:trPr>
          <w:cantSplit/>
          <w:trHeight w:val="724"/>
        </w:trPr>
        <w:tc>
          <w:tcPr>
            <w:tcW w:w="3135" w:type="dxa"/>
            <w:gridSpan w:val="2"/>
          </w:tcPr>
          <w:p w:rsidR="00501B12" w:rsidRDefault="00624DBE">
            <w:pPr>
              <w:ind w:left="26"/>
              <w:rPr>
                <w:b/>
                <w:bCs/>
                <w:sz w:val="26"/>
                <w:szCs w:val="26"/>
                <w:rtl/>
              </w:rPr>
            </w:pPr>
          </w:p>
          <w:p w:rsidR="00501B12" w:rsidRDefault="004A0233">
            <w:pPr>
              <w:ind w:left="26"/>
              <w:rPr>
                <w:b/>
                <w:bCs/>
                <w:sz w:val="26"/>
                <w:szCs w:val="26"/>
                <w:rtl/>
              </w:rPr>
            </w:pPr>
            <w:r>
              <w:rPr>
                <w:rFonts w:hint="cs"/>
                <w:b/>
                <w:bCs/>
                <w:sz w:val="26"/>
                <w:szCs w:val="26"/>
                <w:u w:val="single"/>
                <w:rtl/>
              </w:rPr>
              <w:t>התובע</w:t>
            </w:r>
            <w:r>
              <w:rPr>
                <w:rFonts w:hint="cs"/>
                <w:b/>
                <w:bCs/>
                <w:sz w:val="26"/>
                <w:szCs w:val="26"/>
                <w:rtl/>
              </w:rPr>
              <w:t>:</w:t>
            </w:r>
          </w:p>
        </w:tc>
        <w:tc>
          <w:tcPr>
            <w:tcW w:w="5667" w:type="dxa"/>
            <w:gridSpan w:val="2"/>
          </w:tcPr>
          <w:p w:rsidR="00501B12" w:rsidRDefault="00624DBE">
            <w:pPr>
              <w:rPr>
                <w:rtl/>
              </w:rPr>
            </w:pPr>
          </w:p>
          <w:p w:rsidR="00501B12" w:rsidRDefault="004A0233">
            <w:pPr>
              <w:rPr>
                <w:b/>
                <w:bCs/>
                <w:sz w:val="26"/>
                <w:szCs w:val="26"/>
                <w:rtl/>
              </w:rPr>
            </w:pPr>
            <w:r>
              <w:rPr>
                <w:rtl/>
              </w:rPr>
              <w:t xml:space="preserve"> </w:t>
            </w:r>
            <w:r>
              <w:rPr>
                <w:rFonts w:hint="cs"/>
                <w:b/>
                <w:bCs/>
                <w:sz w:val="26"/>
                <w:szCs w:val="26"/>
                <w:rtl/>
              </w:rPr>
              <w:t>רחלי קריטי</w:t>
            </w:r>
          </w:p>
          <w:p w:rsidRPr="00FA5015" w:rsidR="00FA5015" w:rsidP="00FA5015" w:rsidRDefault="00FA5015">
            <w:pPr>
              <w:rPr>
                <w:rtl/>
              </w:rPr>
            </w:pPr>
            <w:r w:rsidRPr="00FA5015">
              <w:rPr>
                <w:rFonts w:hint="cs"/>
                <w:rtl/>
              </w:rPr>
              <w:t xml:space="preserve">(ע"י ב"כ עו"ד ע. זועבי) </w:t>
            </w:r>
          </w:p>
          <w:p w:rsidR="00501B12" w:rsidRDefault="00624DBE">
            <w:pPr>
              <w:rPr>
                <w:b/>
                <w:bCs/>
                <w:sz w:val="26"/>
                <w:szCs w:val="26"/>
                <w:rtl/>
              </w:rPr>
            </w:pPr>
          </w:p>
        </w:tc>
      </w:tr>
      <w:tr w:rsidR="00501B12" w:rsidTr="00501B12">
        <w:tc>
          <w:tcPr>
            <w:tcW w:w="8802" w:type="dxa"/>
            <w:gridSpan w:val="4"/>
            <w:vAlign w:val="center"/>
          </w:tcPr>
          <w:p w:rsidR="00501B12" w:rsidRDefault="00624DBE">
            <w:pPr>
              <w:jc w:val="center"/>
              <w:rPr>
                <w:rFonts w:ascii="Arial" w:hAnsi="Arial"/>
                <w:b/>
                <w:bCs/>
                <w:sz w:val="26"/>
                <w:szCs w:val="26"/>
                <w:rtl/>
              </w:rPr>
            </w:pPr>
          </w:p>
          <w:p w:rsidR="00501B12" w:rsidRDefault="004A0233">
            <w:pPr>
              <w:jc w:val="center"/>
              <w:rPr>
                <w:rFonts w:ascii="Arial" w:hAnsi="Arial"/>
                <w:b/>
                <w:bCs/>
                <w:sz w:val="26"/>
                <w:szCs w:val="26"/>
                <w:rtl/>
              </w:rPr>
            </w:pPr>
            <w:r>
              <w:rPr>
                <w:rFonts w:hint="cs" w:ascii="Arial" w:hAnsi="Arial"/>
                <w:b/>
                <w:bCs/>
                <w:sz w:val="26"/>
                <w:szCs w:val="26"/>
                <w:rtl/>
              </w:rPr>
              <w:t>נגד</w:t>
            </w:r>
          </w:p>
          <w:p w:rsidR="00501B12" w:rsidRDefault="00624DBE">
            <w:pPr>
              <w:rPr>
                <w:rFonts w:ascii="Arial" w:hAnsi="Arial"/>
                <w:b/>
                <w:bCs/>
                <w:sz w:val="26"/>
                <w:szCs w:val="26"/>
                <w:rtl/>
              </w:rPr>
            </w:pPr>
          </w:p>
        </w:tc>
      </w:tr>
      <w:tr w:rsidR="00501B12" w:rsidTr="00FA5015">
        <w:tc>
          <w:tcPr>
            <w:tcW w:w="3135" w:type="dxa"/>
            <w:gridSpan w:val="2"/>
            <w:hideMark/>
          </w:tcPr>
          <w:p w:rsidR="00501B12" w:rsidRDefault="004A0233">
            <w:pPr>
              <w:ind w:left="26"/>
              <w:rPr>
                <w:b/>
                <w:bCs/>
                <w:sz w:val="26"/>
                <w:szCs w:val="26"/>
              </w:rPr>
            </w:pPr>
            <w:r>
              <w:rPr>
                <w:rFonts w:hint="cs"/>
                <w:b/>
                <w:bCs/>
                <w:sz w:val="26"/>
                <w:szCs w:val="26"/>
                <w:u w:val="single"/>
                <w:rtl/>
              </w:rPr>
              <w:t>הנתבעים</w:t>
            </w:r>
            <w:r>
              <w:rPr>
                <w:rFonts w:hint="cs"/>
                <w:b/>
                <w:bCs/>
                <w:sz w:val="26"/>
                <w:szCs w:val="26"/>
                <w:rtl/>
              </w:rPr>
              <w:t>:</w:t>
            </w:r>
          </w:p>
        </w:tc>
        <w:tc>
          <w:tcPr>
            <w:tcW w:w="5667" w:type="dxa"/>
            <w:gridSpan w:val="2"/>
          </w:tcPr>
          <w:p w:rsidR="00501B12" w:rsidRDefault="004A0233">
            <w:pPr>
              <w:rPr>
                <w:b/>
                <w:bCs/>
                <w:sz w:val="26"/>
                <w:szCs w:val="26"/>
                <w:rtl/>
              </w:rPr>
            </w:pPr>
            <w:r>
              <w:rPr>
                <w:b/>
                <w:bCs/>
                <w:sz w:val="26"/>
                <w:szCs w:val="26"/>
              </w:rPr>
              <w:t>.1</w:t>
            </w:r>
            <w:r>
              <w:rPr>
                <w:rtl/>
              </w:rPr>
              <w:t xml:space="preserve"> </w:t>
            </w:r>
            <w:r>
              <w:rPr>
                <w:rFonts w:hint="cs"/>
                <w:b/>
                <w:bCs/>
                <w:sz w:val="26"/>
                <w:szCs w:val="26"/>
                <w:rtl/>
              </w:rPr>
              <w:t>אברהם קריטי</w:t>
            </w:r>
          </w:p>
          <w:p w:rsidR="00501B12" w:rsidRDefault="004A0233">
            <w:pPr>
              <w:rPr>
                <w:b/>
                <w:bCs/>
                <w:sz w:val="26"/>
                <w:szCs w:val="26"/>
                <w:rtl/>
              </w:rPr>
            </w:pPr>
            <w:r>
              <w:rPr>
                <w:b/>
                <w:bCs/>
                <w:sz w:val="26"/>
                <w:szCs w:val="26"/>
              </w:rPr>
              <w:t>.2</w:t>
            </w:r>
            <w:r>
              <w:rPr>
                <w:rtl/>
              </w:rPr>
              <w:t xml:space="preserve"> </w:t>
            </w:r>
            <w:r>
              <w:rPr>
                <w:rFonts w:hint="cs"/>
                <w:b/>
                <w:bCs/>
                <w:sz w:val="26"/>
                <w:szCs w:val="26"/>
                <w:rtl/>
              </w:rPr>
              <w:t>חיה זילבר</w:t>
            </w:r>
          </w:p>
          <w:p w:rsidRPr="00FA5015" w:rsidR="00FA5015" w:rsidRDefault="00FA5015">
            <w:pPr>
              <w:rPr>
                <w:rtl/>
              </w:rPr>
            </w:pPr>
            <w:r w:rsidRPr="00FA5015">
              <w:rPr>
                <w:rFonts w:hint="cs"/>
                <w:rtl/>
              </w:rPr>
              <w:t>(ע"י ב"כ עו"ד ת. מריזן)</w:t>
            </w:r>
          </w:p>
          <w:p w:rsidR="00501B12" w:rsidRDefault="004A0233">
            <w:pPr>
              <w:rPr>
                <w:b/>
                <w:bCs/>
                <w:sz w:val="26"/>
                <w:szCs w:val="26"/>
                <w:rtl/>
              </w:rPr>
            </w:pPr>
            <w:r>
              <w:rPr>
                <w:b/>
                <w:bCs/>
                <w:sz w:val="26"/>
                <w:szCs w:val="26"/>
              </w:rPr>
              <w:t>.3</w:t>
            </w:r>
            <w:r>
              <w:rPr>
                <w:rtl/>
              </w:rPr>
              <w:t xml:space="preserve"> </w:t>
            </w:r>
            <w:r>
              <w:rPr>
                <w:rFonts w:hint="cs"/>
                <w:b/>
                <w:bCs/>
                <w:sz w:val="26"/>
                <w:szCs w:val="26"/>
                <w:rtl/>
              </w:rPr>
              <w:t>נייג'ל מקלנין</w:t>
            </w:r>
          </w:p>
          <w:p w:rsidRPr="00FA5015" w:rsidR="00FA5015" w:rsidRDefault="00FA5015">
            <w:pPr>
              <w:rPr>
                <w:rtl/>
              </w:rPr>
            </w:pPr>
            <w:r w:rsidRPr="00FA5015">
              <w:rPr>
                <w:rFonts w:hint="cs"/>
                <w:rtl/>
              </w:rPr>
              <w:t>(ע"י ב"כ עו"ד א. חורף)</w:t>
            </w:r>
          </w:p>
          <w:p w:rsidR="00501B12" w:rsidRDefault="00624DBE">
            <w:pPr>
              <w:rPr>
                <w:b/>
                <w:bCs/>
                <w:sz w:val="26"/>
                <w:szCs w:val="26"/>
                <w:rtl/>
              </w:rPr>
            </w:pPr>
          </w:p>
        </w:tc>
      </w:tr>
    </w:tbl>
    <w:p w:rsidR="001434F7" w:rsidRDefault="00624DBE"/>
    <w:p w:rsidR="006816EC" w:rsidP="003823DA" w:rsidRDefault="006816EC">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r w:rsidR="00FA5015" w:rsidTr="00FA5015">
        <w:trPr>
          <w:jc w:val="center"/>
        </w:trPr>
        <w:tc>
          <w:tcPr>
            <w:tcW w:w="8820" w:type="dxa"/>
          </w:tcPr>
          <w:p w:rsidR="00FA5015" w:rsidP="00FA5015" w:rsidRDefault="00FA5015">
            <w:pPr>
              <w:bidi w:val="0"/>
              <w:jc w:val="center"/>
              <w:rPr>
                <w:rFonts w:ascii="Arial" w:hAnsi="Arial"/>
                <w:b/>
                <w:bCs/>
                <w:sz w:val="28"/>
                <w:szCs w:val="28"/>
                <w:u w:val="single"/>
              </w:rPr>
            </w:pPr>
          </w:p>
        </w:tc>
      </w:tr>
    </w:tbl>
    <w:p w:rsidR="00FA5015" w:rsidP="00FA5015" w:rsidRDefault="00FA5015">
      <w:pPr>
        <w:spacing w:line="360" w:lineRule="auto"/>
        <w:rPr>
          <w:noProof/>
          <w:sz w:val="22"/>
        </w:rPr>
      </w:pPr>
      <w:bookmarkStart w:name="NGCSBookmark" w:id="0"/>
      <w:bookmarkStart w:name="סוג_מסמך" w:id="1"/>
      <w:bookmarkEnd w:id="0"/>
      <w:r>
        <w:rPr>
          <w:rFonts w:hint="cs"/>
          <w:sz w:val="22"/>
          <w:rtl/>
        </w:rPr>
        <w:t>לפני שתי בקשות. האחת,  מטעם הנתבעת 2 לדחיית התביעה על הסף מחמת מעשה בית דין; השניה, מטעם התובעת לצירוף תובעים ותיקון כתב התביעה.</w:t>
      </w:r>
    </w:p>
    <w:p w:rsidR="00FA5015" w:rsidP="00FA5015" w:rsidRDefault="00FA5015">
      <w:pPr>
        <w:spacing w:line="360" w:lineRule="auto"/>
        <w:rPr>
          <w:sz w:val="22"/>
          <w:rtl/>
        </w:rPr>
      </w:pPr>
      <w:r>
        <w:rPr>
          <w:rFonts w:hint="cs"/>
          <w:sz w:val="22"/>
          <w:rtl/>
        </w:rPr>
        <w:t xml:space="preserve">מאחר ויש בהחלטתי בבקשה אחת להשליך על השניה, אדון בהן במאוחד. </w:t>
      </w:r>
    </w:p>
    <w:p w:rsidR="00FA5015" w:rsidP="00FA5015" w:rsidRDefault="00FA5015">
      <w:pPr>
        <w:spacing w:line="360" w:lineRule="auto"/>
        <w:jc w:val="both"/>
        <w:rPr>
          <w:sz w:val="22"/>
          <w:rtl/>
        </w:rPr>
      </w:pPr>
      <w:r>
        <w:rPr>
          <w:rFonts w:hint="cs"/>
          <w:sz w:val="22"/>
          <w:rtl/>
        </w:rPr>
        <w:t xml:space="preserve">מאחר ונסיבותיה של תביעה זו נידונו בהרחבה במסגרת ת.א (מחוזי נצרת) 64449-05-17  בפסק דינו של כבוד השופט טאהא ערפאת מיום 25.8.16 (להלן </w:t>
      </w:r>
      <w:r>
        <w:rPr>
          <w:rFonts w:hint="cs"/>
          <w:b/>
          <w:bCs/>
          <w:sz w:val="22"/>
          <w:rtl/>
        </w:rPr>
        <w:t>"ההליך הקודם")</w:t>
      </w:r>
      <w:r>
        <w:rPr>
          <w:rFonts w:hint="cs"/>
          <w:sz w:val="22"/>
          <w:rtl/>
        </w:rPr>
        <w:t xml:space="preserve"> אפרט את השתלשלות העניינים העובדתית כפי שנקבעה בפסק הדין ולאחר מכן את טענות הצדדים.</w:t>
      </w:r>
    </w:p>
    <w:p w:rsidR="00FA5015" w:rsidP="00FA5015" w:rsidRDefault="00FA5015">
      <w:pPr>
        <w:spacing w:line="360" w:lineRule="auto"/>
        <w:jc w:val="both"/>
        <w:rPr>
          <w:sz w:val="22"/>
          <w:rtl/>
        </w:rPr>
      </w:pPr>
    </w:p>
    <w:p w:rsidR="00FA5015" w:rsidP="00FA5015" w:rsidRDefault="00FA5015">
      <w:pPr>
        <w:spacing w:line="360" w:lineRule="auto"/>
        <w:rPr>
          <w:sz w:val="22"/>
          <w:rtl/>
        </w:rPr>
      </w:pPr>
      <w:r>
        <w:rPr>
          <w:rFonts w:hint="cs"/>
          <w:bCs/>
          <w:sz w:val="22"/>
          <w:u w:val="single"/>
          <w:rtl/>
        </w:rPr>
        <w:t>רקע עובדתי</w:t>
      </w:r>
    </w:p>
    <w:p w:rsidR="00FA5015" w:rsidP="00FA5015" w:rsidRDefault="00FA5015">
      <w:pPr>
        <w:spacing w:line="360" w:lineRule="auto"/>
        <w:ind w:left="720" w:hanging="720"/>
        <w:jc w:val="both"/>
        <w:rPr>
          <w:sz w:val="22"/>
          <w:rtl/>
        </w:rPr>
      </w:pPr>
      <w:r>
        <w:rPr>
          <w:rFonts w:hint="cs"/>
          <w:sz w:val="22"/>
          <w:rtl/>
        </w:rPr>
        <w:t xml:space="preserve">1. </w:t>
      </w:r>
      <w:r>
        <w:rPr>
          <w:rFonts w:hint="cs"/>
          <w:sz w:val="22"/>
          <w:rtl/>
        </w:rPr>
        <w:tab/>
        <w:t>עסקינן בתביעה כספית, עשיית עושר ולא במשפט ובבקשה לצו מניעה, המונע מהנתבעים לבצע רישום של העיסקה בטאבו.</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sz w:val="22"/>
          <w:rtl/>
        </w:rPr>
      </w:pPr>
      <w:r>
        <w:rPr>
          <w:rFonts w:hint="cs"/>
          <w:sz w:val="22"/>
          <w:rtl/>
        </w:rPr>
        <w:t>2.</w:t>
      </w:r>
      <w:r>
        <w:rPr>
          <w:rFonts w:hint="cs"/>
          <w:sz w:val="22"/>
          <w:rtl/>
        </w:rPr>
        <w:tab/>
        <w:t xml:space="preserve">ביום 22.1.10 נפטר גבריאל קריטי, אביהם של התובעת ושלושת אחיה; עדי קריטי, דקל קריטי ומאור קריטי. ביום 6/6/10 ניתן צו ירושה על ידי הרשם לענייני ירושה בנצרת, שלפיו יורשיו של המנוח גבריאל קריטי הם ארבעת ילדיו, כאשר חלקו של כל יורש בעיזבון הוא 1/4. עזבונו של המנוח גבריאל קריטי כלל זכויות בנכסי מקרקעין הידועים כחלקה 47 בגוש 15442 ביישוב יבניאל, עליה בנוי בניין מגורים בן שתי קומות, חלקה 13 בגוש 17358, חלקה 63 בגוש 17359, חלקה 107 בגוש 17369 וכן, זכויות בבית כנסת ברחובות הבנוי על חלקה 260 בגוש 3697. </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sz w:val="22"/>
          <w:rtl/>
        </w:rPr>
      </w:pPr>
      <w:r>
        <w:rPr>
          <w:rFonts w:hint="cs"/>
          <w:sz w:val="22"/>
          <w:rtl/>
        </w:rPr>
        <w:lastRenderedPageBreak/>
        <w:t xml:space="preserve">3. </w:t>
      </w:r>
      <w:r>
        <w:rPr>
          <w:rFonts w:hint="cs"/>
          <w:sz w:val="22"/>
          <w:rtl/>
        </w:rPr>
        <w:tab/>
        <w:t>ארבעת האחים הסמיכו את דודם אברהם קריטי, הנתבע  מס' 1 (להלן: "</w:t>
      </w:r>
      <w:r>
        <w:rPr>
          <w:rFonts w:hint="cs"/>
          <w:b/>
          <w:bCs/>
          <w:sz w:val="22"/>
          <w:rtl/>
        </w:rPr>
        <w:t>הנתבע</w:t>
      </w:r>
      <w:r>
        <w:rPr>
          <w:rFonts w:hint="cs"/>
          <w:sz w:val="22"/>
          <w:rtl/>
        </w:rPr>
        <w:t xml:space="preserve">"), לחלק את העיזבון ביניהם באופן שוויוני, ואף לפעול למימוש ומכירת נכסי המקרקעין שירשו מאביהם, ככל שיהא צורך בכך לשם מימוש מטרה זו. לשם כך חתמו ארבעת האחים על ייפויי  כח נוטריונים המסמיכים את הנתבע לחתום בשמם על כל מסמך וחוזה ולבצע כל פעולה לשם מימוש החלקות 47, 13, 107 ו- 63 לעיל. יפוי כח נוטריוני אחד נחתם על ידי דקל קריטי לטובת הנתבע ביום 15.2.11 , לפני הנוטריונית עו"ד מיכל אופיר; יפוי כח נוטריוני בנוסח זהה נחתם על ידי התובעת  ואחיה, עדי  ומאור  ביום 3.5.11, לפני  הנתבע 3, הנוטריון עו"ד ניג'ל מקלנן (להלן "עו"ד מקלנן"). </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sz w:val="22"/>
          <w:rtl/>
        </w:rPr>
      </w:pPr>
      <w:r>
        <w:rPr>
          <w:rFonts w:hint="cs"/>
          <w:sz w:val="22"/>
          <w:rtl/>
        </w:rPr>
        <w:t xml:space="preserve">4. </w:t>
      </w:r>
      <w:r>
        <w:rPr>
          <w:rFonts w:hint="cs"/>
          <w:sz w:val="22"/>
          <w:rtl/>
        </w:rPr>
        <w:tab/>
        <w:t>ביום 23.5.11 נחתם הסכם מכר מקרקעין בין התובעת ושלושת אחיה מצד אחד, לבין גב' חיה זילבר, הנתבעת 2 (להלן: "</w:t>
      </w:r>
      <w:r>
        <w:rPr>
          <w:rFonts w:hint="cs"/>
          <w:b/>
          <w:bCs/>
          <w:sz w:val="22"/>
          <w:rtl/>
        </w:rPr>
        <w:t xml:space="preserve">הנתבעת </w:t>
      </w:r>
      <w:r>
        <w:rPr>
          <w:rFonts w:hint="cs"/>
          <w:sz w:val="22"/>
          <w:rtl/>
        </w:rPr>
        <w:t xml:space="preserve">") מצד שני, לפיו מכרו התובעת ואחיה לנתבעת מגרש בשטח 11,383 מ"ר מתוך החלקה 47 ששטחה הוא 12,483 מ"ר. ההסכם נחתם ע"י הנתבע בשם התובעת ואחיה בהתאם לייפויי הכח הנוטריונים שאוזכרו לעיל ועל ידי הנתבעת בעצמה. בהתאם להסכם המכר, מגרש בשטח של 1,100 מ"ר מתוך החלקה, שעליו בנוי בית עם שתי דירות, יישאר בבעלותם של המוכרים והזכויות בו יועברו לעדי ומאור קריטי ויתרת החלקה בשטח 11,383 מ"ר, שכוללת דונם לבניה והשאר מיועד לחקלאות, תימכר לנתבעת. </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sz w:val="22"/>
          <w:rtl/>
        </w:rPr>
      </w:pPr>
      <w:r>
        <w:rPr>
          <w:rFonts w:hint="cs"/>
          <w:sz w:val="22"/>
          <w:rtl/>
        </w:rPr>
        <w:t xml:space="preserve">5. </w:t>
      </w:r>
      <w:r>
        <w:rPr>
          <w:rFonts w:hint="cs"/>
          <w:sz w:val="22"/>
          <w:rtl/>
        </w:rPr>
        <w:tab/>
        <w:t xml:space="preserve">בד בבד עם החתימה על הסכם המכר חתמו הנתבע (בשם מאור ועדי שאמורים לקבל את הזכויות במגרש בשטח של 1,100 מ"ר) והנתבעת על הסכם שיתוף שצורף אליו תשריט, לפיו המגרש בשטח של 1,100 מ"ר יהיה בחזקתם ושימושם הבלעדיים של מאור ועדי ואילו יתרת השטח תהייה בחזקתה ובשימושה של הנתבעת. </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sz w:val="22"/>
          <w:rtl/>
        </w:rPr>
      </w:pPr>
      <w:r>
        <w:rPr>
          <w:rFonts w:hint="cs"/>
          <w:sz w:val="22"/>
          <w:rtl/>
        </w:rPr>
        <w:t xml:space="preserve">6. </w:t>
      </w:r>
      <w:r>
        <w:rPr>
          <w:rFonts w:hint="cs"/>
          <w:sz w:val="22"/>
          <w:rtl/>
        </w:rPr>
        <w:tab/>
        <w:t xml:space="preserve">בהתאם להסכם, התחייבה הנתבעת לשלם למוכרים תמורת זכויותיהם בשטח שנמכר,  סך של  524,000 ₪. סכום זה לא שיקף את מחיר העסקה האמיתי, שכן בהתאם למוסכם בין הצדדים שווי העסקה עמד על סך 1,200,000 ₪. </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sz w:val="22"/>
          <w:rtl/>
        </w:rPr>
      </w:pPr>
      <w:r>
        <w:rPr>
          <w:rFonts w:hint="cs"/>
          <w:sz w:val="22"/>
          <w:rtl/>
        </w:rPr>
        <w:t xml:space="preserve">7. </w:t>
      </w:r>
      <w:r>
        <w:rPr>
          <w:rFonts w:hint="cs"/>
          <w:sz w:val="22"/>
          <w:rtl/>
        </w:rPr>
        <w:tab/>
        <w:t xml:space="preserve">ביום 24.9.11 דווחה העסקה לשלטונות המס, כאשר בטפסי המש"ח נרשם, כי שווי העסקה הוא 524,000 ₪, כפי שמופיע בהסכם המכר. שלטונות המס לא קיבלו את השווי המוצהר וקבעו את שוויה של העסקה בהתאם למיטב השפיטה על סך 1,300,000 ₪, וזאת בהתבסס על עסקאות להשוואה באותו אזור. בעקבות שומה זו נוהל משא ומתן בין עו"ד מקלנן כבא כוחם של המוכרים לבין שלטונות המס, שבעקבותיו שווי העסקה הופחת לסכום של 835,500 ₪. בהמשך דיווחה הנתבעת לשלטונות המס על השווי האמיתי של העסקה, קרי 1,200,000 ₪ ובהתאם לכך תוקנו שומת המס ונטל המס שעל המוכרים  (התובעת  ושלושת אחיה) לשלם. </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b/>
          <w:bCs/>
          <w:sz w:val="22"/>
          <w:u w:val="single"/>
          <w:rtl/>
        </w:rPr>
      </w:pPr>
      <w:r>
        <w:rPr>
          <w:rFonts w:hint="cs"/>
          <w:b/>
          <w:bCs/>
          <w:sz w:val="22"/>
          <w:u w:val="single"/>
          <w:rtl/>
        </w:rPr>
        <w:t xml:space="preserve">טענות התובעת בכתב התביעה </w:t>
      </w:r>
    </w:p>
    <w:p w:rsidR="00FA5015" w:rsidP="00FA5015" w:rsidRDefault="00FA5015">
      <w:pPr>
        <w:spacing w:line="360" w:lineRule="auto"/>
        <w:ind w:left="720" w:hanging="720"/>
        <w:jc w:val="both"/>
        <w:rPr>
          <w:sz w:val="22"/>
          <w:rtl/>
        </w:rPr>
      </w:pPr>
      <w:r>
        <w:rPr>
          <w:rFonts w:hint="cs"/>
          <w:sz w:val="22"/>
          <w:rtl/>
        </w:rPr>
        <w:t xml:space="preserve">8. </w:t>
      </w:r>
      <w:r>
        <w:rPr>
          <w:rFonts w:hint="cs"/>
          <w:sz w:val="22"/>
          <w:rtl/>
        </w:rPr>
        <w:tab/>
        <w:t>לטענת התובעת, לא הבינה את משמעותו של יפוי הכח הנוטריוני שחתמה עליו לטובת הנתבע, שניצל את בעיותיה הרפואיות והנפשיות והקשיים הכלכליים בהם הם מצויה ,  ושיכנע אותה למכור חלק מההמקרקעין שירשה, לצורך מימון רכישת דירה, כאשר היא הסכימה אך למכירת 2 דונם מקרקע שיעודה חקלאי בלבד.</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sz w:val="22"/>
          <w:rtl/>
        </w:rPr>
      </w:pPr>
      <w:r>
        <w:rPr>
          <w:rFonts w:hint="cs"/>
          <w:sz w:val="22"/>
          <w:rtl/>
        </w:rPr>
        <w:t>9.</w:t>
      </w:r>
      <w:r>
        <w:rPr>
          <w:rFonts w:hint="cs"/>
          <w:sz w:val="22"/>
          <w:rtl/>
        </w:rPr>
        <w:tab/>
        <w:t>לטענת התובעת, החתים אותה הנתבע בנוסף, על יפוי כח בלתי חוזר לטובת עו"ד מקלנן, ופעל לרכישת הבית בו התגוררה בתמורה לסך של 250,000 ₪, ואולם לא העביר לידי המוכרים את מלוא התמורה, והבית לא הועבר על שמה.</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sz w:val="22"/>
          <w:rtl/>
        </w:rPr>
      </w:pPr>
      <w:r>
        <w:rPr>
          <w:rFonts w:hint="cs"/>
          <w:sz w:val="22"/>
          <w:rtl/>
        </w:rPr>
        <w:t>10.</w:t>
      </w:r>
      <w:r>
        <w:rPr>
          <w:rFonts w:hint="cs"/>
          <w:sz w:val="22"/>
          <w:rtl/>
        </w:rPr>
        <w:tab/>
        <w:t xml:space="preserve">זאת ועוד, מתוך סכום העסקה שהתברר לה בדיעבד כי עמד על סך 1,200,000 ₪, היא קיבלה סכום של 524,000 ₪ בלבד. לדבריה, לאחר שהתגלתה לה התרמית, וביקשה לבטל את ההסכם, העביר לה הנתבע  שלושה שיקים, בסכום כולל של 106,000 ₪ כפיצוי על עוגמת הנפש שנגרמה לה. שני שיקים חזרו בשל העדר כיסוי מספיק ושיק שלישי כלל לא הוצג לפירעון. </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sz w:val="22"/>
          <w:rtl/>
        </w:rPr>
      </w:pPr>
      <w:r>
        <w:rPr>
          <w:rFonts w:hint="cs"/>
          <w:sz w:val="22"/>
          <w:rtl/>
        </w:rPr>
        <w:t>11.</w:t>
      </w:r>
      <w:r>
        <w:rPr>
          <w:rFonts w:hint="cs"/>
          <w:sz w:val="22"/>
          <w:rtl/>
        </w:rPr>
        <w:tab/>
        <w:t>התובעת נאלצה להגיש תביעה ("</w:t>
      </w:r>
      <w:r>
        <w:rPr>
          <w:rFonts w:hint="cs"/>
          <w:b/>
          <w:bCs/>
          <w:sz w:val="22"/>
          <w:rtl/>
        </w:rPr>
        <w:t>ההליך הקודם</w:t>
      </w:r>
      <w:r>
        <w:rPr>
          <w:rFonts w:hint="cs"/>
          <w:sz w:val="22"/>
          <w:rtl/>
        </w:rPr>
        <w:t xml:space="preserve">"), בה התבקש סעד של ביטול העיסקה ותשלום פיצוי. התביעה נדחתה,  ואולם ביהמ"ש ציין בפסק הדין מיום 25.8.16, כי לא קיבלה את מלוא התמורה מהעיסקה. </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sz w:val="22"/>
          <w:rtl/>
        </w:rPr>
      </w:pPr>
      <w:r>
        <w:rPr>
          <w:rFonts w:hint="cs"/>
          <w:sz w:val="22"/>
          <w:rtl/>
        </w:rPr>
        <w:t>12.</w:t>
      </w:r>
      <w:r>
        <w:rPr>
          <w:rFonts w:hint="cs"/>
          <w:sz w:val="22"/>
          <w:rtl/>
        </w:rPr>
        <w:tab/>
        <w:t>לטענת התובעת, הנתבע לא פעל בהתאם להסכם ביניהם;  הנתבעת חתמה ביודעין על הסכם מכר בלתי חוקי שנקב בסכום עסקה נמוך שאינו משקף את מחיר העסקה האמיתי ולא שילמה עד היום את התמורה שעליה לשלם; ועו"ד מקלנן מחזיק בכספים שקיבל תמורת ביצוע העיסקה ולא מעבירם לידיה.  משכך, עליהם לשלם לה את מלוא תמורת המכירה בסך 676,000 ₪ , ולפצותה בגין עוגמת הנפש בסך של 600,000 ₪.</w:t>
      </w:r>
    </w:p>
    <w:p w:rsidR="00FA5015" w:rsidP="00FA5015" w:rsidRDefault="00FA5015">
      <w:pPr>
        <w:spacing w:line="360" w:lineRule="auto"/>
        <w:jc w:val="both"/>
        <w:rPr>
          <w:b/>
          <w:bCs/>
          <w:sz w:val="22"/>
          <w:u w:val="single"/>
          <w:rtl/>
        </w:rPr>
      </w:pPr>
    </w:p>
    <w:p w:rsidR="00FA5015" w:rsidP="00FA5015" w:rsidRDefault="00FA5015">
      <w:pPr>
        <w:spacing w:line="360" w:lineRule="auto"/>
        <w:ind w:left="720" w:hanging="720"/>
        <w:jc w:val="both"/>
        <w:rPr>
          <w:b/>
          <w:bCs/>
          <w:sz w:val="22"/>
          <w:u w:val="single"/>
          <w:rtl/>
        </w:rPr>
      </w:pPr>
      <w:r>
        <w:rPr>
          <w:rFonts w:hint="cs"/>
          <w:b/>
          <w:bCs/>
          <w:sz w:val="22"/>
          <w:u w:val="single"/>
          <w:rtl/>
        </w:rPr>
        <w:t>טענות הנתבע</w:t>
      </w:r>
    </w:p>
    <w:p w:rsidR="00FA5015" w:rsidP="00FA5015" w:rsidRDefault="00FA5015">
      <w:pPr>
        <w:spacing w:line="360" w:lineRule="auto"/>
        <w:ind w:left="720" w:hanging="720"/>
        <w:jc w:val="both"/>
        <w:rPr>
          <w:sz w:val="22"/>
          <w:rtl/>
        </w:rPr>
      </w:pPr>
      <w:r>
        <w:rPr>
          <w:rFonts w:hint="cs"/>
          <w:sz w:val="22"/>
          <w:rtl/>
        </w:rPr>
        <w:t xml:space="preserve">13. </w:t>
      </w:r>
      <w:r>
        <w:rPr>
          <w:rFonts w:hint="cs"/>
          <w:sz w:val="22"/>
          <w:rtl/>
        </w:rPr>
        <w:tab/>
        <w:t xml:space="preserve">הנתבע הפנה בכתב ההגנה לפסה"ד בהליך הקודם, לפיו נדחתה טענת התובעת כי החתים אותה על יפוי כח נוטריוני ללא ידיעתה. לטענתו, התובעת היתה מעורבת ופעילה בכל הפעולות והמהלכים שבוצעו לשם חלוקת העיזבון, ידעה על מכירת מלוא יתרת החלקה לנתבעת, הסכימה לעסקה, וקיבלה את מלוא התמורה על פי ההסכם. בנוסף טען, כי התובעת ידעה  שמחיר העסקה הוא 1,200,000 ₪ והיא זו שהתעקשה על רישום סכום נמוך יותר, במטרה להתחמק מתשלום מס. הנתבע הבהיר, כי מלוא התמורה, בסך 1,200,000 ₪, שולמה ע"י </w:t>
      </w:r>
      <w:r>
        <w:rPr>
          <w:rFonts w:hint="cs"/>
          <w:sz w:val="22"/>
          <w:rtl/>
        </w:rPr>
        <w:lastRenderedPageBreak/>
        <w:t>הנתבעת בשיקים, וכי תמורה זו חולקה בין התובעת לאחיה דקל, שקיבל  את חלקו בהתאם לירושה;  סך של 200,000 ₪ הושאר כפיקדון בידי עו"ד מקלנן, לצורך תשלום לרשות המיסים;  לאחר ניכוי הוצאות בסך 35,000 ₪  עמדו לרשות התובעת 783,000 ₪,  מהם הועברו  250,000 ₪ למוכר הדירה שרכשה, כאשר חרף התנגדותו והתנגדות עו"ד מקלנן, העדיפה התובעת לא להעביר את יתרת הסכום בסך 110,000 ₪ לידיו,  והעדיפה לרכוש בכסף משאית. לסיום טען, כי התובעת קיבלה את יתרת הכסף מהעיסקה, בהמחאות.</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b/>
          <w:bCs/>
          <w:sz w:val="22"/>
          <w:u w:val="single"/>
          <w:rtl/>
        </w:rPr>
      </w:pPr>
      <w:r>
        <w:rPr>
          <w:rFonts w:hint="cs"/>
          <w:b/>
          <w:bCs/>
          <w:sz w:val="22"/>
          <w:u w:val="single"/>
          <w:rtl/>
        </w:rPr>
        <w:t>טענות הנתבעת</w:t>
      </w:r>
    </w:p>
    <w:p w:rsidR="00FA5015" w:rsidP="00FA5015" w:rsidRDefault="00FA5015">
      <w:pPr>
        <w:spacing w:line="360" w:lineRule="auto"/>
        <w:ind w:left="720" w:hanging="720"/>
        <w:jc w:val="both"/>
        <w:rPr>
          <w:sz w:val="22"/>
          <w:rtl/>
        </w:rPr>
      </w:pPr>
      <w:r>
        <w:rPr>
          <w:rFonts w:hint="cs"/>
          <w:sz w:val="22"/>
          <w:rtl/>
        </w:rPr>
        <w:t>14.</w:t>
      </w:r>
      <w:r>
        <w:rPr>
          <w:rFonts w:hint="cs"/>
          <w:sz w:val="22"/>
          <w:rtl/>
        </w:rPr>
        <w:tab/>
        <w:t xml:space="preserve">הנתבעת טענה כי דין התביעה להדחות על הסף. לטענתה, התובעת טענה במסגרת ההליך הקודם כי הנתבעת הפרה את חוזה המכר בכך שלא שילמה לה את מלוא התמורה, ולכן דרשה סעד של ביטולו, התובעת אף עתרה לסעד כספי בגין עוגמת נפש, ואולם  לא תבעה  סעד של תשלום התמורה החסרה, שתובעת כעת, ובקשתה לפיצול סעדים, נדחתה. מאחר ועניין ביטולו של ההסכם, בשל אותן טענות המועלות כאן,  כבר נדון והוכרע בהליך הקודם, ופסה"ד הפך חלוט, מנועה התובעת מלתבוע את הסעדים להם היא עותרת כאן. </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sz w:val="22"/>
          <w:rtl/>
        </w:rPr>
      </w:pPr>
      <w:r>
        <w:rPr>
          <w:rFonts w:hint="cs"/>
          <w:sz w:val="22"/>
          <w:rtl/>
        </w:rPr>
        <w:t>15.</w:t>
      </w:r>
      <w:r>
        <w:rPr>
          <w:rFonts w:hint="cs"/>
          <w:sz w:val="22"/>
          <w:rtl/>
        </w:rPr>
        <w:tab/>
        <w:t xml:space="preserve">זאת ועוד, התובעת לא צירפה כתובעים את אחיה, שהינם צדדים לחוזה המכר, ומעולם לא ביקשו לחזור בהם מעיסקת המכר.  </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sz w:val="22"/>
          <w:rtl/>
        </w:rPr>
      </w:pPr>
      <w:r>
        <w:rPr>
          <w:rFonts w:hint="cs"/>
          <w:sz w:val="22"/>
          <w:rtl/>
        </w:rPr>
        <w:t>16.</w:t>
      </w:r>
      <w:r>
        <w:rPr>
          <w:rFonts w:hint="cs"/>
          <w:sz w:val="22"/>
          <w:rtl/>
        </w:rPr>
        <w:tab/>
        <w:t>התובעת לא צירפה חוו"ד לביסוס טענתה בדבר הקשר שבין מצבה הבריאותי והנפשי בשל התנהגות הנתבעים כלפיה, משכך, היא מנועה מלטעון בעניין זכאותה לסעד בגין עוגמת נפש המבוססת על מצבה הרפואי.</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sz w:val="22"/>
          <w:rtl/>
        </w:rPr>
      </w:pPr>
      <w:r>
        <w:rPr>
          <w:rFonts w:hint="cs"/>
          <w:sz w:val="22"/>
          <w:rtl/>
        </w:rPr>
        <w:t>17.</w:t>
      </w:r>
      <w:r>
        <w:rPr>
          <w:rFonts w:hint="cs"/>
          <w:sz w:val="22"/>
          <w:rtl/>
        </w:rPr>
        <w:tab/>
        <w:t xml:space="preserve">לטענת הנתבעת, התובעת ואחיה הפרו את חוזה המכר הפרה יסודית בכך שלא העבירו את הזכויות במגרש על שם הנתבעת עד ליום 30.8.11, ולפי הקבוע בחוזה, היא זכאית לקיזוז בסך 1,304,000 ₪, העולה על הסכום הנתבע. </w:t>
      </w:r>
    </w:p>
    <w:p w:rsidR="00FA5015" w:rsidP="00FA5015" w:rsidRDefault="00FA5015">
      <w:pPr>
        <w:spacing w:line="360" w:lineRule="auto"/>
        <w:ind w:left="720" w:hanging="720"/>
        <w:jc w:val="both"/>
        <w:rPr>
          <w:b/>
          <w:bCs/>
          <w:sz w:val="22"/>
          <w:u w:val="single"/>
          <w:rtl/>
        </w:rPr>
      </w:pPr>
    </w:p>
    <w:p w:rsidR="00FA5015" w:rsidP="00FA5015" w:rsidRDefault="00FA5015">
      <w:pPr>
        <w:spacing w:line="360" w:lineRule="auto"/>
        <w:ind w:left="720" w:hanging="720"/>
        <w:jc w:val="both"/>
        <w:rPr>
          <w:b/>
          <w:bCs/>
          <w:sz w:val="22"/>
          <w:u w:val="single"/>
          <w:rtl/>
        </w:rPr>
      </w:pPr>
      <w:r>
        <w:rPr>
          <w:rFonts w:hint="cs"/>
          <w:b/>
          <w:bCs/>
          <w:sz w:val="22"/>
          <w:u w:val="single"/>
          <w:rtl/>
        </w:rPr>
        <w:t>טענות עו"ד מקלנן</w:t>
      </w:r>
    </w:p>
    <w:p w:rsidR="00FA5015" w:rsidP="00FA5015" w:rsidRDefault="00FA5015">
      <w:pPr>
        <w:spacing w:line="360" w:lineRule="auto"/>
        <w:ind w:left="720" w:hanging="720"/>
        <w:jc w:val="both"/>
        <w:rPr>
          <w:sz w:val="22"/>
          <w:rtl/>
        </w:rPr>
      </w:pPr>
      <w:r>
        <w:rPr>
          <w:rFonts w:hint="cs"/>
          <w:sz w:val="22"/>
          <w:rtl/>
        </w:rPr>
        <w:t>18.</w:t>
      </w:r>
      <w:r>
        <w:rPr>
          <w:rFonts w:hint="cs"/>
          <w:sz w:val="22"/>
          <w:rtl/>
        </w:rPr>
        <w:tab/>
        <w:t xml:space="preserve">עו"ד מקלנן טען כי דין התביעה להדחות על הסף, בשל מעשה בית דין הכולל השתק פלוגתא והשתק עילה. לטענתו, עילת התביעה הינה שהתובעת לא קיבלה את תמורת מכר הנכס. ואולם, העניין כבר נידון והוכרע בפסה"ד שניתן בהליך הקודם, בו נקבע כי הנתבע לא מעל באמון המבקשת, לא רימה אותה  וכי היא ידעה על שוויה האמיתי של העיסקה. </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sz w:val="22"/>
          <w:rtl/>
        </w:rPr>
      </w:pPr>
      <w:r>
        <w:rPr>
          <w:rFonts w:hint="cs"/>
          <w:sz w:val="22"/>
          <w:rtl/>
        </w:rPr>
        <w:t>19.</w:t>
      </w:r>
      <w:r>
        <w:rPr>
          <w:rFonts w:hint="cs"/>
          <w:sz w:val="22"/>
          <w:rtl/>
        </w:rPr>
        <w:tab/>
        <w:t xml:space="preserve">לטענת עו"ד מקלנן, כתב התביעה אינו מגלה עילת תביעה כלפיו. נסיבות החתמת התובעת על יפוי הכח הנוטריוני והשימוש שנעשה בו, הוכרע במסגרת ההליך הקודם וקיים בעניין מעשה </w:t>
      </w:r>
      <w:r>
        <w:rPr>
          <w:rFonts w:hint="cs"/>
          <w:sz w:val="22"/>
          <w:rtl/>
        </w:rPr>
        <w:lastRenderedPageBreak/>
        <w:t xml:space="preserve">בית דין. לטענתו, הוא אינו מחזיק בכספים אלא מחזיק כנאמן ב- 6 שיקים בשווי כולל של 300,000 ₪, שנועדו להבטיח את תשלומי המיסים שטרם הוסדרו ע"י התובעת, וקבלת המסמכים הדרושים לצורך רישום החלקה על שם הנתבעת, בהתאם להסכם המכר. אחד השיקים חולל, השאר לא הוגשו לפרעון. מועד הפרעון של השיקים היה בשנת 2012, וכיום  לא ניתן להפקידם, ומדובר אך בפיסות נייר ללא ערך. </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sz w:val="22"/>
          <w:rtl/>
        </w:rPr>
      </w:pPr>
      <w:r>
        <w:rPr>
          <w:rFonts w:hint="cs"/>
          <w:sz w:val="22"/>
          <w:rtl/>
        </w:rPr>
        <w:t>20.</w:t>
      </w:r>
      <w:r>
        <w:rPr>
          <w:rFonts w:hint="cs"/>
          <w:sz w:val="22"/>
          <w:rtl/>
        </w:rPr>
        <w:tab/>
        <w:t>מהמסמכים שצירפה התובעת לכתב התביעה עולה, כי לתובעת רקע פסיכיאטרי, מאחר ולא צירפה חוו"ד רפואית לתמיכה בטענתה בדבר החמרה במצבה עקב מעשיהם הנטענים של הנתבעים, היא מנועה מלטעון לנזק בראש נזק זה.</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b/>
          <w:bCs/>
          <w:sz w:val="22"/>
          <w:u w:val="single"/>
          <w:rtl/>
        </w:rPr>
      </w:pPr>
      <w:r>
        <w:rPr>
          <w:rFonts w:hint="cs"/>
          <w:b/>
          <w:bCs/>
          <w:sz w:val="22"/>
          <w:u w:val="single"/>
          <w:rtl/>
        </w:rPr>
        <w:t>ההליך</w:t>
      </w:r>
    </w:p>
    <w:p w:rsidR="00FA5015" w:rsidP="00FA5015" w:rsidRDefault="00FA5015">
      <w:pPr>
        <w:spacing w:line="360" w:lineRule="auto"/>
        <w:ind w:left="720" w:hanging="720"/>
        <w:jc w:val="both"/>
        <w:rPr>
          <w:sz w:val="22"/>
          <w:rtl/>
        </w:rPr>
      </w:pPr>
      <w:r>
        <w:rPr>
          <w:rFonts w:hint="cs"/>
          <w:sz w:val="22"/>
          <w:rtl/>
        </w:rPr>
        <w:t>21.</w:t>
      </w:r>
      <w:r>
        <w:rPr>
          <w:rFonts w:hint="cs"/>
          <w:sz w:val="22"/>
          <w:rtl/>
        </w:rPr>
        <w:tab/>
        <w:t xml:space="preserve">ביום 27.12.17 התקיים דיון במהלכו הובהר לתובעת, כי למרות שמדובר בתביעה כספית, 1בהתאם לחוזה מכר, לא ניתן לאכוף את ההסכם ולהורות על העברת כספים מכוחו לה בלבד. בנוסף, העברת הכספים מותנית בתשלום מס שבח ע"י התובעת, שצבר פיגורים המגיעים לגובה העיסקה בכללותה. לפיכך, התקבלה החלטה המורה לב"כ התובעת להודיע על המשך צעדיו בתביעה תוך 14 יום, כאשר ככל שיודיע כי הוא עומד על התביעה, עליו להגיש תגובה לטענות הסף. </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sz w:val="22"/>
          <w:rtl/>
        </w:rPr>
      </w:pPr>
      <w:r>
        <w:rPr>
          <w:rFonts w:hint="cs"/>
          <w:sz w:val="22"/>
          <w:rtl/>
        </w:rPr>
        <w:t>22.</w:t>
      </w:r>
      <w:r>
        <w:rPr>
          <w:rFonts w:hint="cs"/>
          <w:sz w:val="22"/>
          <w:rtl/>
        </w:rPr>
        <w:tab/>
        <w:t>ביום 8.1.18 הודיעה התובעת כי היא עומדת על תביעתה.</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b/>
          <w:bCs/>
          <w:sz w:val="22"/>
          <w:u w:val="single"/>
          <w:rtl/>
        </w:rPr>
      </w:pPr>
      <w:r>
        <w:rPr>
          <w:rFonts w:hint="cs"/>
          <w:b/>
          <w:bCs/>
          <w:sz w:val="22"/>
          <w:u w:val="single"/>
          <w:rtl/>
        </w:rPr>
        <w:t>תגובת התובעת לטענות הסף של הנתבעים 2-3</w:t>
      </w:r>
    </w:p>
    <w:p w:rsidR="00FA5015" w:rsidP="00FA5015" w:rsidRDefault="00FA5015">
      <w:pPr>
        <w:spacing w:line="360" w:lineRule="auto"/>
        <w:ind w:left="720" w:hanging="720"/>
        <w:jc w:val="both"/>
        <w:rPr>
          <w:sz w:val="22"/>
          <w:rtl/>
        </w:rPr>
      </w:pPr>
      <w:r>
        <w:rPr>
          <w:rFonts w:hint="cs"/>
          <w:sz w:val="22"/>
          <w:rtl/>
        </w:rPr>
        <w:t>23.</w:t>
      </w:r>
      <w:r>
        <w:rPr>
          <w:rFonts w:hint="cs"/>
          <w:sz w:val="22"/>
          <w:rtl/>
        </w:rPr>
        <w:tab/>
        <w:t>לטענת התובעת, בהליך הקודם עתרה לביטול החוזה ואילו כעת היא תובעת לקבל סעד כספי, מלוא התמורה בגין מכירת החלקה ופיצוי בגין עוגמת הנפש שנגרמה לה בשל התנהלות הנתבעים.</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sz w:val="22"/>
          <w:rtl/>
        </w:rPr>
      </w:pPr>
      <w:r>
        <w:rPr>
          <w:rFonts w:hint="cs"/>
          <w:sz w:val="22"/>
          <w:rtl/>
        </w:rPr>
        <w:t>24.</w:t>
      </w:r>
      <w:r>
        <w:rPr>
          <w:rFonts w:hint="cs"/>
          <w:sz w:val="22"/>
          <w:rtl/>
        </w:rPr>
        <w:tab/>
        <w:t>התובעת שבה וטענה, כי הנתבע לא פעל בהתאם להסכם ולא העביר לידיה את מלוא תמורת מכירת המקרקעין, כאשר הנתבעת ידעה כי התובעת לא קיבלה את מלוא התמורה, ושיקים שמסרה חוללו.</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sz w:val="22"/>
          <w:rtl/>
        </w:rPr>
      </w:pPr>
      <w:r>
        <w:rPr>
          <w:rFonts w:hint="cs"/>
          <w:sz w:val="22"/>
          <w:rtl/>
        </w:rPr>
        <w:t>25.</w:t>
      </w:r>
      <w:r>
        <w:rPr>
          <w:rFonts w:hint="cs"/>
          <w:sz w:val="22"/>
          <w:rtl/>
        </w:rPr>
        <w:tab/>
        <w:t>מלבד הטענה כי עו"ד מקלנן מחזיק בכספים שהתקבלו תמורת ביצוע העיסקה ולא העבירם לידיה, העלתה התובעת בתגובתה טענות שלא היו בכתב התביעה. לטענתה, עו"ד מקלנן משך כספים מחשבון הנאמנות ולא הפקידם חזרה וכי לא דאג לתשלום המיסים שחלו על העיסקה, וכתוצאה הושתו קנסות על התובעת.</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sz w:val="22"/>
          <w:rtl/>
        </w:rPr>
      </w:pPr>
      <w:r>
        <w:rPr>
          <w:rFonts w:hint="cs"/>
          <w:sz w:val="22"/>
          <w:rtl/>
        </w:rPr>
        <w:lastRenderedPageBreak/>
        <w:t>26.</w:t>
      </w:r>
      <w:r>
        <w:rPr>
          <w:rFonts w:hint="cs"/>
          <w:sz w:val="22"/>
          <w:rtl/>
        </w:rPr>
        <w:tab/>
        <w:t xml:space="preserve">התובעת טענה כי עקב מעשיהם של הנתבעים חלה החמרה במצבה הרפואי, היא סבלה </w:t>
      </w:r>
      <w:bookmarkStart w:name="_GoBack" w:id="2"/>
      <w:bookmarkEnd w:id="2"/>
      <w:r>
        <w:rPr>
          <w:rFonts w:hint="cs"/>
          <w:sz w:val="22"/>
          <w:rtl/>
        </w:rPr>
        <w:t xml:space="preserve">מבעיות בגרון, ניתוח ברחם, בעיות בעיניים וסבלה מבעיות נפשיות קשות. </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sz w:val="22"/>
          <w:rtl/>
        </w:rPr>
      </w:pPr>
      <w:r>
        <w:rPr>
          <w:rFonts w:hint="cs"/>
          <w:sz w:val="22"/>
          <w:rtl/>
        </w:rPr>
        <w:t>27.</w:t>
      </w:r>
      <w:r>
        <w:rPr>
          <w:rFonts w:hint="cs"/>
          <w:sz w:val="22"/>
          <w:rtl/>
        </w:rPr>
        <w:tab/>
        <w:t>התובעת טענה, כי מאחר והיא זו שטיפלה בעניין הירושה, הגישה את התביעה בשמה בלבד, ואולם אחיה מבקשים כעת להצטרף להליך וכי יחד עם תגובתה מוגשת בקשה לתיקון כתב התביעה באופן שהאחים יצורפו כתובעים נוספים.</w:t>
      </w:r>
    </w:p>
    <w:p w:rsidR="00FA5015" w:rsidP="00FA5015" w:rsidRDefault="00FA5015">
      <w:pPr>
        <w:spacing w:line="360" w:lineRule="auto"/>
        <w:ind w:left="720" w:hanging="720"/>
        <w:jc w:val="both"/>
        <w:rPr>
          <w:b/>
          <w:bCs/>
          <w:sz w:val="22"/>
          <w:u w:val="single"/>
          <w:rtl/>
        </w:rPr>
      </w:pPr>
    </w:p>
    <w:p w:rsidR="00FA5015" w:rsidP="00FA5015" w:rsidRDefault="00FA5015">
      <w:pPr>
        <w:spacing w:line="360" w:lineRule="auto"/>
        <w:ind w:left="720" w:hanging="720"/>
        <w:jc w:val="both"/>
        <w:rPr>
          <w:b/>
          <w:bCs/>
          <w:sz w:val="22"/>
          <w:u w:val="single"/>
          <w:rtl/>
        </w:rPr>
      </w:pPr>
      <w:r>
        <w:rPr>
          <w:rFonts w:hint="cs"/>
          <w:b/>
          <w:bCs/>
          <w:sz w:val="22"/>
          <w:u w:val="single"/>
          <w:rtl/>
        </w:rPr>
        <w:t>בקשה לתיקון כתב התביעה</w:t>
      </w:r>
    </w:p>
    <w:p w:rsidR="00FA5015" w:rsidP="00FA5015" w:rsidRDefault="00FA5015">
      <w:pPr>
        <w:spacing w:line="360" w:lineRule="auto"/>
        <w:ind w:left="720" w:hanging="720"/>
        <w:jc w:val="both"/>
        <w:rPr>
          <w:sz w:val="22"/>
          <w:rtl/>
        </w:rPr>
      </w:pPr>
      <w:r>
        <w:rPr>
          <w:rFonts w:hint="cs"/>
          <w:sz w:val="22"/>
          <w:rtl/>
        </w:rPr>
        <w:t>28.</w:t>
      </w:r>
      <w:r>
        <w:rPr>
          <w:rFonts w:hint="cs"/>
          <w:sz w:val="22"/>
          <w:rtl/>
        </w:rPr>
        <w:tab/>
        <w:t xml:space="preserve">על פי הנטען בבקשה, שלושת אחיה של התובעת, עדי; דקל; מאור, היו  צד לעיסקה ואף הם לא קיבלו את מלוא התמורה בגין העיסקה, ולכן מבוקש לתקן את כתב התביעה באופן שיצורפו האחים כתובעים. לטענת התובעת, צירופם של האחים דרוש לצורך בירור הפלוגתאות שבמחלוקת, שמקורן באותה עילה.  </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b/>
          <w:bCs/>
          <w:sz w:val="22"/>
          <w:u w:val="single"/>
          <w:rtl/>
        </w:rPr>
      </w:pPr>
      <w:r>
        <w:rPr>
          <w:rFonts w:hint="cs"/>
          <w:b/>
          <w:bCs/>
          <w:sz w:val="22"/>
          <w:u w:val="single"/>
          <w:rtl/>
        </w:rPr>
        <w:t xml:space="preserve">תגובת הנתבעת לבקשה </w:t>
      </w:r>
    </w:p>
    <w:p w:rsidR="00FA5015" w:rsidP="00FA5015" w:rsidRDefault="00FA5015">
      <w:pPr>
        <w:spacing w:line="360" w:lineRule="auto"/>
        <w:ind w:left="720" w:hanging="720"/>
        <w:jc w:val="both"/>
        <w:rPr>
          <w:sz w:val="22"/>
          <w:rtl/>
        </w:rPr>
      </w:pPr>
      <w:r>
        <w:rPr>
          <w:rFonts w:hint="cs"/>
          <w:sz w:val="22"/>
          <w:rtl/>
        </w:rPr>
        <w:t>29.</w:t>
      </w:r>
      <w:r>
        <w:rPr>
          <w:rFonts w:hint="cs"/>
          <w:sz w:val="22"/>
          <w:rtl/>
        </w:rPr>
        <w:tab/>
        <w:t>הנתבעת  מתירה לשק"ד של ביהמ"ש את עניין תיקון כתב התביעה, באופן שיצורפו שלושת האחים של התובעת , כתובעים, תוך שהיא עומדת על הכרעת שאלות הסף ושומרת על זכותה להגיש כתב הגנה מתוקן.</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b/>
          <w:bCs/>
          <w:sz w:val="22"/>
          <w:u w:val="single"/>
          <w:rtl/>
        </w:rPr>
      </w:pPr>
      <w:r>
        <w:rPr>
          <w:rFonts w:hint="cs"/>
          <w:b/>
          <w:bCs/>
          <w:sz w:val="22"/>
          <w:u w:val="single"/>
          <w:rtl/>
        </w:rPr>
        <w:t>תגובת עו"ד מקלנן לבקשה</w:t>
      </w:r>
    </w:p>
    <w:p w:rsidR="00FA5015" w:rsidP="00FA5015" w:rsidRDefault="00FA5015">
      <w:pPr>
        <w:spacing w:line="360" w:lineRule="auto"/>
        <w:ind w:left="720" w:hanging="720"/>
        <w:jc w:val="both"/>
        <w:rPr>
          <w:sz w:val="22"/>
          <w:rtl/>
        </w:rPr>
      </w:pPr>
      <w:r>
        <w:rPr>
          <w:rFonts w:hint="cs"/>
          <w:sz w:val="22"/>
          <w:rtl/>
        </w:rPr>
        <w:t>30.</w:t>
      </w:r>
      <w:r>
        <w:rPr>
          <w:rFonts w:hint="cs"/>
          <w:sz w:val="22"/>
          <w:rtl/>
        </w:rPr>
        <w:tab/>
        <w:t xml:space="preserve">עו"ד מקלנן מתנגד לבקשה. לטענתו, לא היתה כל מניעה לתובעת להגיש מלכתחילה כתב התביעה יחד עם אחיה. בנוסף, התובעת לא צירפה לבקשתה את כתב התביעה המתוקן. עו"ד מקלנן  שב על טענותיו בדבר קיומו של מעשה בית דין, והעדר עילה כלפיו.  </w:t>
      </w:r>
    </w:p>
    <w:p w:rsidR="00FA5015" w:rsidP="00FA5015" w:rsidRDefault="00FA5015">
      <w:pPr>
        <w:spacing w:line="360" w:lineRule="auto"/>
        <w:ind w:left="720" w:hanging="720"/>
        <w:jc w:val="both"/>
        <w:rPr>
          <w:sz w:val="22"/>
          <w:rtl/>
        </w:rPr>
      </w:pPr>
    </w:p>
    <w:p w:rsidR="00FA5015" w:rsidP="00FA5015" w:rsidRDefault="00FA5015">
      <w:pPr>
        <w:spacing w:line="360" w:lineRule="auto"/>
        <w:ind w:left="720" w:hanging="720"/>
        <w:jc w:val="both"/>
        <w:rPr>
          <w:rFonts w:ascii="Arial" w:hAnsi="Arial"/>
          <w:rtl/>
        </w:rPr>
      </w:pPr>
      <w:r>
        <w:rPr>
          <w:rFonts w:hint="cs" w:ascii="Arial" w:hAnsi="Arial"/>
          <w:b/>
          <w:bCs/>
          <w:u w:val="single"/>
          <w:rtl/>
        </w:rPr>
        <w:t>דיון והכרעה</w:t>
      </w:r>
    </w:p>
    <w:p w:rsidR="00FA5015" w:rsidP="00FA5015" w:rsidRDefault="00FA5015">
      <w:pPr>
        <w:spacing w:line="360" w:lineRule="auto"/>
        <w:ind w:left="720" w:hanging="720"/>
        <w:jc w:val="both"/>
        <w:rPr>
          <w:rFonts w:ascii="Arial" w:hAnsi="Arial"/>
          <w:rtl/>
        </w:rPr>
      </w:pPr>
      <w:r>
        <w:rPr>
          <w:rFonts w:hint="cs" w:ascii="Arial" w:hAnsi="Arial"/>
          <w:rtl/>
        </w:rPr>
        <w:t>31.</w:t>
      </w:r>
      <w:r>
        <w:rPr>
          <w:rFonts w:hint="cs" w:ascii="Arial" w:hAnsi="Arial"/>
          <w:rtl/>
        </w:rPr>
        <w:tab/>
        <w:t>לאחר שעיינתי בכתבי הטענות  ובבקשות  ובתגובות על נספחיהן, מצאתי כי דין הבקשה לדחיה על הסף להתקבל, כמפורט להלן.</w:t>
      </w:r>
    </w:p>
    <w:p w:rsidR="00FA5015" w:rsidP="00FA5015" w:rsidRDefault="00FA5015">
      <w:pPr>
        <w:spacing w:line="360" w:lineRule="auto"/>
        <w:ind w:left="720" w:hanging="720"/>
        <w:jc w:val="both"/>
        <w:rPr>
          <w:rFonts w:ascii="Arial" w:hAnsi="Arial"/>
          <w:rtl/>
        </w:rPr>
      </w:pPr>
    </w:p>
    <w:p w:rsidR="00FA5015" w:rsidP="00FA5015" w:rsidRDefault="00FA5015">
      <w:pPr>
        <w:spacing w:line="360" w:lineRule="auto"/>
        <w:ind w:left="720" w:hanging="720"/>
        <w:jc w:val="both"/>
        <w:rPr>
          <w:rFonts w:ascii="Arial" w:hAnsi="Arial"/>
          <w:rtl/>
        </w:rPr>
      </w:pPr>
      <w:r>
        <w:rPr>
          <w:rFonts w:hint="cs" w:ascii="Arial" w:hAnsi="Arial"/>
          <w:rtl/>
        </w:rPr>
        <w:t>32.</w:t>
      </w:r>
      <w:r>
        <w:rPr>
          <w:rFonts w:hint="cs" w:ascii="Arial" w:hAnsi="Arial"/>
          <w:rtl/>
        </w:rPr>
        <w:tab/>
      </w:r>
      <w:r>
        <w:rPr>
          <w:rFonts w:hint="cs" w:ascii="Arial" w:hAnsi="Arial"/>
          <w:color w:val="000000"/>
          <w:rtl/>
        </w:rPr>
        <w:t xml:space="preserve">על פי </w:t>
      </w:r>
      <w:hyperlink w:history="1" r:id="rId10">
        <w:r>
          <w:rPr>
            <w:rStyle w:val="Hyperlink"/>
            <w:rFonts w:hint="cs" w:ascii="Arial" w:hAnsi="Arial"/>
            <w:rtl/>
          </w:rPr>
          <w:t>תקנה 101(א)(1)</w:t>
        </w:r>
      </w:hyperlink>
      <w:r>
        <w:rPr>
          <w:rFonts w:hint="cs" w:ascii="Arial" w:hAnsi="Arial"/>
          <w:color w:val="000000"/>
          <w:rtl/>
        </w:rPr>
        <w:t xml:space="preserve"> ל</w:t>
      </w:r>
      <w:hyperlink w:history="1" r:id="rId11">
        <w:r>
          <w:rPr>
            <w:rStyle w:val="Hyperlink"/>
            <w:rFonts w:hint="cs" w:ascii="Arial" w:hAnsi="Arial"/>
            <w:rtl/>
          </w:rPr>
          <w:t>תקנות סדר הדין האזרחי</w:t>
        </w:r>
      </w:hyperlink>
      <w:r>
        <w:rPr>
          <w:rFonts w:hint="cs" w:ascii="Arial" w:hAnsi="Arial"/>
          <w:color w:val="000000"/>
          <w:rtl/>
        </w:rPr>
        <w:t xml:space="preserve">, התשמ"ד-1984, רשאי בית המשפט, בכל עת, לדחות תובענה </w:t>
      </w:r>
      <w:r>
        <w:rPr>
          <w:rFonts w:hint="cs" w:ascii="Arial" w:hAnsi="Arial"/>
          <w:rtl/>
        </w:rPr>
        <w:t>נגד הנתבעים, כולם או מקצתם, בשל מעשה בית דין.</w:t>
      </w:r>
    </w:p>
    <w:p w:rsidR="00FA5015" w:rsidP="00FA5015" w:rsidRDefault="00FA5015">
      <w:pPr>
        <w:spacing w:line="360" w:lineRule="auto"/>
        <w:ind w:left="720" w:hanging="720"/>
        <w:jc w:val="both"/>
        <w:rPr>
          <w:rFonts w:ascii="Arial" w:hAnsi="Arial"/>
          <w:color w:val="000000"/>
          <w:rtl/>
        </w:rPr>
      </w:pPr>
    </w:p>
    <w:p w:rsidR="00FA5015" w:rsidP="00FA5015" w:rsidRDefault="00FA5015">
      <w:pPr>
        <w:spacing w:line="360" w:lineRule="auto"/>
        <w:ind w:left="720" w:hanging="720"/>
        <w:jc w:val="both"/>
        <w:rPr>
          <w:rFonts w:ascii="Arial" w:hAnsi="Arial"/>
          <w:color w:val="000000"/>
          <w:rtl/>
        </w:rPr>
      </w:pPr>
      <w:r>
        <w:rPr>
          <w:rFonts w:hint="cs" w:ascii="Arial" w:hAnsi="Arial"/>
          <w:color w:val="000000"/>
          <w:rtl/>
        </w:rPr>
        <w:t>33.</w:t>
      </w:r>
      <w:r>
        <w:rPr>
          <w:rFonts w:hint="cs" w:ascii="Arial" w:hAnsi="Arial"/>
          <w:color w:val="000000"/>
          <w:rtl/>
        </w:rPr>
        <w:tab/>
        <w:t>הלכה  פסוקה היא, כי "</w:t>
      </w:r>
      <w:r>
        <w:rPr>
          <w:rFonts w:hint="cs" w:ascii="Arial" w:hAnsi="Arial"/>
          <w:b/>
          <w:bCs/>
          <w:color w:val="000000"/>
          <w:rtl/>
        </w:rPr>
        <w:t>מחיקת תובענה או דחייתה על הסף הן בגדר אמצעים הננקטים בלית ברירה, ופתרון המחלוקת, לגופה, הוא לעולם עדיף</w:t>
      </w:r>
      <w:r>
        <w:rPr>
          <w:rFonts w:hint="cs" w:ascii="Arial" w:hAnsi="Arial"/>
          <w:color w:val="000000"/>
          <w:rtl/>
        </w:rPr>
        <w:t>" (</w:t>
      </w:r>
      <w:hyperlink w:history="1" r:id="rId12">
        <w:r>
          <w:rPr>
            <w:rStyle w:val="Hyperlink"/>
            <w:rFonts w:hint="cs" w:ascii="Arial" w:hAnsi="Arial"/>
            <w:b/>
            <w:bCs/>
            <w:rtl/>
          </w:rPr>
          <w:t>ע"א 693/83 שמש נ' רשם המקרקעין, פ"ד מ</w:t>
        </w:r>
      </w:hyperlink>
      <w:r>
        <w:rPr>
          <w:rFonts w:hint="cs" w:ascii="Arial" w:hAnsi="Arial"/>
          <w:b/>
          <w:bCs/>
          <w:color w:val="000000"/>
          <w:rtl/>
        </w:rPr>
        <w:t>(2) 668, 671 (1986)</w:t>
      </w:r>
      <w:r>
        <w:rPr>
          <w:rFonts w:hint="cs" w:ascii="Arial" w:hAnsi="Arial"/>
          <w:color w:val="000000"/>
          <w:rtl/>
        </w:rPr>
        <w:t xml:space="preserve">). עם זאת ועל בסיס כלל נימוקי כמפורט להלן, מצאתי כי אין מקום לאפשר לתובעת להעלות את טענותיה בשנית וזאת מחמת מעשה בית דין.  </w:t>
      </w:r>
    </w:p>
    <w:p w:rsidR="00FA5015" w:rsidP="00FA5015" w:rsidRDefault="00FA5015">
      <w:pPr>
        <w:spacing w:line="360" w:lineRule="auto"/>
        <w:ind w:left="720" w:hanging="720"/>
        <w:jc w:val="both"/>
        <w:rPr>
          <w:rFonts w:ascii="Arial" w:hAnsi="Arial"/>
          <w:rtl/>
        </w:rPr>
      </w:pP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rtl/>
        </w:rPr>
      </w:pPr>
      <w:r>
        <w:rPr>
          <w:rFonts w:hint="cs" w:ascii="Arial" w:hAnsi="Arial"/>
          <w:b/>
          <w:bCs/>
          <w:u w:val="single"/>
          <w:rtl/>
        </w:rPr>
        <w:t>מעשה בית-דין</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color w:val="000000" w:themeColor="text1"/>
          <w:rtl/>
        </w:rPr>
      </w:pPr>
      <w:r>
        <w:rPr>
          <w:rFonts w:hint="cs" w:ascii="Arial" w:hAnsi="Arial"/>
          <w:rtl/>
        </w:rPr>
        <w:t>34.</w:t>
      </w:r>
      <w:r>
        <w:rPr>
          <w:rFonts w:hint="cs" w:ascii="Arial" w:hAnsi="Arial"/>
          <w:rtl/>
        </w:rPr>
        <w:tab/>
      </w:r>
      <w:hyperlink w:history="1" r:id="rId13">
        <w:r w:rsidRPr="00FA5015">
          <w:rPr>
            <w:rStyle w:val="Hyperlink"/>
            <w:rFonts w:hint="cs" w:ascii="Arial" w:hAnsi="Arial"/>
            <w:b/>
            <w:bCs/>
            <w:color w:val="000000" w:themeColor="text1"/>
            <w:rtl/>
          </w:rPr>
          <w:t>תקנה 101(א)(1)</w:t>
        </w:r>
      </w:hyperlink>
      <w:r w:rsidRPr="00FA5015">
        <w:rPr>
          <w:rFonts w:hint="cs" w:ascii="Arial" w:hAnsi="Arial"/>
          <w:b/>
          <w:bCs/>
          <w:color w:val="000000" w:themeColor="text1"/>
          <w:rtl/>
        </w:rPr>
        <w:t xml:space="preserve"> ל</w:t>
      </w:r>
      <w:hyperlink w:history="1" r:id="rId14">
        <w:r w:rsidRPr="00FA5015">
          <w:rPr>
            <w:rStyle w:val="Hyperlink"/>
            <w:rFonts w:hint="cs" w:ascii="Arial" w:hAnsi="Arial"/>
            <w:b/>
            <w:bCs/>
            <w:color w:val="000000" w:themeColor="text1"/>
            <w:rtl/>
          </w:rPr>
          <w:t>תקנות סדר הדין האזרחי</w:t>
        </w:r>
      </w:hyperlink>
      <w:r w:rsidRPr="00FA5015">
        <w:rPr>
          <w:rFonts w:hint="cs" w:ascii="Arial" w:hAnsi="Arial"/>
          <w:b/>
          <w:bCs/>
          <w:color w:val="000000" w:themeColor="text1"/>
          <w:rtl/>
        </w:rPr>
        <w:t xml:space="preserve">, </w:t>
      </w:r>
      <w:r>
        <w:rPr>
          <w:rFonts w:hint="cs" w:ascii="Arial" w:hAnsi="Arial"/>
          <w:color w:val="000000" w:themeColor="text1"/>
          <w:rtl/>
        </w:rPr>
        <w:t>התשמ"ד-1984 (להלן: "</w:t>
      </w:r>
      <w:r>
        <w:rPr>
          <w:rFonts w:hint="cs" w:ascii="Arial" w:hAnsi="Arial"/>
          <w:b/>
          <w:bCs/>
          <w:color w:val="000000" w:themeColor="text1"/>
          <w:rtl/>
        </w:rPr>
        <w:t>תקנות סדר הדין האזרחי</w:t>
      </w:r>
      <w:r>
        <w:rPr>
          <w:rFonts w:hint="cs" w:ascii="Arial" w:hAnsi="Arial"/>
          <w:color w:val="000000" w:themeColor="text1"/>
          <w:rtl/>
        </w:rPr>
        <w:t>"), קובעת כדלקמן:</w:t>
      </w:r>
    </w:p>
    <w:p w:rsidR="00FA5015" w:rsidP="00FA5015" w:rsidRDefault="00FA5015">
      <w:pPr>
        <w:tabs>
          <w:tab w:val="left" w:pos="800"/>
        </w:tabs>
        <w:overflowPunct w:val="0"/>
        <w:autoSpaceDE w:val="0"/>
        <w:autoSpaceDN w:val="0"/>
        <w:adjustRightInd w:val="0"/>
        <w:spacing w:line="360" w:lineRule="auto"/>
        <w:ind w:left="1440" w:right="851" w:hanging="720"/>
        <w:jc w:val="both"/>
        <w:rPr>
          <w:rFonts w:ascii="Arial" w:hAnsi="Arial"/>
          <w:b/>
          <w:bCs/>
          <w:rtl/>
        </w:rPr>
      </w:pPr>
      <w:r>
        <w:rPr>
          <w:rFonts w:hint="cs" w:ascii="Arial" w:hAnsi="Arial"/>
          <w:rtl/>
        </w:rPr>
        <w:tab/>
        <w:t>"</w:t>
      </w:r>
      <w:r>
        <w:rPr>
          <w:rFonts w:hint="cs" w:ascii="Arial" w:hAnsi="Arial"/>
          <w:b/>
          <w:bCs/>
          <w:rtl/>
        </w:rPr>
        <w:t xml:space="preserve">(א) </w:t>
      </w:r>
      <w:r>
        <w:rPr>
          <w:rFonts w:hint="cs" w:ascii="Arial" w:hAnsi="Arial"/>
          <w:b/>
          <w:bCs/>
          <w:rtl/>
        </w:rPr>
        <w:tab/>
        <w:t xml:space="preserve">בית המשפט או רשם שהוא שופט רשאי, בכל עת, לדחות תובענה נגד הנתבעים, כולם או מקצתם, מאחד הנימוקים האלה: </w:t>
      </w:r>
    </w:p>
    <w:p w:rsidR="00FA5015" w:rsidP="00FA5015" w:rsidRDefault="00FA5015">
      <w:pPr>
        <w:tabs>
          <w:tab w:val="left" w:pos="800"/>
        </w:tabs>
        <w:overflowPunct w:val="0"/>
        <w:autoSpaceDE w:val="0"/>
        <w:autoSpaceDN w:val="0"/>
        <w:adjustRightInd w:val="0"/>
        <w:spacing w:line="360" w:lineRule="auto"/>
        <w:ind w:left="720" w:right="851" w:hanging="720"/>
        <w:jc w:val="both"/>
        <w:rPr>
          <w:rFonts w:ascii="Arial" w:hAnsi="Arial"/>
          <w:rtl/>
        </w:rPr>
      </w:pPr>
      <w:r>
        <w:rPr>
          <w:rFonts w:hint="cs" w:ascii="Arial" w:hAnsi="Arial"/>
          <w:b/>
          <w:bCs/>
          <w:rtl/>
        </w:rPr>
        <w:tab/>
      </w:r>
      <w:r>
        <w:rPr>
          <w:rFonts w:hint="cs" w:ascii="Arial" w:hAnsi="Arial"/>
          <w:b/>
          <w:bCs/>
          <w:rtl/>
        </w:rPr>
        <w:tab/>
      </w:r>
      <w:r>
        <w:rPr>
          <w:rFonts w:hint="cs" w:ascii="Arial" w:hAnsi="Arial"/>
          <w:b/>
          <w:bCs/>
          <w:rtl/>
        </w:rPr>
        <w:tab/>
        <w:t>(1) מעשה בית דין;</w:t>
      </w:r>
      <w:r>
        <w:rPr>
          <w:rFonts w:hint="cs" w:ascii="Arial" w:hAnsi="Arial"/>
          <w:rtl/>
        </w:rPr>
        <w:t xml:space="preserve">" </w:t>
      </w:r>
    </w:p>
    <w:p w:rsidR="00FA5015" w:rsidP="00FA5015" w:rsidRDefault="00FA5015">
      <w:pPr>
        <w:tabs>
          <w:tab w:val="left" w:pos="800"/>
        </w:tabs>
        <w:overflowPunct w:val="0"/>
        <w:autoSpaceDE w:val="0"/>
        <w:autoSpaceDN w:val="0"/>
        <w:adjustRightInd w:val="0"/>
        <w:spacing w:line="360" w:lineRule="auto"/>
        <w:jc w:val="both"/>
        <w:rPr>
          <w:rFonts w:ascii="Arial" w:hAnsi="Arial"/>
        </w:rPr>
      </w:pPr>
      <w:r>
        <w:rPr>
          <w:rFonts w:hint="cs" w:ascii="Arial" w:hAnsi="Arial"/>
          <w:rtl/>
        </w:rPr>
        <w:t xml:space="preserve"> </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b/>
          <w:bCs/>
          <w:rtl/>
        </w:rPr>
      </w:pPr>
      <w:r>
        <w:rPr>
          <w:rFonts w:hint="cs" w:ascii="Arial" w:hAnsi="Arial"/>
          <w:rtl/>
        </w:rPr>
        <w:tab/>
        <w:t>הכלל בדבר מעשה בית דין משמעו, כי צדדים להליך מנועים מלחזור ולהתדיין ביניהם בבתי המשפט בכל עניין או שאלה שנדונו והוכרעו בפסק דין סופי. בבסיס הכלל עומדים טעמים שבטובת הציבור שעיקרם הפעלה יעילה של מערכת בתי המשפט ומניעת כפל התדיינות והכרעות סותרות העלולות לפגוע ביציבות המשפט ובוודאות ההחלטות הניתנות מכוחו (</w:t>
      </w:r>
      <w:r>
        <w:rPr>
          <w:rFonts w:hint="cs" w:ascii="Arial" w:hAnsi="Arial"/>
          <w:b/>
          <w:bCs/>
          <w:color w:val="000000"/>
          <w:rtl/>
        </w:rPr>
        <w:t>ע"א 127/06</w:t>
      </w:r>
      <w:r>
        <w:rPr>
          <w:rFonts w:hint="cs" w:ascii="Arial" w:hAnsi="Arial"/>
          <w:b/>
          <w:bCs/>
          <w:rtl/>
        </w:rPr>
        <w:t xml:space="preserve"> בנק</w:t>
      </w:r>
      <w:r>
        <w:rPr>
          <w:rFonts w:ascii="Arial" w:hAnsi="Arial"/>
          <w:b/>
          <w:bCs/>
        </w:rPr>
        <w:t xml:space="preserve"> </w:t>
      </w:r>
      <w:r>
        <w:rPr>
          <w:rFonts w:hint="cs" w:ascii="Arial" w:hAnsi="Arial"/>
          <w:b/>
          <w:bCs/>
          <w:rtl/>
        </w:rPr>
        <w:t>הפועלים</w:t>
      </w:r>
      <w:r>
        <w:rPr>
          <w:rFonts w:ascii="Arial" w:hAnsi="Arial"/>
          <w:b/>
          <w:bCs/>
        </w:rPr>
        <w:t xml:space="preserve"> </w:t>
      </w:r>
      <w:r>
        <w:rPr>
          <w:rFonts w:hint="cs" w:ascii="Arial" w:hAnsi="Arial"/>
          <w:b/>
          <w:bCs/>
          <w:rtl/>
        </w:rPr>
        <w:t>בע</w:t>
      </w:r>
      <w:r>
        <w:rPr>
          <w:rFonts w:ascii="Arial" w:hAnsi="Arial"/>
          <w:b/>
          <w:bCs/>
        </w:rPr>
        <w:t>"</w:t>
      </w:r>
      <w:r>
        <w:rPr>
          <w:rFonts w:hint="cs" w:ascii="Arial" w:hAnsi="Arial"/>
          <w:b/>
          <w:bCs/>
          <w:rtl/>
        </w:rPr>
        <w:t>מ</w:t>
      </w:r>
      <w:r>
        <w:rPr>
          <w:rFonts w:ascii="Arial" w:hAnsi="Arial"/>
          <w:b/>
          <w:bCs/>
        </w:rPr>
        <w:t xml:space="preserve"> - </w:t>
      </w:r>
      <w:r>
        <w:rPr>
          <w:rFonts w:hint="cs" w:ascii="Arial" w:hAnsi="Arial"/>
          <w:b/>
          <w:bCs/>
          <w:rtl/>
        </w:rPr>
        <w:t>משכן</w:t>
      </w:r>
      <w:r>
        <w:rPr>
          <w:rFonts w:ascii="Arial" w:hAnsi="Arial"/>
          <w:b/>
          <w:bCs/>
        </w:rPr>
        <w:t xml:space="preserve"> </w:t>
      </w:r>
      <w:r>
        <w:rPr>
          <w:rFonts w:hint="cs" w:ascii="Arial" w:hAnsi="Arial"/>
          <w:b/>
          <w:bCs/>
          <w:rtl/>
        </w:rPr>
        <w:t>נ</w:t>
      </w:r>
      <w:r>
        <w:rPr>
          <w:rFonts w:ascii="Arial" w:hAnsi="Arial"/>
          <w:b/>
          <w:bCs/>
        </w:rPr>
        <w:t xml:space="preserve">' </w:t>
      </w:r>
      <w:r>
        <w:rPr>
          <w:rFonts w:hint="cs" w:ascii="Arial" w:hAnsi="Arial"/>
          <w:b/>
          <w:bCs/>
          <w:rtl/>
        </w:rPr>
        <w:t xml:space="preserve"> לאה</w:t>
      </w:r>
      <w:r>
        <w:rPr>
          <w:rFonts w:ascii="Arial" w:hAnsi="Arial"/>
          <w:b/>
          <w:bCs/>
        </w:rPr>
        <w:t xml:space="preserve"> </w:t>
      </w:r>
      <w:r>
        <w:rPr>
          <w:rFonts w:hint="cs" w:ascii="Arial" w:hAnsi="Arial"/>
          <w:b/>
          <w:bCs/>
          <w:rtl/>
        </w:rPr>
        <w:t>נגר (פורסם ביום 19.2.2009)</w:t>
      </w:r>
    </w:p>
    <w:p w:rsidR="00FA5015" w:rsidP="00FA5015" w:rsidRDefault="00FA5015">
      <w:pPr>
        <w:tabs>
          <w:tab w:val="left" w:pos="800"/>
        </w:tabs>
        <w:overflowPunct w:val="0"/>
        <w:autoSpaceDE w:val="0"/>
        <w:autoSpaceDN w:val="0"/>
        <w:adjustRightInd w:val="0"/>
        <w:spacing w:line="360" w:lineRule="auto"/>
        <w:jc w:val="both"/>
        <w:rPr>
          <w:rFonts w:ascii="Arial" w:hAnsi="Arial"/>
          <w:rtl/>
        </w:rPr>
      </w:pPr>
    </w:p>
    <w:p w:rsidR="00FA5015" w:rsidP="00FA5015" w:rsidRDefault="00FA5015">
      <w:pPr>
        <w:tabs>
          <w:tab w:val="left" w:pos="800"/>
        </w:tabs>
        <w:overflowPunct w:val="0"/>
        <w:autoSpaceDE w:val="0"/>
        <w:autoSpaceDN w:val="0"/>
        <w:adjustRightInd w:val="0"/>
        <w:spacing w:line="360" w:lineRule="auto"/>
        <w:jc w:val="both"/>
        <w:rPr>
          <w:rFonts w:ascii="Arial" w:hAnsi="Arial"/>
          <w:color w:val="000000" w:themeColor="text1"/>
          <w:rtl/>
        </w:rPr>
      </w:pPr>
      <w:r>
        <w:rPr>
          <w:rFonts w:hint="cs" w:ascii="Arial" w:hAnsi="Arial"/>
          <w:rtl/>
        </w:rPr>
        <w:t>35.</w:t>
      </w:r>
      <w:r>
        <w:rPr>
          <w:rFonts w:hint="cs" w:ascii="Arial" w:hAnsi="Arial"/>
          <w:rtl/>
        </w:rPr>
        <w:tab/>
      </w:r>
      <w:r>
        <w:rPr>
          <w:rFonts w:hint="cs" w:ascii="Arial" w:hAnsi="Arial"/>
          <w:color w:val="000000" w:themeColor="text1"/>
          <w:rtl/>
        </w:rPr>
        <w:t xml:space="preserve">על פי הפסיקה, כלל 'מעשה בית דין' מושתת על שני ענפים: 'השתק עילה' ו'השתק פלוגתא'. </w:t>
      </w:r>
    </w:p>
    <w:p w:rsidR="00FA5015" w:rsidP="00FA5015" w:rsidRDefault="00FA5015">
      <w:pPr>
        <w:tabs>
          <w:tab w:val="left" w:pos="800"/>
        </w:tabs>
        <w:overflowPunct w:val="0"/>
        <w:autoSpaceDE w:val="0"/>
        <w:autoSpaceDN w:val="0"/>
        <w:adjustRightInd w:val="0"/>
        <w:spacing w:line="360" w:lineRule="auto"/>
        <w:ind w:left="800"/>
        <w:jc w:val="both"/>
        <w:rPr>
          <w:rFonts w:ascii="Arial" w:hAnsi="Arial"/>
          <w:color w:val="000000" w:themeColor="text1"/>
        </w:rPr>
      </w:pPr>
      <w:r>
        <w:rPr>
          <w:rFonts w:hint="cs" w:ascii="Arial" w:hAnsi="Arial"/>
          <w:color w:val="000000" w:themeColor="text1"/>
          <w:rtl/>
        </w:rPr>
        <w:t>'השתק עילה' חל מקום שתביעה נדונה לגופה והוכרעה ע"י בימ"ש מוסמך, שוב אסור להיזקק לתביעה נוספת בין אותם צדדים או חליפיהם, אם זו מבוססת על עילה זהה (</w:t>
      </w:r>
      <w:hyperlink w:history="1" r:id="rId15">
        <w:r>
          <w:rPr>
            <w:rStyle w:val="Hyperlink"/>
            <w:rFonts w:hint="cs" w:ascii="Arial" w:hAnsi="Arial"/>
            <w:b/>
            <w:bCs/>
            <w:color w:val="000000" w:themeColor="text1"/>
            <w:rtl/>
          </w:rPr>
          <w:t>ע"א 246/66 קלוז'נר נגד שמעוני, פ"ד כב</w:t>
        </w:r>
      </w:hyperlink>
      <w:r>
        <w:rPr>
          <w:rFonts w:hint="cs" w:ascii="Arial" w:hAnsi="Arial"/>
          <w:b/>
          <w:bCs/>
          <w:color w:val="000000" w:themeColor="text1"/>
          <w:rtl/>
        </w:rPr>
        <w:t xml:space="preserve">(2) 561, 586; נינה </w:t>
      </w:r>
      <w:hyperlink w:history="1" r:id="rId16">
        <w:r>
          <w:rPr>
            <w:rStyle w:val="Hyperlink"/>
            <w:rFonts w:hint="cs" w:ascii="Arial" w:hAnsi="Arial"/>
            <w:b/>
            <w:bCs/>
            <w:color w:val="000000" w:themeColor="text1"/>
            <w:rtl/>
          </w:rPr>
          <w:t>זלצמן מעשה בית דין בהליך האזרחי</w:t>
        </w:r>
      </w:hyperlink>
      <w:r>
        <w:rPr>
          <w:rFonts w:hint="cs" w:ascii="Arial" w:hAnsi="Arial"/>
          <w:b/>
          <w:bCs/>
          <w:color w:val="000000" w:themeColor="text1"/>
          <w:rtl/>
        </w:rPr>
        <w:t xml:space="preserve"> (הוצאת רמות, 1998) 4-3; </w:t>
      </w:r>
      <w:hyperlink w:history="1" r:id="rId17">
        <w:r>
          <w:rPr>
            <w:rStyle w:val="Hyperlink"/>
            <w:rFonts w:hint="cs" w:ascii="Arial" w:hAnsi="Arial"/>
            <w:b/>
            <w:bCs/>
            <w:color w:val="000000" w:themeColor="text1"/>
            <w:rtl/>
          </w:rPr>
          <w:t>רע"א 6830/00 ברנוביץ נ' תאומים, פ"ד נז</w:t>
        </w:r>
      </w:hyperlink>
      <w:r>
        <w:rPr>
          <w:rFonts w:hint="cs" w:ascii="Arial" w:hAnsi="Arial"/>
          <w:b/>
          <w:bCs/>
          <w:color w:val="000000" w:themeColor="text1"/>
          <w:rtl/>
        </w:rPr>
        <w:t xml:space="preserve">(5) 691 (2003); </w:t>
      </w:r>
      <w:hyperlink w:history="1" r:id="rId18">
        <w:r>
          <w:rPr>
            <w:rStyle w:val="Hyperlink"/>
            <w:rFonts w:hint="cs" w:ascii="Arial" w:hAnsi="Arial"/>
            <w:b/>
            <w:bCs/>
            <w:color w:val="000000" w:themeColor="text1"/>
            <w:rtl/>
          </w:rPr>
          <w:t>ע"א 735/07</w:t>
        </w:r>
      </w:hyperlink>
      <w:r>
        <w:rPr>
          <w:rFonts w:hint="cs" w:ascii="Arial" w:hAnsi="Arial"/>
          <w:b/>
          <w:bCs/>
          <w:color w:val="000000" w:themeColor="text1"/>
          <w:rtl/>
        </w:rPr>
        <w:t xml:space="preserve"> צמרות חברה לבניין נ' בנק מזרחי טפחות</w:t>
      </w:r>
      <w:r>
        <w:rPr>
          <w:rFonts w:hint="cs" w:ascii="Arial" w:hAnsi="Arial"/>
          <w:color w:val="000000" w:themeColor="text1"/>
          <w:rtl/>
        </w:rPr>
        <w:t xml:space="preserve"> (2011)- להלן: "</w:t>
      </w:r>
      <w:r>
        <w:rPr>
          <w:rFonts w:hint="cs" w:ascii="Arial" w:hAnsi="Arial"/>
          <w:b/>
          <w:bCs/>
          <w:color w:val="000000" w:themeColor="text1"/>
          <w:rtl/>
        </w:rPr>
        <w:t>פרשת צמרות</w:t>
      </w:r>
      <w:r>
        <w:rPr>
          <w:rFonts w:hint="cs" w:ascii="Arial" w:hAnsi="Arial"/>
          <w:color w:val="000000" w:themeColor="text1"/>
          <w:rtl/>
        </w:rPr>
        <w:t>")). כפי שנקבע פעמים רבות בפסיקה, הכלל בדבר השתק עילה נועד למנוע הטרדת בעל הדין שכנגד על דרך של אילוצו להתדיין בעניין שכבר נדון והוכרע. בנוסף,  מיועד הכלל  למנוע העמסת יתר על בתי המשפט בדיונים כפולים ומיותרים. לפיכך, אם מדובר בעילה שכבר נדונה, היא לא תתברר פעם נוספת (</w:t>
      </w:r>
      <w:hyperlink w:history="1" r:id="rId19">
        <w:r>
          <w:rPr>
            <w:rStyle w:val="Hyperlink"/>
            <w:rFonts w:hint="cs" w:ascii="Arial" w:hAnsi="Arial"/>
            <w:b/>
            <w:bCs/>
            <w:color w:val="000000" w:themeColor="text1"/>
            <w:rtl/>
          </w:rPr>
          <w:t>ע"א 2035/03</w:t>
        </w:r>
      </w:hyperlink>
      <w:r>
        <w:rPr>
          <w:rFonts w:hint="cs" w:ascii="Arial" w:hAnsi="Arial"/>
          <w:color w:val="000000" w:themeColor="text1"/>
          <w:rtl/>
        </w:rPr>
        <w:t xml:space="preserve"> </w:t>
      </w:r>
      <w:r>
        <w:rPr>
          <w:rFonts w:hint="cs" w:ascii="Arial" w:hAnsi="Arial"/>
          <w:b/>
          <w:bCs/>
          <w:color w:val="000000" w:themeColor="text1"/>
          <w:rtl/>
        </w:rPr>
        <w:t>לב יסמין בע"מ נ' ת.ג.י. בע"מ</w:t>
      </w:r>
      <w:r>
        <w:rPr>
          <w:rFonts w:hint="cs" w:ascii="Arial" w:hAnsi="Arial"/>
          <w:color w:val="000000" w:themeColor="text1"/>
          <w:rtl/>
        </w:rPr>
        <w:t xml:space="preserve"> [פורסם בנבו] (2004)- (להלן: "</w:t>
      </w:r>
      <w:r>
        <w:rPr>
          <w:rFonts w:hint="cs" w:ascii="Arial" w:hAnsi="Arial"/>
          <w:b/>
          <w:bCs/>
          <w:color w:val="000000" w:themeColor="text1"/>
          <w:rtl/>
        </w:rPr>
        <w:t>פרשת לב יסמין</w:t>
      </w:r>
      <w:r>
        <w:rPr>
          <w:rFonts w:hint="cs" w:ascii="Arial" w:hAnsi="Arial"/>
          <w:color w:val="000000" w:themeColor="text1"/>
          <w:rtl/>
        </w:rPr>
        <w:t xml:space="preserve">"). </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color w:val="000000" w:themeColor="text1"/>
          <w:rtl/>
        </w:rPr>
      </w:pP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b/>
          <w:bCs/>
          <w:color w:val="000000" w:themeColor="text1"/>
        </w:rPr>
      </w:pPr>
      <w:r>
        <w:rPr>
          <w:rFonts w:hint="cs" w:ascii="Arial" w:hAnsi="Arial"/>
          <w:color w:val="000000" w:themeColor="text1"/>
          <w:rtl/>
        </w:rPr>
        <w:t>36.</w:t>
      </w:r>
      <w:r>
        <w:rPr>
          <w:rFonts w:hint="cs" w:ascii="Arial" w:hAnsi="Arial"/>
          <w:color w:val="000000" w:themeColor="text1"/>
          <w:rtl/>
        </w:rPr>
        <w:tab/>
        <w:t>לעניין זה נבחנת שאלת זהות העילה בדרך מרחיבה הכלל הוא, כי "</w:t>
      </w:r>
      <w:r>
        <w:rPr>
          <w:rFonts w:hint="cs" w:ascii="Arial" w:hAnsi="Arial"/>
          <w:b/>
          <w:bCs/>
          <w:color w:val="000000" w:themeColor="text1"/>
          <w:rtl/>
        </w:rPr>
        <w:t>אין לדקדק במרכיבים משניים, ויש לראות את העיקר – את התשתית הבסיסית של העילה</w:t>
      </w:r>
      <w:r>
        <w:rPr>
          <w:rFonts w:hint="cs" w:ascii="Arial" w:hAnsi="Arial"/>
          <w:color w:val="000000" w:themeColor="text1"/>
          <w:rtl/>
        </w:rPr>
        <w:t xml:space="preserve">" (ראו גם: </w:t>
      </w:r>
      <w:hyperlink w:history="1" r:id="rId20">
        <w:r>
          <w:rPr>
            <w:rStyle w:val="Hyperlink"/>
            <w:rFonts w:hint="cs" w:ascii="Arial" w:hAnsi="Arial"/>
            <w:b/>
            <w:bCs/>
            <w:color w:val="000000" w:themeColor="text1"/>
            <w:rtl/>
          </w:rPr>
          <w:t>ע"א 8/83 דן גורדון נ' מונאש - מושב עובדים, פ"ד לח</w:t>
        </w:r>
      </w:hyperlink>
      <w:r>
        <w:rPr>
          <w:rFonts w:hint="cs" w:ascii="Arial" w:hAnsi="Arial"/>
          <w:color w:val="000000" w:themeColor="text1"/>
          <w:rtl/>
        </w:rPr>
        <w:t>(</w:t>
      </w:r>
      <w:r>
        <w:rPr>
          <w:rFonts w:hint="cs" w:ascii="Arial" w:hAnsi="Arial"/>
          <w:b/>
          <w:bCs/>
          <w:color w:val="000000" w:themeColor="text1"/>
          <w:rtl/>
        </w:rPr>
        <w:t xml:space="preserve">4) 797 </w:t>
      </w:r>
      <w:r>
        <w:rPr>
          <w:rFonts w:hint="cs" w:ascii="Arial" w:hAnsi="Arial"/>
          <w:color w:val="000000" w:themeColor="text1"/>
          <w:rtl/>
        </w:rPr>
        <w:t>(1985) - להלן: "</w:t>
      </w:r>
      <w:r>
        <w:rPr>
          <w:rFonts w:hint="cs" w:ascii="Arial" w:hAnsi="Arial"/>
          <w:b/>
          <w:bCs/>
          <w:color w:val="000000" w:themeColor="text1"/>
          <w:rtl/>
        </w:rPr>
        <w:t>פרשת גורדון</w:t>
      </w:r>
      <w:r>
        <w:rPr>
          <w:rFonts w:hint="cs" w:ascii="Arial" w:hAnsi="Arial"/>
          <w:color w:val="000000" w:themeColor="text1"/>
          <w:rtl/>
        </w:rPr>
        <w:t xml:space="preserve">"). </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color w:val="000000" w:themeColor="text1"/>
          <w:rtl/>
        </w:rPr>
      </w:pPr>
      <w:r>
        <w:rPr>
          <w:rFonts w:hint="cs" w:ascii="Arial" w:hAnsi="Arial"/>
          <w:color w:val="000000" w:themeColor="text1"/>
          <w:rtl/>
        </w:rPr>
        <w:tab/>
      </w:r>
      <w:r>
        <w:rPr>
          <w:rFonts w:hint="cs" w:ascii="Arial" w:hAnsi="Arial"/>
          <w:b/>
          <w:bCs/>
          <w:color w:val="000000" w:themeColor="text1"/>
          <w:rtl/>
        </w:rPr>
        <w:t>בפרשת צמרות</w:t>
      </w:r>
      <w:r>
        <w:rPr>
          <w:rFonts w:hint="cs" w:ascii="Arial" w:hAnsi="Arial"/>
          <w:color w:val="000000" w:themeColor="text1"/>
          <w:rtl/>
        </w:rPr>
        <w:t xml:space="preserve"> נקבע,  כי: </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color w:val="000000" w:themeColor="text1"/>
          <w:rtl/>
        </w:rPr>
      </w:pPr>
      <w:r>
        <w:rPr>
          <w:rFonts w:hint="cs" w:ascii="Arial" w:hAnsi="Arial"/>
          <w:color w:val="000000" w:themeColor="text1"/>
          <w:rtl/>
        </w:rPr>
        <w:tab/>
      </w:r>
      <w:r>
        <w:rPr>
          <w:rFonts w:hint="cs" w:ascii="Arial" w:hAnsi="Arial"/>
          <w:color w:val="000000" w:themeColor="text1"/>
          <w:rtl/>
        </w:rPr>
        <w:tab/>
        <w:t>"</w:t>
      </w:r>
      <w:r>
        <w:rPr>
          <w:rFonts w:hint="cs" w:ascii="Arial" w:hAnsi="Arial"/>
          <w:b/>
          <w:bCs/>
          <w:color w:val="000000" w:themeColor="text1"/>
          <w:rtl/>
        </w:rPr>
        <w:t xml:space="preserve">התשתית הבסיסית של העילה תילמד מכתבי הטענות של הצדדים, ומהמערכת העובדתית הכוללת ששמשה יסוד להליך ולפסק הדין. בגדר 'עילת התביעה' תיכלל גם כל טענה אפשרית הקשורה קשר ענייני הדוק בעילה, אפילו לא הועלתה בפועל על ידי התובע; כלל 'השתק העילה' ימנע מתובע בהליך מאוחר מלהעלות טענות או לבקש סעדים שהוא </w:t>
      </w:r>
      <w:r>
        <w:rPr>
          <w:rFonts w:hint="cs" w:ascii="Arial" w:hAnsi="Arial"/>
          <w:b/>
          <w:bCs/>
          <w:color w:val="000000" w:themeColor="text1"/>
          <w:rtl/>
        </w:rPr>
        <w:lastRenderedPageBreak/>
        <w:t>יכול היה להעלותם ולבקשם במסגרת עילת התביעה בהליך הראשון אך לא עשה כן (ענין מונאש, בעמ' 801; זלצמן, בעמ' 31)</w:t>
      </w:r>
      <w:r>
        <w:rPr>
          <w:rFonts w:hint="cs" w:ascii="Arial" w:hAnsi="Arial"/>
          <w:color w:val="000000" w:themeColor="text1"/>
          <w:rtl/>
        </w:rPr>
        <w:t>".</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color w:val="000000" w:themeColor="text1"/>
          <w:rtl/>
        </w:rPr>
      </w:pP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color w:val="000000" w:themeColor="text1"/>
          <w:rtl/>
        </w:rPr>
      </w:pPr>
      <w:r>
        <w:rPr>
          <w:rFonts w:hint="cs" w:ascii="Arial" w:hAnsi="Arial"/>
          <w:color w:val="000000" w:themeColor="text1"/>
          <w:rtl/>
        </w:rPr>
        <w:t>37.</w:t>
      </w:r>
      <w:r>
        <w:rPr>
          <w:rFonts w:hint="cs" w:ascii="Arial" w:hAnsi="Arial"/>
          <w:color w:val="000000" w:themeColor="text1"/>
          <w:rtl/>
        </w:rPr>
        <w:tab/>
        <w:t>זוהי ההלכה באשר לכלל השתק העילה.</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color w:val="000000" w:themeColor="text1"/>
          <w:rtl/>
        </w:rPr>
      </w:pPr>
      <w:r>
        <w:rPr>
          <w:rFonts w:hint="cs" w:ascii="Arial" w:hAnsi="Arial"/>
          <w:color w:val="000000" w:themeColor="text1"/>
          <w:rtl/>
        </w:rPr>
        <w:tab/>
        <w:t>ואילו הכלל בדבר "השתק פלוגתא": "</w:t>
      </w:r>
      <w:r>
        <w:rPr>
          <w:rFonts w:hint="cs" w:ascii="Arial" w:hAnsi="Arial"/>
          <w:b/>
          <w:bCs/>
          <w:color w:val="000000" w:themeColor="text1"/>
          <w:rtl/>
        </w:rPr>
        <w:t>מקים מחסום דיוני בפני בעל דין המבקש לשוב ולהתדיין בכל שאלה, עובדתית או משפטית, שנדונה בין הצדדים בעבר, בתנאי שהייתה חיונית לתוצאה הסופית, והוכרעה באותו הליך, במפורש או מכללא, שאז בעלי הדין מושתקים מלהתדיין בעניינה מחדש במשפט נוסף, וזאת, גם אם עילתו שונה מעילתה של התביעה הראשונה</w:t>
      </w:r>
      <w:r>
        <w:rPr>
          <w:rFonts w:hint="cs" w:ascii="Arial" w:hAnsi="Arial"/>
          <w:color w:val="000000" w:themeColor="text1"/>
          <w:rtl/>
        </w:rPr>
        <w:t>" (</w:t>
      </w:r>
      <w:r>
        <w:rPr>
          <w:rFonts w:hint="cs" w:ascii="Arial" w:hAnsi="Arial"/>
          <w:b/>
          <w:bCs/>
          <w:color w:val="000000" w:themeColor="text1"/>
          <w:rtl/>
        </w:rPr>
        <w:t>פרשת צמרות)</w:t>
      </w:r>
      <w:r>
        <w:rPr>
          <w:rFonts w:hint="cs" w:ascii="Arial" w:hAnsi="Arial"/>
          <w:color w:val="000000" w:themeColor="text1"/>
          <w:rtl/>
        </w:rPr>
        <w:t xml:space="preserve">. </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color w:val="000000" w:themeColor="text1"/>
          <w:rtl/>
        </w:rPr>
      </w:pP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color w:val="000000" w:themeColor="text1"/>
          <w:rtl/>
        </w:rPr>
      </w:pPr>
      <w:r>
        <w:rPr>
          <w:rFonts w:hint="cs" w:ascii="Arial" w:hAnsi="Arial"/>
          <w:color w:val="000000" w:themeColor="text1"/>
          <w:rtl/>
        </w:rPr>
        <w:t>38.</w:t>
      </w:r>
      <w:r>
        <w:rPr>
          <w:rFonts w:hint="cs" w:ascii="Arial" w:hAnsi="Arial"/>
          <w:color w:val="000000" w:themeColor="text1"/>
          <w:rtl/>
        </w:rPr>
        <w:tab/>
        <w:t>כפי שנקבע פעמים רבות,  כדי שיקום מעשה בית-דין, אין בוחנים את השאלה אם מדובר בשתי תביעות זהות לחלוטין, אלא אם האינטרס המוגן בשתי התביעות זהה, אם התשתית העובדתית העומדת בבסיסן של שתי התביעות זהה, ואם הצדדים זהים. כך אם שתי התביעות מבוססות על עילה שהיא זהה ביסודה, אפילו בתביעה המאוחרת נכללים פרטים ורכיבים שלא נזכרו בתביעה הקודמת (למשל, תביעה אחת הושתתה על עילה חוזית ואילו התביעה האחרת הושתתה על תביעה נזיקית או כל כיוצא באלו), חל כלל השתק העילה; כך גם במקרה בו הסעד הנתבע שונה (למשל, בראשונה נתבע פיצוי ובשנייה נתבעה אכיפה). (ראו בעניין זה למשל, "</w:t>
      </w:r>
      <w:r>
        <w:rPr>
          <w:rFonts w:hint="cs" w:ascii="Arial" w:hAnsi="Arial"/>
          <w:b/>
          <w:bCs/>
          <w:color w:val="000000" w:themeColor="text1"/>
          <w:rtl/>
        </w:rPr>
        <w:t>פרשת לב יסמין</w:t>
      </w:r>
      <w:r>
        <w:rPr>
          <w:rFonts w:hint="cs" w:ascii="Arial" w:hAnsi="Arial"/>
          <w:color w:val="000000" w:themeColor="text1"/>
          <w:rtl/>
        </w:rPr>
        <w:t>")</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color w:val="000000" w:themeColor="text1"/>
        </w:rPr>
      </w:pP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b/>
          <w:bCs/>
          <w:color w:val="000000" w:themeColor="text1"/>
          <w:u w:val="single"/>
          <w:rtl/>
        </w:rPr>
      </w:pPr>
      <w:r>
        <w:rPr>
          <w:rFonts w:hint="cs" w:ascii="Arial" w:hAnsi="Arial"/>
          <w:b/>
          <w:bCs/>
          <w:color w:val="000000" w:themeColor="text1"/>
          <w:u w:val="single"/>
          <w:rtl/>
        </w:rPr>
        <w:t>מן הכלל אל הפרט</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color w:val="000000" w:themeColor="text1"/>
          <w:rtl/>
        </w:rPr>
      </w:pPr>
      <w:r>
        <w:rPr>
          <w:rFonts w:hint="cs" w:ascii="Arial" w:hAnsi="Arial"/>
          <w:color w:val="000000" w:themeColor="text1"/>
          <w:rtl/>
        </w:rPr>
        <w:t>39.</w:t>
      </w:r>
      <w:r>
        <w:rPr>
          <w:rFonts w:hint="cs" w:ascii="Arial" w:hAnsi="Arial"/>
          <w:color w:val="000000" w:themeColor="text1"/>
          <w:rtl/>
        </w:rPr>
        <w:tab/>
        <w:t>לאור ההלכות שנקבעו ,כאמור, יש לבחון אם אמנם ההליך הקודם הקים מעשה בית-דין החוסם את בירורה של התביעה הנדונה.</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rtl/>
        </w:rPr>
      </w:pP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rtl/>
        </w:rPr>
      </w:pPr>
      <w:r>
        <w:rPr>
          <w:rFonts w:hint="cs" w:ascii="Arial" w:hAnsi="Arial"/>
          <w:rtl/>
        </w:rPr>
        <w:t>40.</w:t>
      </w:r>
      <w:r>
        <w:rPr>
          <w:rFonts w:hint="cs" w:ascii="Arial" w:hAnsi="Arial"/>
          <w:rtl/>
        </w:rPr>
        <w:tab/>
        <w:t>אקדים ואציין, כי בהליך הקודם  עתרה התובעת לפיצול סעדיה  בטענה, כי מעשי ו/או מחדלי הנתבעים גרמו לה לנזקים כספיים ונפשיים, שקשה לאמדם בשלב זה,  ועתרה "</w:t>
      </w:r>
      <w:r>
        <w:rPr>
          <w:rFonts w:hint="cs" w:ascii="Arial" w:hAnsi="Arial"/>
          <w:b/>
          <w:bCs/>
          <w:rtl/>
        </w:rPr>
        <w:t>לפיצול סעדים כך שתובענה זו, העוסקת בביטולו של ההסכם בלבד, לא תמנע ולא תגביל את זכותה...לתבוע בתובענה נפרדת את כל חיתר הסעדים המגיעים  ו/או עשויים להגיע לה בגין התנהלות המשיבים, לרבות הגשת תובענות כספיות ואחרות...</w:t>
      </w:r>
      <w:r>
        <w:rPr>
          <w:rFonts w:hint="cs" w:ascii="Arial" w:hAnsi="Arial"/>
          <w:rtl/>
        </w:rPr>
        <w:t xml:space="preserve">" (ס' 44 לכתב התביעה).  </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rtl/>
        </w:rPr>
      </w:pPr>
    </w:p>
    <w:p w:rsidR="00FA5015" w:rsidP="004E47D5" w:rsidRDefault="004A0233">
      <w:pPr>
        <w:tabs>
          <w:tab w:val="left" w:pos="800"/>
        </w:tabs>
        <w:overflowPunct w:val="0"/>
        <w:autoSpaceDE w:val="0"/>
        <w:autoSpaceDN w:val="0"/>
        <w:adjustRightInd w:val="0"/>
        <w:spacing w:line="360" w:lineRule="auto"/>
        <w:ind w:left="720" w:hanging="720"/>
        <w:jc w:val="both"/>
        <w:rPr>
          <w:rFonts w:ascii="Arial" w:hAnsi="Arial"/>
          <w:rtl/>
        </w:rPr>
      </w:pPr>
      <w:r>
        <w:rPr>
          <w:rFonts w:hint="cs" w:ascii="Arial" w:hAnsi="Arial"/>
          <w:rtl/>
        </w:rPr>
        <w:t>41</w:t>
      </w:r>
      <w:r w:rsidR="00FA5015">
        <w:rPr>
          <w:rFonts w:hint="cs" w:ascii="Arial" w:hAnsi="Arial"/>
          <w:rtl/>
        </w:rPr>
        <w:t xml:space="preserve">. </w:t>
      </w:r>
      <w:r w:rsidR="00FA5015">
        <w:rPr>
          <w:rFonts w:hint="cs" w:ascii="Arial" w:hAnsi="Arial"/>
          <w:rtl/>
        </w:rPr>
        <w:tab/>
        <w:t xml:space="preserve">לא היתה כל מניעה לתובעת לתבוע את הסעדים הנתבעים  עתה והמתייחסים להסכם מכר המקרקעין, במסגרת ההליך הקודם, אף אם הדבר היה מצריך את תיקון כתב התביעה. עצם העובדה שלא ניתנה החלטה, בהליך </w:t>
      </w:r>
      <w:r w:rsidR="004E47D5">
        <w:rPr>
          <w:rFonts w:hint="cs" w:ascii="Arial" w:hAnsi="Arial"/>
          <w:rtl/>
        </w:rPr>
        <w:t>הקודם</w:t>
      </w:r>
      <w:r w:rsidR="00FA5015">
        <w:rPr>
          <w:rFonts w:hint="cs" w:ascii="Arial" w:hAnsi="Arial"/>
          <w:rtl/>
        </w:rPr>
        <w:t>, המתירה לתובעת פיצול סעדיה, אינה בבחינת היעתרות לבקשה אלא להיפך. משכך, היה על התובעת לתבוע את מלוא הסעדים  להם היא טוענת כעת, במסגרת ההליך הקודם.</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rtl/>
        </w:rPr>
      </w:pPr>
    </w:p>
    <w:p w:rsidR="00FA5015" w:rsidP="004E47D5" w:rsidRDefault="004A0233">
      <w:pPr>
        <w:tabs>
          <w:tab w:val="left" w:pos="800"/>
        </w:tabs>
        <w:overflowPunct w:val="0"/>
        <w:autoSpaceDE w:val="0"/>
        <w:autoSpaceDN w:val="0"/>
        <w:adjustRightInd w:val="0"/>
        <w:spacing w:line="360" w:lineRule="auto"/>
        <w:ind w:left="720" w:hanging="720"/>
        <w:jc w:val="both"/>
        <w:rPr>
          <w:rFonts w:ascii="Arial" w:hAnsi="Arial"/>
          <w:rtl/>
        </w:rPr>
      </w:pPr>
      <w:r>
        <w:rPr>
          <w:rFonts w:hint="cs" w:ascii="Arial" w:hAnsi="Arial"/>
          <w:rtl/>
        </w:rPr>
        <w:t>42</w:t>
      </w:r>
      <w:r w:rsidR="00FA5015">
        <w:rPr>
          <w:rFonts w:hint="cs" w:ascii="Arial" w:hAnsi="Arial"/>
          <w:rtl/>
        </w:rPr>
        <w:t>.</w:t>
      </w:r>
      <w:r w:rsidR="00FA5015">
        <w:rPr>
          <w:rFonts w:hint="cs" w:ascii="Arial" w:hAnsi="Arial"/>
          <w:rtl/>
        </w:rPr>
        <w:tab/>
        <w:t xml:space="preserve">בחינת שתי התובענות, זו שלפני וזו שבהליך </w:t>
      </w:r>
      <w:r w:rsidR="004E47D5">
        <w:rPr>
          <w:rFonts w:hint="cs" w:ascii="Arial" w:hAnsi="Arial"/>
          <w:rtl/>
        </w:rPr>
        <w:t>הקודם</w:t>
      </w:r>
      <w:r w:rsidR="00FA5015">
        <w:rPr>
          <w:rFonts w:hint="cs" w:ascii="Arial" w:hAnsi="Arial"/>
          <w:rtl/>
        </w:rPr>
        <w:t xml:space="preserve"> מעלה, כי מדובר בדיוק באותה עילת תביעה, גם אם בתביעה דנן  נתבעים  סעדים נוספים, הנובעים מאותה עילה.</w:t>
      </w:r>
    </w:p>
    <w:p w:rsidR="00FA5015" w:rsidP="00FA5015" w:rsidRDefault="00FA5015">
      <w:pPr>
        <w:spacing w:line="360" w:lineRule="auto"/>
        <w:ind w:left="720" w:hanging="720"/>
        <w:jc w:val="both"/>
        <w:rPr>
          <w:rFonts w:ascii="Arial" w:hAnsi="Arial"/>
          <w:rtl/>
        </w:rPr>
      </w:pPr>
    </w:p>
    <w:p w:rsidR="00FA5015" w:rsidP="00FA5015" w:rsidRDefault="004A0233">
      <w:pPr>
        <w:tabs>
          <w:tab w:val="left" w:pos="800"/>
        </w:tabs>
        <w:overflowPunct w:val="0"/>
        <w:autoSpaceDE w:val="0"/>
        <w:autoSpaceDN w:val="0"/>
        <w:adjustRightInd w:val="0"/>
        <w:spacing w:line="360" w:lineRule="auto"/>
        <w:ind w:left="720" w:hanging="720"/>
        <w:jc w:val="both"/>
        <w:rPr>
          <w:rFonts w:ascii="Arial" w:hAnsi="Arial"/>
          <w:rtl/>
        </w:rPr>
      </w:pPr>
      <w:r>
        <w:rPr>
          <w:rFonts w:hint="cs" w:ascii="Arial" w:hAnsi="Arial"/>
          <w:rtl/>
        </w:rPr>
        <w:t>43</w:t>
      </w:r>
      <w:r w:rsidR="00FA5015">
        <w:rPr>
          <w:rFonts w:hint="cs" w:ascii="Arial" w:hAnsi="Arial"/>
          <w:rtl/>
        </w:rPr>
        <w:t>.</w:t>
      </w:r>
      <w:r w:rsidR="00FA5015">
        <w:rPr>
          <w:rFonts w:hint="cs" w:ascii="Arial" w:hAnsi="Arial"/>
          <w:rtl/>
        </w:rPr>
        <w:tab/>
        <w:t>במסגרת ההליך הקודם, דן ביהמ"ש בשאלות העולות גם כאן. האחת, מודעות המבקשת לעסקת המכר והסכמתה למכירת השטח כאמור, או שמא כטענתה, הנתבע עשה שימוש ביפוי הכח  באופן בלתי חוקי וחתם על הסכם למכירת החלקה, על אף שסוכם בינה לבינו כי החלק שיימכר יהיה שני דונם בלבד בשטח שיעודו לחקלאות; השניה, האם הנתבעת שילמה את מלוא התמורה שסוכמה בין הצדדים, קרי 1,200,000 ₪, ואם לא, האם הסכם המכר בוטל עקב כך כדין.</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rtl/>
        </w:rPr>
      </w:pPr>
      <w:r>
        <w:rPr>
          <w:rFonts w:hint="cs" w:ascii="Arial" w:hAnsi="Arial"/>
          <w:rtl/>
        </w:rPr>
        <w:tab/>
      </w:r>
    </w:p>
    <w:p w:rsidR="00FA5015" w:rsidP="00FA5015" w:rsidRDefault="004A0233">
      <w:pPr>
        <w:tabs>
          <w:tab w:val="left" w:pos="800"/>
        </w:tabs>
        <w:overflowPunct w:val="0"/>
        <w:autoSpaceDE w:val="0"/>
        <w:autoSpaceDN w:val="0"/>
        <w:adjustRightInd w:val="0"/>
        <w:spacing w:line="360" w:lineRule="auto"/>
        <w:ind w:left="720" w:hanging="720"/>
        <w:jc w:val="both"/>
        <w:rPr>
          <w:rFonts w:ascii="Arial" w:hAnsi="Arial"/>
          <w:rtl/>
        </w:rPr>
      </w:pPr>
      <w:r>
        <w:rPr>
          <w:rFonts w:hint="cs" w:ascii="Arial" w:hAnsi="Arial"/>
          <w:rtl/>
        </w:rPr>
        <w:t>44</w:t>
      </w:r>
      <w:r w:rsidR="00FA5015">
        <w:rPr>
          <w:rFonts w:hint="cs" w:ascii="Arial" w:hAnsi="Arial"/>
          <w:rtl/>
        </w:rPr>
        <w:t>.</w:t>
      </w:r>
      <w:r w:rsidR="00FA5015">
        <w:rPr>
          <w:rFonts w:hint="cs" w:ascii="Arial" w:hAnsi="Arial"/>
          <w:rtl/>
        </w:rPr>
        <w:tab/>
        <w:t>בשונה מההליך הקודם, התביעה שלפני מתייחסת לנתבע נוסף, עו"ד מקלנן,  שטיפל בעסקה מטעם התובעת ואחיה. ואולם, הנתבע 3 זומן לעדות ע"י התובעת בהליך הקודם, והעיד, כי</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rtl/>
        </w:rPr>
      </w:pPr>
      <w:r>
        <w:rPr>
          <w:rFonts w:hint="cs" w:ascii="Arial" w:hAnsi="Arial"/>
          <w:rtl/>
        </w:rPr>
        <w:t xml:space="preserve">           </w:t>
      </w:r>
      <w:r>
        <w:rPr>
          <w:rFonts w:hint="cs" w:ascii="Arial" w:hAnsi="Arial"/>
          <w:rtl/>
        </w:rPr>
        <w:tab/>
        <w:t>התובעת</w:t>
      </w:r>
      <w:r>
        <w:rPr>
          <w:rFonts w:hint="cs" w:ascii="Arial" w:hAnsi="Arial"/>
          <w:b/>
          <w:bCs/>
          <w:rtl/>
        </w:rPr>
        <w:t xml:space="preserve"> </w:t>
      </w:r>
      <w:r>
        <w:rPr>
          <w:rFonts w:hint="cs" w:ascii="Arial" w:hAnsi="Arial"/>
          <w:rtl/>
        </w:rPr>
        <w:t>"</w:t>
      </w:r>
      <w:r>
        <w:rPr>
          <w:rFonts w:hint="cs" w:ascii="Arial" w:hAnsi="Arial"/>
          <w:b/>
          <w:bCs/>
          <w:rtl/>
        </w:rPr>
        <w:t>הבינה היטב את מהות העסקה. היא הבינה בפרטי פרטים את מהות העסקה. היא התעניינה בכל פרטי העסקה. היא גילתה בפני את כל הדברים שעורך דין לא רוצה לדעת על הסכם מקרקעין, אני שמעתי מפיה</w:t>
      </w:r>
      <w:r>
        <w:rPr>
          <w:rFonts w:hint="cs" w:ascii="Arial" w:hAnsi="Arial"/>
          <w:rtl/>
        </w:rPr>
        <w:t xml:space="preserve">" (ע' 39 לפרוטוקול ההליך הקודם, ש' 16-19). </w:t>
      </w:r>
    </w:p>
    <w:p w:rsidR="00FA5015" w:rsidP="00FA5015" w:rsidRDefault="00FA5015">
      <w:pPr>
        <w:spacing w:line="360" w:lineRule="auto"/>
        <w:ind w:left="720"/>
        <w:jc w:val="both"/>
        <w:rPr>
          <w:noProof/>
          <w:sz w:val="22"/>
          <w:rtl/>
        </w:rPr>
      </w:pPr>
      <w:r>
        <w:rPr>
          <w:rFonts w:hint="cs"/>
          <w:sz w:val="22"/>
          <w:rtl/>
        </w:rPr>
        <w:t>בפסה"ד נקבע,  כי  מעדותו של עו"ד מקלנן שהייתה סדורה וקוהרנטית עולה, כי התובעת  היתה מודעת למהות העסקה, ידעה והסכימה למכירת מלוא החלקה למעט מגרש בשטח של 1,100 מ"ר שעליו בנויות דירות המגורים של מאור ועדי, תוך שכב' השופט ערפאת קובע, כי</w:t>
      </w:r>
    </w:p>
    <w:p w:rsidR="00FA5015" w:rsidP="00FA5015" w:rsidRDefault="00FA5015">
      <w:pPr>
        <w:spacing w:line="360" w:lineRule="auto"/>
        <w:ind w:left="720" w:hanging="720"/>
        <w:jc w:val="both"/>
        <w:rPr>
          <w:sz w:val="22"/>
          <w:rtl/>
        </w:rPr>
      </w:pPr>
      <w:r>
        <w:rPr>
          <w:rFonts w:hint="cs"/>
          <w:sz w:val="22"/>
          <w:rtl/>
        </w:rPr>
        <w:t xml:space="preserve">  </w:t>
      </w:r>
      <w:r>
        <w:rPr>
          <w:rFonts w:hint="cs"/>
          <w:sz w:val="22"/>
          <w:rtl/>
        </w:rPr>
        <w:tab/>
        <w:t>"</w:t>
      </w:r>
      <w:r>
        <w:rPr>
          <w:rFonts w:hint="cs"/>
          <w:b/>
          <w:bCs/>
          <w:sz w:val="22"/>
          <w:rtl/>
        </w:rPr>
        <w:t>עדותו של עו"ד מקלנן שהייתה סדורה ומקובלת עליי נתמכת במסמכים שנערכו ונחתמו בידי המבקשת עצמה בזמן אמת ושאינם משאירים ספק באשר לעובדה, כי היא ביקשה למכור את כל החלקה (למעט המגרש שיועד לעדי ומאור), וכי טענתה שהיא ביקשה מהדוד אברהם קריטי למכור רק שני דונם היא טענה חסרת בסיס בלשון המעטה</w:t>
      </w:r>
      <w:r>
        <w:rPr>
          <w:rFonts w:hint="cs"/>
          <w:sz w:val="22"/>
          <w:rtl/>
        </w:rPr>
        <w:t xml:space="preserve">" (ס' 17, 18 לפסה"ד). </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rtl/>
        </w:rPr>
      </w:pPr>
    </w:p>
    <w:p w:rsidR="00FA5015" w:rsidP="00FA5015" w:rsidRDefault="004A0233">
      <w:pPr>
        <w:tabs>
          <w:tab w:val="left" w:pos="800"/>
        </w:tabs>
        <w:overflowPunct w:val="0"/>
        <w:autoSpaceDE w:val="0"/>
        <w:autoSpaceDN w:val="0"/>
        <w:adjustRightInd w:val="0"/>
        <w:spacing w:line="360" w:lineRule="auto"/>
        <w:ind w:left="720" w:hanging="720"/>
        <w:jc w:val="both"/>
        <w:rPr>
          <w:rFonts w:ascii="Arial" w:hAnsi="Arial"/>
          <w:rtl/>
        </w:rPr>
      </w:pPr>
      <w:r>
        <w:rPr>
          <w:rFonts w:hint="cs" w:ascii="Arial" w:hAnsi="Arial"/>
          <w:rtl/>
        </w:rPr>
        <w:t>45</w:t>
      </w:r>
      <w:r w:rsidR="00FA5015">
        <w:rPr>
          <w:rFonts w:hint="cs" w:ascii="Arial" w:hAnsi="Arial"/>
          <w:rtl/>
        </w:rPr>
        <w:t>.</w:t>
      </w:r>
      <w:r w:rsidR="00FA5015">
        <w:rPr>
          <w:rFonts w:hint="cs" w:ascii="Arial" w:hAnsi="Arial"/>
          <w:rtl/>
        </w:rPr>
        <w:tab/>
        <w:t xml:space="preserve">בפסה"ד נקבע (ס' 22 לפסה"ד) כי  משעומתה התובעת עם ייפויי הכח עליהם היא חתמה ועם העובדה כי הם לא הוגבלו למכירת 2 דונם בלבד, טענה כי היא חתמה על יפויי הכח מבלי להבין על מה חתמה. לטענתה, </w:t>
      </w:r>
      <w:r w:rsidR="00FA5015">
        <w:rPr>
          <w:rFonts w:hint="cs" w:ascii="Arial" w:hAnsi="Arial"/>
          <w:b/>
          <w:bCs/>
          <w:rtl/>
        </w:rPr>
        <w:t>"לא ידעתי מה זה יפוי כח בלתי חוזר, גם עו"ד מקלנן נתן לי לחתום, עשה עלי לחץ, אמרתי תן לי לראות, אני לא רואה טוב ... הוא אפילו לא נתן לי לראות מה רשום"</w:t>
      </w:r>
      <w:r w:rsidR="00FA5015">
        <w:rPr>
          <w:rFonts w:hint="cs" w:ascii="Arial" w:hAnsi="Arial"/>
          <w:rtl/>
        </w:rPr>
        <w:t>. בתשובה לשאלות בית המשפט מדוע, אם כן חתמה, טענה שעו"ד מקלנן אמר לה שהכל בסדר והפעיל עליה לחץ. ואולם , "</w:t>
      </w:r>
      <w:r w:rsidR="00FA5015">
        <w:rPr>
          <w:rFonts w:hint="cs" w:ascii="Arial" w:hAnsi="Arial"/>
          <w:b/>
          <w:bCs/>
          <w:rtl/>
        </w:rPr>
        <w:t xml:space="preserve">טענות אלה אני דוחה בשתי ידיים. מעיון בתצהירה של המבקשת עולה כי למרות שקיימת בו התייחסות לחתימתה על יפוי הכח הנוטריוני, המבקשת כלל לא טענה כי היא חתמה עליו בעקבות לחץ שהפעיל עליה עו"ד מקלנן ומבלי שהוסברה לה מהותו. יתרה מכך, המבקשת לא התייחסה בתצהירה ליפוי הכח הבלתי חוזר </w:t>
      </w:r>
      <w:r w:rsidR="00FA5015">
        <w:rPr>
          <w:rFonts w:hint="cs" w:ascii="Arial" w:hAnsi="Arial"/>
          <w:b/>
          <w:bCs/>
          <w:rtl/>
        </w:rPr>
        <w:lastRenderedPageBreak/>
        <w:t>שגם עליו היא חתומה אישית, ולא טענה כי חתמה עליו מתוך לחץ ומבלי שהוסברה לה מהותו. גרסתה של המבקשת, אם כן, באשר לנסיבות החתימה על המסמכים היא בגדר עדות כבושה שערכה מועט. זאת ועוד, ייפויי כח אלה מתיישבים עם יתר המסמכים והראיות שבתיק ועם רצונם והסכמתם של המבקשת ויתר אחיה לחלוקת העיזבון באופן שמאור ועדי יקבלו שתי דירות שכבר בנויות על מגרש בתוך חלקה 47 ואילו דקל והמבקשת יממנו רכישת או בניית דירות מגורים, בין היתר על ידי מימוש ומכירת יתרת החלקה</w:t>
      </w:r>
      <w:r w:rsidR="00FA5015">
        <w:rPr>
          <w:rFonts w:hint="cs" w:ascii="Arial" w:hAnsi="Arial"/>
          <w:rtl/>
        </w:rPr>
        <w:t>."</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rtl/>
        </w:rPr>
      </w:pPr>
    </w:p>
    <w:p w:rsidR="00FA5015" w:rsidP="00FA5015" w:rsidRDefault="004A0233">
      <w:pPr>
        <w:tabs>
          <w:tab w:val="left" w:pos="800"/>
        </w:tabs>
        <w:overflowPunct w:val="0"/>
        <w:autoSpaceDE w:val="0"/>
        <w:autoSpaceDN w:val="0"/>
        <w:adjustRightInd w:val="0"/>
        <w:spacing w:line="360" w:lineRule="auto"/>
        <w:ind w:left="720" w:hanging="720"/>
        <w:jc w:val="both"/>
        <w:rPr>
          <w:rFonts w:ascii="Arial" w:hAnsi="Arial"/>
          <w:rtl/>
        </w:rPr>
      </w:pPr>
      <w:r>
        <w:rPr>
          <w:rFonts w:hint="cs" w:ascii="Arial" w:hAnsi="Arial"/>
          <w:rtl/>
        </w:rPr>
        <w:t>46</w:t>
      </w:r>
      <w:r w:rsidR="00FA5015">
        <w:rPr>
          <w:rFonts w:hint="cs" w:ascii="Arial" w:hAnsi="Arial"/>
          <w:rtl/>
        </w:rPr>
        <w:t>.</w:t>
      </w:r>
      <w:r w:rsidR="00FA5015">
        <w:rPr>
          <w:rFonts w:hint="cs" w:ascii="Arial" w:hAnsi="Arial"/>
          <w:rtl/>
        </w:rPr>
        <w:tab/>
        <w:t>כלומר בהליך הקודם נבדקו לגופן טענותיה של התובעת כאן, כי הנתבע הונה אותה והחתים אותה על יפוי כח לביצוע עסקת המקרקעין כאשר היא לא מודעת למשמעות חתימתה וכי הסכימה אך למכירת 2 דונם קרקע חקלאית – ונדחו מכל וכל. יתרה מכך, כב' השופט ערפאת קובע, כי "</w:t>
      </w:r>
      <w:r w:rsidR="00FA5015">
        <w:rPr>
          <w:rFonts w:hint="cs" w:ascii="Arial" w:hAnsi="Arial"/>
          <w:b/>
          <w:bCs/>
          <w:rtl/>
        </w:rPr>
        <w:t>בחינת גרסתה של המבקשת והשוואתה עם יתר הראיות שבתיק מלמדת, כי מדובר בגרסה בלתי סבירה שאינה מתיישבת עם השכל הישר והגיון הדברים</w:t>
      </w:r>
      <w:r w:rsidR="00FA5015">
        <w:rPr>
          <w:rFonts w:hint="cs" w:ascii="Arial" w:hAnsi="Arial"/>
          <w:rtl/>
        </w:rPr>
        <w:t>" (ס' 24 לפסה"ד).</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rtl/>
        </w:rPr>
      </w:pPr>
    </w:p>
    <w:p w:rsidR="00FA5015" w:rsidP="00FA5015" w:rsidRDefault="004A0233">
      <w:pPr>
        <w:spacing w:line="360" w:lineRule="auto"/>
        <w:ind w:left="720" w:hanging="720"/>
        <w:jc w:val="both"/>
        <w:rPr>
          <w:rFonts w:ascii="Arial" w:hAnsi="Arial"/>
          <w:rtl/>
        </w:rPr>
      </w:pPr>
      <w:r>
        <w:rPr>
          <w:rFonts w:hint="cs" w:ascii="Arial" w:hAnsi="Arial"/>
          <w:rtl/>
        </w:rPr>
        <w:t>47</w:t>
      </w:r>
      <w:r w:rsidR="00FA5015">
        <w:rPr>
          <w:rFonts w:hint="cs" w:ascii="Arial" w:hAnsi="Arial"/>
          <w:rtl/>
        </w:rPr>
        <w:t>.</w:t>
      </w:r>
      <w:r w:rsidR="00FA5015">
        <w:rPr>
          <w:rFonts w:hint="cs" w:ascii="Arial" w:hAnsi="Arial"/>
          <w:rtl/>
        </w:rPr>
        <w:tab/>
      </w:r>
      <w:r w:rsidR="00FA5015">
        <w:rPr>
          <w:rFonts w:hint="cs"/>
          <w:sz w:val="22"/>
          <w:rtl/>
        </w:rPr>
        <w:t>התובעת העלתה כאן, ובהליך הקודם, טענה בנוגע לשווי העסקה. בפסה"ד (ס' 28-30), דן ביהמ"ש באריכות בטענת התובעת לפיה,  בהסכם המכר נרשם מחיר של 524,000 ₪ ובדיעבד התברר לה, כי שווי העסקה האמיתי הוא 1,200,000 ₪, כאשר לגרסתה, נודע לה על עובדה זו רק לאחר שקיבלה בחודש 10/11 דרישה חריגה לתשלום מס משלטונות מס שבח, שבעקבותיה פנתה לנתבע לבירור העניין, אז התברר לה כי הנתבעים כביכול רימו אותה עת סיכמו על מחיר הרבה יותר גבוה מהמחיר שנרשם בהסכם.  בפסה"ד נקבע, כי "</w:t>
      </w:r>
      <w:r w:rsidR="00FA5015">
        <w:rPr>
          <w:rFonts w:hint="cs"/>
          <w:b/>
          <w:bCs/>
          <w:sz w:val="22"/>
          <w:rtl/>
        </w:rPr>
        <w:t>גרסה זו של המבקשת אין בידי לקבל</w:t>
      </w:r>
      <w:r w:rsidR="00FA5015">
        <w:rPr>
          <w:rFonts w:hint="cs"/>
          <w:sz w:val="22"/>
          <w:rtl/>
        </w:rPr>
        <w:t xml:space="preserve">", שכןמהראיות ומהעדויות שנשמעו, כולל אלו  של הנתבע, ועו"ד מקלנן, שלהתרשמות ביהמ"ש היו אמינות, עולה שהתובעת היתה מעורה בכל פרטי העסקה, ביקשה והסכימה למכירת מלוא שטח החלקה וידעה והסכימה שהשווי האמיתי של העסקה הוא 1,200.00 ₪, ולא 524,000 ₪ כפי שנרשם בהסכם.   </w:t>
      </w:r>
    </w:p>
    <w:p w:rsidR="00FA5015" w:rsidP="00FA5015" w:rsidRDefault="00FA5015">
      <w:pPr>
        <w:spacing w:line="360" w:lineRule="auto"/>
        <w:ind w:left="720" w:hanging="720"/>
        <w:jc w:val="both"/>
        <w:rPr>
          <w:rFonts w:ascii="Arial" w:hAnsi="Arial"/>
          <w:rtl/>
        </w:rPr>
      </w:pPr>
    </w:p>
    <w:p w:rsidR="00FA5015" w:rsidP="004E47D5" w:rsidRDefault="004A0233">
      <w:pPr>
        <w:spacing w:line="360" w:lineRule="auto"/>
        <w:ind w:left="720" w:hanging="720"/>
        <w:jc w:val="both"/>
        <w:rPr>
          <w:rFonts w:ascii="Arial" w:hAnsi="Arial"/>
          <w:rtl/>
        </w:rPr>
      </w:pPr>
      <w:r>
        <w:rPr>
          <w:rFonts w:hint="cs" w:ascii="Arial" w:hAnsi="Arial"/>
          <w:rtl/>
        </w:rPr>
        <w:t>48</w:t>
      </w:r>
      <w:r w:rsidR="00FA5015">
        <w:rPr>
          <w:rFonts w:hint="cs" w:ascii="Arial" w:hAnsi="Arial"/>
          <w:rtl/>
        </w:rPr>
        <w:t>.</w:t>
      </w:r>
      <w:r w:rsidR="00FA5015">
        <w:rPr>
          <w:rFonts w:hint="cs" w:ascii="Arial" w:hAnsi="Arial"/>
          <w:rtl/>
        </w:rPr>
        <w:tab/>
        <w:t>בכתב התביעה טענה התובעת כי כספי המכר לא הועברו אליה במלואם ואף טענה כי כך נקבע בהליך הקודם</w:t>
      </w:r>
      <w:r w:rsidR="004E47D5">
        <w:rPr>
          <w:rFonts w:hint="cs" w:ascii="Arial" w:hAnsi="Arial"/>
          <w:rtl/>
        </w:rPr>
        <w:t>, טענות העומדות בסתירה לקביעות החד משמעיות בפסק הדין</w:t>
      </w:r>
      <w:r w:rsidR="00FA5015">
        <w:rPr>
          <w:rFonts w:hint="cs" w:ascii="Arial" w:hAnsi="Arial"/>
          <w:rtl/>
        </w:rPr>
        <w:t>.</w:t>
      </w:r>
    </w:p>
    <w:p w:rsidR="00FA5015" w:rsidP="00FA5015" w:rsidRDefault="00FA5015">
      <w:pPr>
        <w:spacing w:line="360" w:lineRule="auto"/>
        <w:ind w:left="720" w:hanging="720"/>
        <w:jc w:val="both"/>
        <w:rPr>
          <w:rFonts w:ascii="Arial" w:hAnsi="Arial"/>
          <w:rtl/>
        </w:rPr>
      </w:pPr>
    </w:p>
    <w:p w:rsidR="00FA5015" w:rsidP="00FA5015" w:rsidRDefault="004A0233">
      <w:pPr>
        <w:spacing w:line="360" w:lineRule="auto"/>
        <w:ind w:left="720" w:hanging="720"/>
        <w:jc w:val="both"/>
        <w:rPr>
          <w:rFonts w:ascii="Arial" w:hAnsi="Arial"/>
          <w:rtl/>
        </w:rPr>
      </w:pPr>
      <w:r>
        <w:rPr>
          <w:rFonts w:hint="cs" w:ascii="Arial" w:hAnsi="Arial"/>
          <w:rtl/>
        </w:rPr>
        <w:t>49</w:t>
      </w:r>
      <w:r w:rsidR="00FA5015">
        <w:rPr>
          <w:rFonts w:hint="cs" w:ascii="Arial" w:hAnsi="Arial"/>
          <w:rtl/>
        </w:rPr>
        <w:t>.</w:t>
      </w:r>
      <w:r w:rsidR="00FA5015">
        <w:rPr>
          <w:rFonts w:hint="cs" w:ascii="Arial" w:hAnsi="Arial"/>
          <w:rtl/>
        </w:rPr>
        <w:tab/>
        <w:t>בס' 32 לפסה"ד נקבע, "</w:t>
      </w:r>
      <w:r w:rsidR="00FA5015">
        <w:rPr>
          <w:rFonts w:hint="cs" w:ascii="Arial" w:hAnsi="Arial"/>
          <w:b/>
          <w:bCs/>
          <w:rtl/>
        </w:rPr>
        <w:t>כי לא רק שאברהם קריטי לא מעל באמון שהמבקשת נתנה בו אלא... המבקשת ידעה גם ידעה על השווי האמיתי של העסקה...ידעה שיש צורך בתשלום מיסים וידעה שחלק מהתמורה אמור להיות משולם לאחיה דקל כדי לאפשר גם לו לרכוש דירה</w:t>
      </w:r>
      <w:r w:rsidR="00FA5015">
        <w:rPr>
          <w:rFonts w:hint="cs" w:ascii="Arial" w:hAnsi="Arial"/>
          <w:rtl/>
        </w:rPr>
        <w:t xml:space="preserve">". </w:t>
      </w:r>
    </w:p>
    <w:p w:rsidR="00FA5015" w:rsidP="00FA5015" w:rsidRDefault="00FA5015">
      <w:pPr>
        <w:spacing w:line="360" w:lineRule="auto"/>
        <w:ind w:left="720" w:hanging="720"/>
        <w:jc w:val="both"/>
        <w:rPr>
          <w:rFonts w:ascii="Arial" w:hAnsi="Arial"/>
          <w:rtl/>
        </w:rPr>
      </w:pPr>
      <w:r>
        <w:rPr>
          <w:rFonts w:hint="cs" w:ascii="Arial" w:hAnsi="Arial"/>
          <w:rtl/>
        </w:rPr>
        <w:tab/>
        <w:t>על כן הטענה בכתב התביעה כי דודה של התובעת מעל באמונה ורימה אותה נשללה לחלוטין בהליך הקודם.</w:t>
      </w:r>
    </w:p>
    <w:p w:rsidR="00FA5015" w:rsidP="00FA5015" w:rsidRDefault="00FA5015">
      <w:pPr>
        <w:spacing w:line="360" w:lineRule="auto"/>
        <w:ind w:left="720" w:hanging="720"/>
        <w:jc w:val="both"/>
        <w:rPr>
          <w:rFonts w:ascii="Arial" w:hAnsi="Arial"/>
          <w:rtl/>
        </w:rPr>
      </w:pPr>
      <w:r>
        <w:rPr>
          <w:rFonts w:hint="cs" w:ascii="Arial" w:hAnsi="Arial"/>
          <w:rtl/>
        </w:rPr>
        <w:t xml:space="preserve">  </w:t>
      </w:r>
    </w:p>
    <w:p w:rsidR="00FA5015" w:rsidP="00FA5015" w:rsidRDefault="004A0233">
      <w:pPr>
        <w:spacing w:line="360" w:lineRule="auto"/>
        <w:ind w:left="720" w:hanging="720"/>
        <w:jc w:val="both"/>
        <w:rPr>
          <w:rFonts w:ascii="Arial" w:hAnsi="Arial"/>
          <w:rtl/>
        </w:rPr>
      </w:pPr>
      <w:r>
        <w:rPr>
          <w:rFonts w:hint="cs" w:ascii="Arial" w:hAnsi="Arial"/>
          <w:rtl/>
        </w:rPr>
        <w:lastRenderedPageBreak/>
        <w:t>50</w:t>
      </w:r>
      <w:r w:rsidR="00FA5015">
        <w:rPr>
          <w:rFonts w:hint="cs" w:ascii="Arial" w:hAnsi="Arial"/>
          <w:rtl/>
        </w:rPr>
        <w:t>.</w:t>
      </w:r>
      <w:r w:rsidR="00FA5015">
        <w:rPr>
          <w:rFonts w:hint="cs" w:ascii="Arial" w:hAnsi="Arial"/>
          <w:rtl/>
        </w:rPr>
        <w:tab/>
        <w:t>בס' 46 לפסה"ד נקבע  ביחס לנתבעת, כי היא זכאית להגנה על זכויותיה בהסכם. ביהמ"ש לא קיבל את טענתה של התובעת כי יש לבטל את ההסכם, בשל הפרתו ע"י הנתבעת, כמפורט בס' 35-36 לפסה"ד, תוך שמודגש שהסכמתה של התובעת לכך שהנתבע ובעלה של הנתבעת ישלמו לה כספים נוספים , מעידה על רצון להמשיך לקיים את העסקה, לא על רצון לבטלה.</w:t>
      </w:r>
    </w:p>
    <w:p w:rsidR="00FA5015" w:rsidP="00FA5015" w:rsidRDefault="00FA5015">
      <w:pPr>
        <w:spacing w:line="360" w:lineRule="auto"/>
        <w:ind w:left="720" w:hanging="720"/>
        <w:jc w:val="both"/>
        <w:rPr>
          <w:rFonts w:ascii="Arial" w:hAnsi="Arial"/>
          <w:rtl/>
        </w:rPr>
      </w:pPr>
    </w:p>
    <w:p w:rsidR="00FA5015" w:rsidP="00FA5015" w:rsidRDefault="004A0233">
      <w:pPr>
        <w:spacing w:line="360" w:lineRule="auto"/>
        <w:ind w:left="720" w:hanging="720"/>
        <w:jc w:val="both"/>
        <w:rPr>
          <w:rFonts w:ascii="Arial" w:hAnsi="Arial"/>
          <w:rtl/>
        </w:rPr>
      </w:pPr>
      <w:r>
        <w:rPr>
          <w:rFonts w:hint="cs" w:ascii="Arial" w:hAnsi="Arial"/>
          <w:rtl/>
        </w:rPr>
        <w:t>51</w:t>
      </w:r>
      <w:r w:rsidR="00FA5015">
        <w:rPr>
          <w:rFonts w:hint="cs" w:ascii="Arial" w:hAnsi="Arial"/>
          <w:rtl/>
        </w:rPr>
        <w:t>.</w:t>
      </w:r>
      <w:r w:rsidR="00FA5015">
        <w:rPr>
          <w:rFonts w:hint="cs" w:ascii="Arial" w:hAnsi="Arial"/>
          <w:rtl/>
        </w:rPr>
        <w:tab/>
        <w:t>מהאמור לעיל עולה, שכלל השתק עילה חל על תובענה זו במשמעותו המזוקקת ביותר. טענות התובעת כאן כלפי הנתבעים כבר נדונו בהליך הקודם והוכרעו לגופן, ונקבע כי אין בהן ממש. ואילו את הטענות הנוספות אשר נטענו בתביעה היה על התובעת להעלות בהליך הקודם ואינה רשאית להעלותן כעת, לרבות הטענות בדבר מצבה הרפואי כתוצאה מנסיבות המקרה שנטענו מן הפה לחוץ ולא גובו בחוות דעת או ראיה אפשרית כלשהי.</w:t>
      </w:r>
    </w:p>
    <w:p w:rsidR="00FA5015" w:rsidP="00FA5015" w:rsidRDefault="00FA5015">
      <w:pPr>
        <w:spacing w:line="360" w:lineRule="auto"/>
        <w:ind w:left="720" w:hanging="720"/>
        <w:jc w:val="both"/>
        <w:rPr>
          <w:rFonts w:ascii="Arial" w:hAnsi="Arial"/>
          <w:rtl/>
        </w:rPr>
      </w:pPr>
    </w:p>
    <w:p w:rsidR="00FA5015" w:rsidP="00FA5015" w:rsidRDefault="00FA5015">
      <w:pPr>
        <w:spacing w:line="360" w:lineRule="auto"/>
        <w:ind w:left="720" w:hanging="720"/>
        <w:jc w:val="both"/>
        <w:rPr>
          <w:rFonts w:ascii="Arial" w:hAnsi="Arial"/>
          <w:rtl/>
        </w:rPr>
      </w:pPr>
      <w:r>
        <w:rPr>
          <w:rFonts w:hint="cs" w:ascii="Arial" w:hAnsi="Arial"/>
          <w:rtl/>
        </w:rPr>
        <w:tab/>
        <w:t xml:space="preserve">יתרה מזאת, בפסק הדין בהליך הקודם קיימות קביעות עובדתיות פוזיטיביות המקימות את כלל השתק הפלוגתא באופן מובהק וחוסמות כל אפשרות לדון שנית בטענות התובעת. כך, נקבע כי הנתבע 1 לא הונה את התובעת והיא הבינה היטב את מהות חתימתה על ייפוי כח  בלתי חוזר ואת מהות העסקה עליה חתמה למכירת כל החלקה אותה ירשה מאביה;  ידעה היטב מהו סכום העסקה האמיתי ולקחה חלק פעיל בהונאת רשויות המס על ידי מתן דיווח כוזב באשר לשווי העסקה; וכי קיבלה את מלוא הכספים כתוצאה מן העסקה. כאמור, אלו הן קביעות עובדתיות הנוגעות לליבת התביעה והמונעות כל יכולת לדון בתביעה באופן המותיר סיכוי כלשהו לקבלתה.   </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rtl/>
        </w:rPr>
      </w:pPr>
    </w:p>
    <w:p w:rsidR="00FA5015" w:rsidP="00FA5015" w:rsidRDefault="004A0233">
      <w:pPr>
        <w:tabs>
          <w:tab w:val="left" w:pos="800"/>
        </w:tabs>
        <w:overflowPunct w:val="0"/>
        <w:autoSpaceDE w:val="0"/>
        <w:autoSpaceDN w:val="0"/>
        <w:adjustRightInd w:val="0"/>
        <w:spacing w:line="360" w:lineRule="auto"/>
        <w:ind w:left="720" w:hanging="720"/>
        <w:jc w:val="both"/>
        <w:rPr>
          <w:rFonts w:ascii="Arial" w:hAnsi="Arial"/>
          <w:rtl/>
        </w:rPr>
      </w:pPr>
      <w:r>
        <w:rPr>
          <w:rFonts w:hint="cs" w:ascii="Arial" w:hAnsi="Arial"/>
          <w:rtl/>
        </w:rPr>
        <w:t>52</w:t>
      </w:r>
      <w:r w:rsidR="00FA5015">
        <w:rPr>
          <w:rFonts w:hint="cs" w:ascii="Arial" w:hAnsi="Arial"/>
          <w:rtl/>
        </w:rPr>
        <w:t>.</w:t>
      </w:r>
      <w:r w:rsidR="00FA5015">
        <w:rPr>
          <w:rFonts w:hint="cs" w:ascii="Arial" w:hAnsi="Arial"/>
          <w:rtl/>
        </w:rPr>
        <w:tab/>
        <w:t>למעלה מן הנדרש אתייחס גם לבקשה לתיקון כתב התביעה, באופן שיצורפו כתובעים אחיה של התובעת. כאמור, במסגרת הדברים שהובאו לעיל, בגדר 'עילת התביעה' תיכלל גם "</w:t>
      </w:r>
      <w:r w:rsidR="00FA5015">
        <w:rPr>
          <w:rFonts w:hint="cs" w:ascii="Arial" w:hAnsi="Arial"/>
          <w:b/>
          <w:bCs/>
          <w:rtl/>
        </w:rPr>
        <w:t>כל טענה אפשרית הקשורה קשר ענייני הדוק בעילה, אפילו לא הועלתה בפועל על ידי התובע; כלל 'השתק העילה' ימנע מתובע בהליך מאוחר מלהעלות טענות או לבקש סעדים שהוא יכול היה להעלותם ולבקשם במסגרת עילת התביעה בהליך הראשון אך לא עשה כן</w:t>
      </w:r>
      <w:r w:rsidR="00FA5015">
        <w:rPr>
          <w:rFonts w:hint="cs" w:ascii="Arial" w:hAnsi="Arial"/>
          <w:rtl/>
        </w:rPr>
        <w:t xml:space="preserve">". </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rtl/>
        </w:rPr>
      </w:pPr>
    </w:p>
    <w:p w:rsidR="00FA5015" w:rsidP="00FA5015" w:rsidRDefault="004A0233">
      <w:pPr>
        <w:tabs>
          <w:tab w:val="left" w:pos="800"/>
        </w:tabs>
        <w:overflowPunct w:val="0"/>
        <w:autoSpaceDE w:val="0"/>
        <w:autoSpaceDN w:val="0"/>
        <w:adjustRightInd w:val="0"/>
        <w:spacing w:line="360" w:lineRule="auto"/>
        <w:ind w:left="720" w:hanging="720"/>
        <w:jc w:val="both"/>
        <w:rPr>
          <w:rFonts w:ascii="Arial" w:hAnsi="Arial"/>
          <w:rtl/>
        </w:rPr>
      </w:pPr>
      <w:r>
        <w:rPr>
          <w:rFonts w:hint="cs" w:ascii="Arial" w:hAnsi="Arial"/>
          <w:rtl/>
        </w:rPr>
        <w:t>53</w:t>
      </w:r>
      <w:r w:rsidR="00FA5015">
        <w:rPr>
          <w:rFonts w:hint="cs" w:ascii="Arial" w:hAnsi="Arial"/>
          <w:rtl/>
        </w:rPr>
        <w:t>.</w:t>
      </w:r>
      <w:r w:rsidR="00FA5015">
        <w:rPr>
          <w:rFonts w:hint="cs" w:ascii="Arial" w:hAnsi="Arial"/>
          <w:rtl/>
        </w:rPr>
        <w:tab/>
        <w:t>בנסיבות אלו, וכפי שנקבע ב"</w:t>
      </w:r>
      <w:r w:rsidR="00FA5015">
        <w:rPr>
          <w:rFonts w:hint="cs" w:ascii="Arial" w:hAnsi="Arial"/>
          <w:b/>
          <w:bCs/>
          <w:rtl/>
        </w:rPr>
        <w:t>פרשת צמרות</w:t>
      </w:r>
      <w:r w:rsidR="00FA5015">
        <w:rPr>
          <w:rFonts w:hint="cs" w:ascii="Arial" w:hAnsi="Arial"/>
          <w:rtl/>
        </w:rPr>
        <w:t>" (בפסקה 24), ובמיוחד במקום שבו כאמור, התובעת יכולה היתה לתבוע במסגרת ההליך הקודם את אותם סעדים הנתבעים  עתה בעבור האחים, ולטעון את אותן טענות הנטענות עתה, אין מקום לאפשר את התביעה הנוספת, היא התביעה דנן,  כמו גם את תיקון כתב התביעה.</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rtl/>
        </w:rPr>
      </w:pPr>
    </w:p>
    <w:p w:rsidR="00FA5015" w:rsidP="00FA5015" w:rsidRDefault="004A0233">
      <w:pPr>
        <w:tabs>
          <w:tab w:val="left" w:pos="800"/>
        </w:tabs>
        <w:overflowPunct w:val="0"/>
        <w:autoSpaceDE w:val="0"/>
        <w:autoSpaceDN w:val="0"/>
        <w:adjustRightInd w:val="0"/>
        <w:spacing w:line="360" w:lineRule="auto"/>
        <w:ind w:left="720" w:hanging="720"/>
        <w:jc w:val="both"/>
        <w:rPr>
          <w:rFonts w:ascii="Arial" w:hAnsi="Arial"/>
          <w:rtl/>
        </w:rPr>
      </w:pPr>
      <w:r>
        <w:rPr>
          <w:rFonts w:hint="cs" w:ascii="Arial" w:hAnsi="Arial"/>
          <w:rtl/>
        </w:rPr>
        <w:t>54</w:t>
      </w:r>
      <w:r w:rsidR="00FA5015">
        <w:rPr>
          <w:rFonts w:hint="cs" w:ascii="Arial" w:hAnsi="Arial"/>
          <w:rtl/>
        </w:rPr>
        <w:t>.</w:t>
      </w:r>
      <w:r w:rsidR="00FA5015">
        <w:rPr>
          <w:rFonts w:hint="cs" w:ascii="Arial" w:hAnsi="Arial"/>
          <w:rtl/>
        </w:rPr>
        <w:tab/>
        <w:t xml:space="preserve">מעבר לעובדה שהבקשה לצירוף האחים צריכה היתה להתבצע בהליך הקודם, יש לציין כי הבקשה לצירוף אחיה של התובעת לקונית ביותר, אינה מגובה בתצהיריהם של האחים ויפויי </w:t>
      </w:r>
      <w:r w:rsidR="00FA5015">
        <w:rPr>
          <w:rFonts w:hint="cs" w:ascii="Arial" w:hAnsi="Arial"/>
          <w:rtl/>
        </w:rPr>
        <w:lastRenderedPageBreak/>
        <w:t xml:space="preserve">כח </w:t>
      </w:r>
      <w:r w:rsidR="00E12E03">
        <w:rPr>
          <w:rFonts w:hint="cs" w:ascii="Arial" w:hAnsi="Arial"/>
          <w:rtl/>
        </w:rPr>
        <w:t xml:space="preserve"> </w:t>
      </w:r>
      <w:r w:rsidR="00FA5015">
        <w:rPr>
          <w:rFonts w:hint="cs" w:ascii="Arial" w:hAnsi="Arial"/>
          <w:rtl/>
        </w:rPr>
        <w:t>ואינה מפרטת מדוע הם מבקשים להצטרף וכיצד נפגעו כתוצאה מהעסקה באופן המחייב את צירופם, במיוחד כאשר על פי פסק הדין התמונה האמיתית שונה לחלוטין.</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rtl/>
        </w:rPr>
      </w:pPr>
    </w:p>
    <w:p w:rsidR="00FA5015" w:rsidP="00FA5015" w:rsidRDefault="004A0233">
      <w:pPr>
        <w:tabs>
          <w:tab w:val="left" w:pos="800"/>
        </w:tabs>
        <w:overflowPunct w:val="0"/>
        <w:autoSpaceDE w:val="0"/>
        <w:autoSpaceDN w:val="0"/>
        <w:adjustRightInd w:val="0"/>
        <w:spacing w:line="360" w:lineRule="auto"/>
        <w:ind w:left="720" w:hanging="720"/>
        <w:jc w:val="both"/>
        <w:rPr>
          <w:rFonts w:ascii="Arial" w:hAnsi="Arial"/>
          <w:rtl/>
        </w:rPr>
      </w:pPr>
      <w:r>
        <w:rPr>
          <w:rFonts w:hint="cs" w:ascii="Arial" w:hAnsi="Arial"/>
          <w:rtl/>
        </w:rPr>
        <w:t>55</w:t>
      </w:r>
      <w:r w:rsidR="00FA5015">
        <w:rPr>
          <w:rFonts w:hint="cs" w:ascii="Arial" w:hAnsi="Arial"/>
          <w:rtl/>
        </w:rPr>
        <w:t>.</w:t>
      </w:r>
      <w:r w:rsidR="00FA5015">
        <w:rPr>
          <w:rFonts w:hint="cs" w:ascii="Arial" w:hAnsi="Arial"/>
          <w:rtl/>
        </w:rPr>
        <w:tab/>
        <w:t>בנסיבות אלו, המסקנה המתבקשת היא, שפסק הדין בהליך הקודם מקים השתק עילה וחוסם אפשרות הגשתה של התביעה שלפני ודין הבקשה לצירוף אחיה של התובעת נדחית אף היא.</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rtl/>
        </w:rPr>
      </w:pPr>
    </w:p>
    <w:p w:rsidR="00FA5015" w:rsidP="00FA5015" w:rsidRDefault="004A0233">
      <w:pPr>
        <w:tabs>
          <w:tab w:val="left" w:pos="800"/>
        </w:tabs>
        <w:overflowPunct w:val="0"/>
        <w:autoSpaceDE w:val="0"/>
        <w:autoSpaceDN w:val="0"/>
        <w:adjustRightInd w:val="0"/>
        <w:spacing w:line="360" w:lineRule="auto"/>
        <w:ind w:left="720" w:hanging="720"/>
        <w:jc w:val="both"/>
        <w:rPr>
          <w:rFonts w:ascii="Arial" w:hAnsi="Arial"/>
          <w:rtl/>
        </w:rPr>
      </w:pPr>
      <w:r>
        <w:rPr>
          <w:rFonts w:hint="cs" w:ascii="Arial" w:hAnsi="Arial"/>
          <w:rtl/>
        </w:rPr>
        <w:t>56</w:t>
      </w:r>
      <w:r w:rsidR="00FA5015">
        <w:rPr>
          <w:rFonts w:hint="cs" w:ascii="Arial" w:hAnsi="Arial"/>
          <w:rtl/>
        </w:rPr>
        <w:t>.</w:t>
      </w:r>
      <w:r w:rsidR="00FA5015">
        <w:rPr>
          <w:rFonts w:hint="cs" w:ascii="Arial" w:hAnsi="Arial"/>
          <w:rtl/>
        </w:rPr>
        <w:tab/>
        <w:t xml:space="preserve"> על כן אני מורה על דחייתה של התביעה על הסף.</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rtl/>
        </w:rPr>
      </w:pPr>
      <w:r>
        <w:rPr>
          <w:rFonts w:hint="cs" w:ascii="Arial" w:hAnsi="Arial"/>
          <w:rtl/>
        </w:rPr>
        <w:tab/>
        <w:t xml:space="preserve">התובעת תשלם לכל אחד מהנתבעים2  ו – 3 הוצאות משפט ושכ"ט  עו"ד בסך  2,000 ₪ ולנתבע 1 הוצאות משפט בסך 750 ₪. הסכום ישולם תוך 30 יום שאם לא כן ישא הפרשי הצמדה וריבית מהיום ועד לתשלום המלא בפועל.   </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rtl/>
        </w:rPr>
      </w:pPr>
      <w:r>
        <w:rPr>
          <w:rFonts w:hint="cs" w:ascii="Arial" w:hAnsi="Arial"/>
          <w:rtl/>
        </w:rPr>
        <w:t xml:space="preserve"> </w:t>
      </w:r>
    </w:p>
    <w:p w:rsidR="00FA5015" w:rsidP="00FA5015" w:rsidRDefault="00FA5015">
      <w:pPr>
        <w:tabs>
          <w:tab w:val="left" w:pos="800"/>
        </w:tabs>
        <w:overflowPunct w:val="0"/>
        <w:autoSpaceDE w:val="0"/>
        <w:autoSpaceDN w:val="0"/>
        <w:adjustRightInd w:val="0"/>
        <w:spacing w:line="360" w:lineRule="auto"/>
        <w:ind w:left="720" w:hanging="720"/>
        <w:jc w:val="both"/>
        <w:rPr>
          <w:rFonts w:ascii="Arial" w:hAnsi="Arial"/>
          <w:rtl/>
        </w:rPr>
      </w:pPr>
    </w:p>
    <w:p w:rsidR="00FA5015" w:rsidP="00FA5015" w:rsidRDefault="00FA5015">
      <w:pPr>
        <w:spacing w:line="360" w:lineRule="auto"/>
        <w:jc w:val="both"/>
        <w:rPr>
          <w:rFonts w:ascii="Arial" w:hAnsi="Arial"/>
          <w:color w:val="FFFFFF"/>
          <w:sz w:val="2"/>
          <w:szCs w:val="2"/>
          <w:rtl/>
        </w:rPr>
      </w:pPr>
    </w:p>
    <w:p w:rsidR="00FA5015" w:rsidP="00FA5015" w:rsidRDefault="00FA5015">
      <w:pPr>
        <w:spacing w:line="360" w:lineRule="auto"/>
        <w:jc w:val="both"/>
        <w:rPr>
          <w:rFonts w:ascii="Arial" w:hAnsi="Arial"/>
          <w:color w:val="FFFFFF"/>
          <w:sz w:val="2"/>
          <w:szCs w:val="2"/>
          <w:rtl/>
        </w:rPr>
      </w:pPr>
      <w:r>
        <w:rPr>
          <w:rFonts w:hint="cs" w:ascii="Arial" w:hAnsi="Arial"/>
          <w:color w:val="FFFFFF"/>
          <w:sz w:val="2"/>
          <w:szCs w:val="2"/>
          <w:rtl/>
        </w:rPr>
        <w:t>5129371</w:t>
      </w:r>
    </w:p>
    <w:bookmarkEnd w:id="1"/>
    <w:p w:rsidRPr="00F847E5" w:rsidR="004A0233" w:rsidP="00F847E5" w:rsidRDefault="004A0233">
      <w:pPr>
        <w:rPr>
          <w:b/>
          <w:bCs/>
          <w:u w:val="single"/>
        </w:rPr>
      </w:pPr>
      <w:r w:rsidRPr="00F847E5">
        <w:rPr>
          <w:rFonts w:hint="cs"/>
          <w:b/>
          <w:bCs/>
          <w:u w:val="single"/>
          <w:rtl/>
        </w:rPr>
        <w:t>המזכירות תעביר העתק מפסק דין זה לצדדים.</w:t>
      </w:r>
    </w:p>
    <w:p w:rsidR="00694556" w:rsidRDefault="00005C8B">
      <w:pPr>
        <w:spacing w:line="360" w:lineRule="auto"/>
        <w:jc w:val="both"/>
        <w:rPr>
          <w:rFonts w:ascii="Arial" w:hAnsi="Arial"/>
          <w:rtl/>
        </w:rPr>
      </w:pPr>
      <w:r>
        <w:rPr>
          <w:rFonts w:ascii="Arial" w:hAnsi="Arial"/>
          <w:rtl/>
        </w:rPr>
        <w:t xml:space="preserve">ניתן היום,  </w:t>
      </w:r>
      <w:sdt>
        <w:sdtPr>
          <w:rPr>
            <w:rtl/>
          </w:rPr>
          <w:alias w:val="1455"/>
          <w:tag w:val="1455"/>
          <w:id w:val="242217728"/>
          <w:text w:multiLine="1"/>
        </w:sdtPr>
        <w:sdtEndPr/>
        <w:sdtContent>
          <w:r>
            <w:rPr>
              <w:rFonts w:ascii="Arial" w:hAnsi="Arial"/>
              <w:rtl/>
            </w:rPr>
            <w:t>כ"ז ניסן תשע"ח</w:t>
          </w:r>
        </w:sdtContent>
      </w:sdt>
      <w:r>
        <w:rPr>
          <w:rFonts w:ascii="Arial" w:hAnsi="Arial"/>
          <w:rtl/>
        </w:rPr>
        <w:t xml:space="preserve">, </w:t>
      </w:r>
      <w:sdt>
        <w:sdtPr>
          <w:rPr>
            <w:rtl/>
          </w:rPr>
          <w:alias w:val="1456"/>
          <w:tag w:val="1456"/>
          <w:id w:val="-1101635932"/>
          <w:text w:multiLine="1"/>
        </w:sdtPr>
        <w:sdtEndPr/>
        <w:sdtContent>
          <w:r>
            <w:rPr>
              <w:rFonts w:ascii="Arial" w:hAnsi="Arial"/>
              <w:rtl/>
            </w:rPr>
            <w:t>12 אפריל 2018</w:t>
          </w:r>
        </w:sdtContent>
      </w:sdt>
      <w:r>
        <w:rPr>
          <w:rFonts w:ascii="Arial" w:hAnsi="Arial"/>
          <w:rtl/>
        </w:rPr>
        <w:t>, בהעדר הצדדים.</w:t>
      </w:r>
    </w:p>
    <w:p w:rsidR="005B0F49" w:rsidP="00633C4F" w:rsidRDefault="005B0F49">
      <w:pPr>
        <w:spacing w:line="360" w:lineRule="auto"/>
        <w:jc w:val="both"/>
        <w:rPr>
          <w:rFonts w:ascii="Arial" w:hAnsi="Arial"/>
          <w:rt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sidR="00633C4F">
        <w:rPr>
          <w:rFonts w:ascii="Arial" w:hAnsi="Arial"/>
          <w:rtl/>
        </w:rPr>
        <w:tab/>
      </w:r>
      <w:sdt>
        <w:sdtPr>
          <w:rPr>
            <w:rFonts w:hint="cs" w:ascii="Arial" w:hAnsi="Arial"/>
            <w:rtl/>
          </w:rPr>
          <w:alias w:val="2045"/>
          <w:tag w:val="2045"/>
          <w:id w:val="1736736771"/>
          <w:placeholder>
            <w:docPart w:val="03459962B6984C23A2D5882F7D086C2E"/>
          </w:placeholder>
          <w:showingPlcHdr/>
          <w:text w:multiLine="1"/>
        </w:sdtPr>
        <w:sdtEndPr/>
        <w:sdtContent/>
      </w:sdt>
      <w:r>
        <w:rPr>
          <w:rFonts w:hint="cs" w:ascii="Arial" w:hAnsi="Arial"/>
          <w:rtl/>
        </w:rPr>
        <w:tab/>
      </w:r>
      <w:r>
        <w:rPr>
          <w:rFonts w:hint="cs" w:ascii="Arial" w:hAnsi="Arial"/>
          <w:rtl/>
        </w:rPr>
        <w:tab/>
      </w:r>
      <w:r w:rsidR="00633C4F">
        <w:rPr>
          <w:rFonts w:ascii="Arial" w:hAnsi="Arial"/>
          <w:rtl/>
        </w:rPr>
        <w:t xml:space="preserve"> </w:t>
      </w:r>
    </w:p>
    <w:p w:rsidR="00694556" w:rsidP="00633C4F" w:rsidRDefault="00624DBE">
      <w:pPr>
        <w:spacing w:line="360" w:lineRule="auto"/>
        <w:ind w:left="3600" w:firstLine="720"/>
        <w:rPr>
          <w:rFonts w:ascii="Arial" w:hAnsi="Arial"/>
          <w:rtl/>
        </w:rPr>
      </w:pPr>
      <w:sdt>
        <w:sdtPr>
          <w:alias w:val="MergeField"/>
          <w:tag w:val="1237"/>
        </w:sdtPr>
        <w:sdtContent>
          <w:p>
            <w:r>
              <w:drawing>
                <wp:inline distT="0" distB="0" distL="0" distR="0" wp14:editId="50D07946">
                  <wp:extent cx="1162050" cy="10382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d4b11451ba24f84" cstate="print">
                            <a:extLst>
                              <a:ext uri="{28A0092B-C50C-407E-A947-70E740481C1C}"/>
                            </a:extLst>
                          </a:blip>
                          <a:stretch>
                            <a:fillRect/>
                          </a:stretch>
                        </pic:blipFill>
                        <pic:spPr>
                          <a:xfrm>
                            <a:off x="0" y="0"/>
                            <a:ext cx="1162050" cy="1038224"/>
                          </a:xfrm>
                          <a:prstGeom prst="rect">
                            <a:avLst/>
                          </a:prstGeom>
                        </pic:spPr>
                      </pic:pic>
                    </a:graphicData>
                  </a:graphic>
                </wp:inline>
              </w:drawing>
            </w:r>
          </w:p>
        </w:sdtContent>
      </w:sdt>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sectPr w:rsidR="00694556" w:rsidSect="00903896">
      <w:headerReference w:type="default" r:id="rId21"/>
      <w:footerReference w:type="default" r:id="rId2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624DBE">
      <w:rPr>
        <w:rStyle w:val="ae"/>
        <w:rFonts w:cs="Times New Roman"/>
        <w:noProof/>
        <w:rtl/>
      </w:rPr>
      <w:t>6</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624DBE">
      <w:rPr>
        <w:rStyle w:val="ae"/>
        <w:noProof/>
        <w:rtl/>
      </w:rPr>
      <w:t>12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24DBE">
    <w:pPr>
      <w:pStyle w:val="a5"/>
      <w:jc w:val="center"/>
      <w:rPr>
        <w:rFonts w:cs="FrankRuehl"/>
        <w:sz w:val="28"/>
        <w:szCs w:val="28"/>
        <w:rtl/>
      </w:rPr>
    </w:pPr>
    <w:r>
      <w:rPr>
        <w:rFonts w:cs="FrankRuehl"/>
        <w:sz w:val="28"/>
        <w:szCs w:val="28"/>
        <w:rtl/>
      </w:rPr>
    </w:r>
    <w:r w:rsidR="001277D7">
      <w:rPr>
        <w:rFonts w:cs="FrankRuehl"/>
        <w:noProof/>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משפט השלום בנצרת</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694556" w:rsidRDefault="00624DBE">
          <w:pPr>
            <w:rPr>
              <w:b/>
              <w:bCs/>
              <w:sz w:val="26"/>
              <w:szCs w:val="26"/>
              <w:rtl/>
            </w:rPr>
          </w:pPr>
          <w:sdt>
            <w:sdtPr>
              <w:rPr>
                <w:b/>
                <w:bCs/>
                <w:sz w:val="26"/>
                <w:szCs w:val="26"/>
                <w:rtl/>
              </w:rPr>
              <w:alias w:val="1170"/>
              <w:tag w:val="1170"/>
              <w:id w:val="299038016"/>
              <w:text w:multiLine="1"/>
            </w:sdtPr>
            <w:sdtEndPr/>
            <w:sdtContent>
              <w:r w:rsidR="00D36A71">
                <w:rPr>
                  <w:b/>
                  <w:bCs/>
                  <w:sz w:val="26"/>
                  <w:szCs w:val="26"/>
                  <w:rtl/>
                </w:rPr>
                <w:t>ת"א</w:t>
              </w:r>
            </w:sdtContent>
          </w:sdt>
          <w:r w:rsidR="00005C8B">
            <w:rPr>
              <w:b/>
              <w:bCs/>
              <w:sz w:val="26"/>
              <w:szCs w:val="26"/>
              <w:rtl/>
            </w:rPr>
            <w:t xml:space="preserve"> </w:t>
          </w:r>
          <w:sdt>
            <w:sdtPr>
              <w:rPr>
                <w:b/>
                <w:bCs/>
                <w:sz w:val="26"/>
                <w:szCs w:val="26"/>
                <w:rtl/>
              </w:rPr>
              <w:alias w:val="1171"/>
              <w:tag w:val="1171"/>
              <w:id w:val="81650337"/>
              <w:text w:multiLine="1"/>
            </w:sdtPr>
            <w:sdtEndPr/>
            <w:sdtContent>
              <w:r w:rsidR="00D36A71">
                <w:rPr>
                  <w:b/>
                  <w:bCs/>
                  <w:sz w:val="26"/>
                  <w:szCs w:val="26"/>
                  <w:rtl/>
                </w:rPr>
                <w:t>64449-05-17</w:t>
              </w:r>
            </w:sdtContent>
          </w:sdt>
          <w:r w:rsidR="00005C8B">
            <w:rPr>
              <w:b/>
              <w:bCs/>
              <w:sz w:val="26"/>
              <w:szCs w:val="26"/>
              <w:rtl/>
            </w:rPr>
            <w:t xml:space="preserve"> </w:t>
          </w:r>
          <w:sdt>
            <w:sdtPr>
              <w:rPr>
                <w:b/>
                <w:bCs/>
                <w:sz w:val="26"/>
                <w:szCs w:val="26"/>
                <w:rtl/>
              </w:rPr>
              <w:alias w:val="1172"/>
              <w:tag w:val="1172"/>
              <w:id w:val="-1742169342"/>
              <w:text w:multiLine="1"/>
            </w:sdtPr>
            <w:sdtEndPr/>
            <w:sdtContent>
              <w:r w:rsidR="00D36A71">
                <w:rPr>
                  <w:b/>
                  <w:bCs/>
                  <w:sz w:val="26"/>
                  <w:szCs w:val="26"/>
                  <w:rtl/>
                </w:rPr>
                <w:t>קריטי נ' קריטי ואח'</w:t>
              </w:r>
            </w:sdtContent>
          </w:sdt>
        </w:p>
        <w:p w:rsidRPr="00957C90" w:rsidR="00694556" w:rsidRDefault="00694556">
          <w:pPr>
            <w:rPr>
              <w:b/>
              <w:bCs/>
              <w:sz w:val="2"/>
              <w:szCs w:val="2"/>
              <w:rtl/>
            </w:rPr>
          </w:pPr>
        </w:p>
        <w:p w:rsidR="0043595F" w:rsidP="00957C90" w:rsidRDefault="00957C90">
          <w:pPr>
            <w:rPr>
              <w:b/>
              <w:bCs/>
              <w:sz w:val="26"/>
              <w:szCs w:val="26"/>
              <w:rtl/>
            </w:rPr>
          </w:pPr>
          <w:r w:rsidRPr="00957C90">
            <w:rPr>
              <w:rFonts w:hint="cs"/>
              <w:b/>
              <w:bCs/>
              <w:sz w:val="26"/>
              <w:szCs w:val="26"/>
              <w:rtl/>
            </w:rPr>
            <w:t xml:space="preserve"> </w:t>
          </w:r>
        </w:p>
        <w:p w:rsidRPr="00957C90" w:rsidR="00957C90" w:rsidRDefault="005C7EC6">
          <w:pPr>
            <w:rPr>
              <w:b/>
              <w:bCs/>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684452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E7322D4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FE28CD2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22CEB5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1F00C7D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6051E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4A53B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08896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7DAA7F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BE8B60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4234E"/>
    <w:rsid w:val="00145A87"/>
    <w:rsid w:val="001C4003"/>
    <w:rsid w:val="001F5474"/>
    <w:rsid w:val="002352F7"/>
    <w:rsid w:val="00381D3A"/>
    <w:rsid w:val="003823DA"/>
    <w:rsid w:val="0043595F"/>
    <w:rsid w:val="00452151"/>
    <w:rsid w:val="0047645A"/>
    <w:rsid w:val="004A0233"/>
    <w:rsid w:val="004D49A3"/>
    <w:rsid w:val="004E47D5"/>
    <w:rsid w:val="004E6E3C"/>
    <w:rsid w:val="005124F1"/>
    <w:rsid w:val="00530BAD"/>
    <w:rsid w:val="00541598"/>
    <w:rsid w:val="00547DB7"/>
    <w:rsid w:val="00567324"/>
    <w:rsid w:val="005B0F49"/>
    <w:rsid w:val="005C7EC6"/>
    <w:rsid w:val="005D4BDB"/>
    <w:rsid w:val="00622BAA"/>
    <w:rsid w:val="00624DBE"/>
    <w:rsid w:val="00625C89"/>
    <w:rsid w:val="00633C4F"/>
    <w:rsid w:val="00671BD5"/>
    <w:rsid w:val="006805C1"/>
    <w:rsid w:val="006816EC"/>
    <w:rsid w:val="00694556"/>
    <w:rsid w:val="006E1A53"/>
    <w:rsid w:val="007056AA"/>
    <w:rsid w:val="00744F41"/>
    <w:rsid w:val="007A24FE"/>
    <w:rsid w:val="007A35AA"/>
    <w:rsid w:val="007F1048"/>
    <w:rsid w:val="00820005"/>
    <w:rsid w:val="00846D27"/>
    <w:rsid w:val="008610A7"/>
    <w:rsid w:val="008E1332"/>
    <w:rsid w:val="00903896"/>
    <w:rsid w:val="0092486B"/>
    <w:rsid w:val="00927813"/>
    <w:rsid w:val="00944D13"/>
    <w:rsid w:val="00957C90"/>
    <w:rsid w:val="009E0263"/>
    <w:rsid w:val="00A267CF"/>
    <w:rsid w:val="00A43458"/>
    <w:rsid w:val="00A6762E"/>
    <w:rsid w:val="00AC4E19"/>
    <w:rsid w:val="00AF1ED6"/>
    <w:rsid w:val="00B32C61"/>
    <w:rsid w:val="00B368FE"/>
    <w:rsid w:val="00B80CBD"/>
    <w:rsid w:val="00BC3369"/>
    <w:rsid w:val="00BF77EE"/>
    <w:rsid w:val="00C32E0F"/>
    <w:rsid w:val="00C42BF9"/>
    <w:rsid w:val="00C83E56"/>
    <w:rsid w:val="00D319B3"/>
    <w:rsid w:val="00D36A71"/>
    <w:rsid w:val="00D53924"/>
    <w:rsid w:val="00D60849"/>
    <w:rsid w:val="00D96D8C"/>
    <w:rsid w:val="00DA755B"/>
    <w:rsid w:val="00DD337E"/>
    <w:rsid w:val="00E00B6F"/>
    <w:rsid w:val="00E12E03"/>
    <w:rsid w:val="00E13246"/>
    <w:rsid w:val="00E54642"/>
    <w:rsid w:val="00E76448"/>
    <w:rsid w:val="00E97908"/>
    <w:rsid w:val="00EF3ED0"/>
    <w:rsid w:val="00F17E56"/>
    <w:rsid w:val="00FA501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5F43F31D"/>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4A023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4A023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4A0233"/>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4A0233"/>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4A0233"/>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4A0233"/>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4A023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4A023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957C90"/>
    <w:rPr>
      <w:noProof w:val="0"/>
      <w:color w:val="808080"/>
    </w:rPr>
  </w:style>
  <w:style w:type="character" w:customStyle="1" w:styleId="TimesNewRomanTimesNewRoman">
    <w:name w:val="סגנון (לטיני) Times New Roman (עברית ושפות אחרות) Times New Roman..."/>
    <w:basedOn w:val="a2"/>
    <w:rPr>
      <w:rFonts w:ascii="Times New Roman" w:hAnsi="Times New Roman" w:cs="David" w:hint="default"/>
      <w:b/>
      <w:bCs/>
      <w:noProof w:val="0"/>
      <w:sz w:val="26"/>
      <w:szCs w:val="26"/>
    </w:rPr>
  </w:style>
  <w:style w:type="character" w:styleId="Hyperlink">
    <w:name w:val="Hyperlink"/>
    <w:basedOn w:val="a2"/>
    <w:uiPriority w:val="99"/>
    <w:semiHidden/>
    <w:unhideWhenUsed/>
    <w:rsid w:val="00FA5015"/>
    <w:rPr>
      <w:noProof w:val="0"/>
      <w:color w:val="0000FF"/>
      <w:u w:val="single"/>
    </w:rPr>
  </w:style>
  <w:style w:type="character" w:styleId="FollowedHyperlink">
    <w:name w:val="FollowedHyperlink"/>
    <w:basedOn w:val="a2"/>
    <w:semiHidden/>
    <w:unhideWhenUsed/>
    <w:rsid w:val="004A0233"/>
    <w:rPr>
      <w:noProof w:val="0"/>
      <w:color w:val="800080" w:themeColor="followedHyperlink"/>
      <w:u w:val="single"/>
    </w:rPr>
  </w:style>
  <w:style w:type="character" w:styleId="HTMLCite">
    <w:name w:val="HTML Cite"/>
    <w:basedOn w:val="a2"/>
    <w:semiHidden/>
    <w:unhideWhenUsed/>
    <w:rsid w:val="004A0233"/>
    <w:rPr>
      <w:i/>
      <w:iCs/>
      <w:noProof w:val="0"/>
    </w:rPr>
  </w:style>
  <w:style w:type="character" w:styleId="HTMLCode">
    <w:name w:val="HTML Code"/>
    <w:basedOn w:val="a2"/>
    <w:semiHidden/>
    <w:unhideWhenUsed/>
    <w:rsid w:val="004A0233"/>
    <w:rPr>
      <w:rFonts w:ascii="Consolas" w:hAnsi="Consolas"/>
      <w:noProof w:val="0"/>
      <w:sz w:val="20"/>
      <w:szCs w:val="20"/>
    </w:rPr>
  </w:style>
  <w:style w:type="character" w:styleId="HTMLDefinition">
    <w:name w:val="HTML Definition"/>
    <w:basedOn w:val="a2"/>
    <w:semiHidden/>
    <w:unhideWhenUsed/>
    <w:rsid w:val="004A0233"/>
    <w:rPr>
      <w:i/>
      <w:iCs/>
      <w:noProof w:val="0"/>
    </w:rPr>
  </w:style>
  <w:style w:type="character" w:styleId="HTMLVariable">
    <w:name w:val="HTML Variable"/>
    <w:basedOn w:val="a2"/>
    <w:semiHidden/>
    <w:unhideWhenUsed/>
    <w:rsid w:val="004A0233"/>
    <w:rPr>
      <w:i/>
      <w:iCs/>
      <w:noProof w:val="0"/>
    </w:rPr>
  </w:style>
  <w:style w:type="paragraph" w:styleId="HTML">
    <w:name w:val="HTML Preformatted"/>
    <w:basedOn w:val="a1"/>
    <w:link w:val="HTML0"/>
    <w:semiHidden/>
    <w:unhideWhenUsed/>
    <w:rsid w:val="004A0233"/>
    <w:rPr>
      <w:rFonts w:ascii="Consolas" w:hAnsi="Consolas"/>
      <w:sz w:val="20"/>
      <w:szCs w:val="20"/>
    </w:rPr>
  </w:style>
  <w:style w:type="character" w:customStyle="1" w:styleId="HTML0">
    <w:name w:val="HTML מעוצב מראש תו"/>
    <w:basedOn w:val="a2"/>
    <w:link w:val="HTML"/>
    <w:semiHidden/>
    <w:rsid w:val="004A0233"/>
    <w:rPr>
      <w:rFonts w:ascii="Consolas" w:hAnsi="Consolas" w:cs="David"/>
      <w:noProof w:val="0"/>
    </w:rPr>
  </w:style>
  <w:style w:type="paragraph" w:styleId="Index1">
    <w:name w:val="index 1"/>
    <w:basedOn w:val="a1"/>
    <w:next w:val="a1"/>
    <w:autoRedefine/>
    <w:semiHidden/>
    <w:unhideWhenUsed/>
    <w:rsid w:val="004A0233"/>
    <w:pPr>
      <w:ind w:left="240" w:hanging="240"/>
    </w:pPr>
  </w:style>
  <w:style w:type="paragraph" w:styleId="Index2">
    <w:name w:val="index 2"/>
    <w:basedOn w:val="a1"/>
    <w:next w:val="a1"/>
    <w:autoRedefine/>
    <w:semiHidden/>
    <w:unhideWhenUsed/>
    <w:rsid w:val="004A0233"/>
    <w:pPr>
      <w:ind w:left="480" w:hanging="240"/>
    </w:pPr>
  </w:style>
  <w:style w:type="paragraph" w:styleId="Index3">
    <w:name w:val="index 3"/>
    <w:basedOn w:val="a1"/>
    <w:next w:val="a1"/>
    <w:autoRedefine/>
    <w:semiHidden/>
    <w:unhideWhenUsed/>
    <w:rsid w:val="004A0233"/>
    <w:pPr>
      <w:ind w:left="720" w:hanging="240"/>
    </w:pPr>
  </w:style>
  <w:style w:type="paragraph" w:styleId="Index4">
    <w:name w:val="index 4"/>
    <w:basedOn w:val="a1"/>
    <w:next w:val="a1"/>
    <w:autoRedefine/>
    <w:semiHidden/>
    <w:unhideWhenUsed/>
    <w:rsid w:val="004A0233"/>
    <w:pPr>
      <w:ind w:left="960" w:hanging="240"/>
    </w:pPr>
  </w:style>
  <w:style w:type="paragraph" w:styleId="Index5">
    <w:name w:val="index 5"/>
    <w:basedOn w:val="a1"/>
    <w:next w:val="a1"/>
    <w:autoRedefine/>
    <w:semiHidden/>
    <w:unhideWhenUsed/>
    <w:rsid w:val="004A0233"/>
    <w:pPr>
      <w:ind w:left="1200" w:hanging="240"/>
    </w:pPr>
  </w:style>
  <w:style w:type="paragraph" w:styleId="Index6">
    <w:name w:val="index 6"/>
    <w:basedOn w:val="a1"/>
    <w:next w:val="a1"/>
    <w:autoRedefine/>
    <w:semiHidden/>
    <w:unhideWhenUsed/>
    <w:rsid w:val="004A0233"/>
    <w:pPr>
      <w:ind w:left="1440" w:hanging="240"/>
    </w:pPr>
  </w:style>
  <w:style w:type="paragraph" w:styleId="Index7">
    <w:name w:val="index 7"/>
    <w:basedOn w:val="a1"/>
    <w:next w:val="a1"/>
    <w:autoRedefine/>
    <w:semiHidden/>
    <w:unhideWhenUsed/>
    <w:rsid w:val="004A0233"/>
    <w:pPr>
      <w:ind w:left="1680" w:hanging="240"/>
    </w:pPr>
  </w:style>
  <w:style w:type="paragraph" w:styleId="Index8">
    <w:name w:val="index 8"/>
    <w:basedOn w:val="a1"/>
    <w:next w:val="a1"/>
    <w:autoRedefine/>
    <w:semiHidden/>
    <w:unhideWhenUsed/>
    <w:rsid w:val="004A0233"/>
    <w:pPr>
      <w:ind w:left="1920" w:hanging="240"/>
    </w:pPr>
  </w:style>
  <w:style w:type="paragraph" w:styleId="Index9">
    <w:name w:val="index 9"/>
    <w:basedOn w:val="a1"/>
    <w:next w:val="a1"/>
    <w:autoRedefine/>
    <w:semiHidden/>
    <w:unhideWhenUsed/>
    <w:rsid w:val="004A0233"/>
    <w:pPr>
      <w:ind w:left="2160" w:hanging="240"/>
    </w:pPr>
  </w:style>
  <w:style w:type="paragraph" w:styleId="NormalWeb">
    <w:name w:val="Normal (Web)"/>
    <w:basedOn w:val="a1"/>
    <w:semiHidden/>
    <w:unhideWhenUsed/>
    <w:rsid w:val="004A0233"/>
    <w:rPr>
      <w:rFonts w:cs="Times New Roman"/>
    </w:rPr>
  </w:style>
  <w:style w:type="paragraph" w:styleId="TOC1">
    <w:name w:val="toc 1"/>
    <w:basedOn w:val="a1"/>
    <w:next w:val="a1"/>
    <w:autoRedefine/>
    <w:semiHidden/>
    <w:unhideWhenUsed/>
    <w:rsid w:val="004A0233"/>
    <w:pPr>
      <w:spacing w:after="100"/>
    </w:pPr>
  </w:style>
  <w:style w:type="paragraph" w:styleId="TOC2">
    <w:name w:val="toc 2"/>
    <w:basedOn w:val="a1"/>
    <w:next w:val="a1"/>
    <w:autoRedefine/>
    <w:semiHidden/>
    <w:unhideWhenUsed/>
    <w:rsid w:val="004A0233"/>
    <w:pPr>
      <w:spacing w:after="100"/>
      <w:ind w:left="240"/>
    </w:pPr>
  </w:style>
  <w:style w:type="paragraph" w:styleId="TOC3">
    <w:name w:val="toc 3"/>
    <w:basedOn w:val="a1"/>
    <w:next w:val="a1"/>
    <w:autoRedefine/>
    <w:semiHidden/>
    <w:unhideWhenUsed/>
    <w:rsid w:val="004A0233"/>
    <w:pPr>
      <w:spacing w:after="100"/>
      <w:ind w:left="480"/>
    </w:pPr>
  </w:style>
  <w:style w:type="paragraph" w:styleId="TOC4">
    <w:name w:val="toc 4"/>
    <w:basedOn w:val="a1"/>
    <w:next w:val="a1"/>
    <w:autoRedefine/>
    <w:semiHidden/>
    <w:unhideWhenUsed/>
    <w:rsid w:val="004A0233"/>
    <w:pPr>
      <w:spacing w:after="100"/>
      <w:ind w:left="720"/>
    </w:pPr>
  </w:style>
  <w:style w:type="paragraph" w:styleId="TOC5">
    <w:name w:val="toc 5"/>
    <w:basedOn w:val="a1"/>
    <w:next w:val="a1"/>
    <w:autoRedefine/>
    <w:semiHidden/>
    <w:unhideWhenUsed/>
    <w:rsid w:val="004A0233"/>
    <w:pPr>
      <w:spacing w:after="100"/>
      <w:ind w:left="960"/>
    </w:pPr>
  </w:style>
  <w:style w:type="paragraph" w:styleId="TOC6">
    <w:name w:val="toc 6"/>
    <w:basedOn w:val="a1"/>
    <w:next w:val="a1"/>
    <w:autoRedefine/>
    <w:semiHidden/>
    <w:unhideWhenUsed/>
    <w:rsid w:val="004A0233"/>
    <w:pPr>
      <w:spacing w:after="100"/>
      <w:ind w:left="1200"/>
    </w:pPr>
  </w:style>
  <w:style w:type="paragraph" w:styleId="TOC7">
    <w:name w:val="toc 7"/>
    <w:basedOn w:val="a1"/>
    <w:next w:val="a1"/>
    <w:autoRedefine/>
    <w:semiHidden/>
    <w:unhideWhenUsed/>
    <w:rsid w:val="004A0233"/>
    <w:pPr>
      <w:spacing w:after="100"/>
      <w:ind w:left="1440"/>
    </w:pPr>
  </w:style>
  <w:style w:type="paragraph" w:styleId="TOC8">
    <w:name w:val="toc 8"/>
    <w:basedOn w:val="a1"/>
    <w:next w:val="a1"/>
    <w:autoRedefine/>
    <w:semiHidden/>
    <w:unhideWhenUsed/>
    <w:rsid w:val="004A0233"/>
    <w:pPr>
      <w:spacing w:after="100"/>
      <w:ind w:left="1680"/>
    </w:pPr>
  </w:style>
  <w:style w:type="paragraph" w:styleId="TOC9">
    <w:name w:val="toc 9"/>
    <w:basedOn w:val="a1"/>
    <w:next w:val="a1"/>
    <w:autoRedefine/>
    <w:semiHidden/>
    <w:unhideWhenUsed/>
    <w:rsid w:val="004A0233"/>
    <w:pPr>
      <w:spacing w:after="100"/>
      <w:ind w:left="1920"/>
    </w:pPr>
  </w:style>
  <w:style w:type="table" w:styleId="-1">
    <w:name w:val="Table 3D effects 1"/>
    <w:basedOn w:val="a3"/>
    <w:semiHidden/>
    <w:unhideWhenUsed/>
    <w:rsid w:val="004A0233"/>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4A0233"/>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4A0233"/>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4A0233"/>
  </w:style>
  <w:style w:type="paragraph" w:styleId="af1">
    <w:name w:val="Salutation"/>
    <w:basedOn w:val="a1"/>
    <w:next w:val="a1"/>
    <w:link w:val="af2"/>
    <w:rsid w:val="004A0233"/>
  </w:style>
  <w:style w:type="character" w:customStyle="1" w:styleId="af2">
    <w:name w:val="ברכה תו"/>
    <w:basedOn w:val="a2"/>
    <w:link w:val="af1"/>
    <w:rsid w:val="004A0233"/>
    <w:rPr>
      <w:rFonts w:cs="David"/>
      <w:noProof w:val="0"/>
      <w:sz w:val="24"/>
      <w:szCs w:val="24"/>
    </w:rPr>
  </w:style>
  <w:style w:type="paragraph" w:styleId="af3">
    <w:name w:val="Body Text"/>
    <w:basedOn w:val="a1"/>
    <w:link w:val="af4"/>
    <w:semiHidden/>
    <w:unhideWhenUsed/>
    <w:rsid w:val="004A0233"/>
    <w:pPr>
      <w:spacing w:after="120"/>
    </w:pPr>
  </w:style>
  <w:style w:type="character" w:customStyle="1" w:styleId="af4">
    <w:name w:val="גוף טקסט תו"/>
    <w:basedOn w:val="a2"/>
    <w:link w:val="af3"/>
    <w:semiHidden/>
    <w:rsid w:val="004A0233"/>
    <w:rPr>
      <w:rFonts w:cs="David"/>
      <w:noProof w:val="0"/>
      <w:sz w:val="24"/>
      <w:szCs w:val="24"/>
    </w:rPr>
  </w:style>
  <w:style w:type="paragraph" w:styleId="23">
    <w:name w:val="Body Text 2"/>
    <w:basedOn w:val="a1"/>
    <w:link w:val="24"/>
    <w:semiHidden/>
    <w:unhideWhenUsed/>
    <w:rsid w:val="004A0233"/>
    <w:pPr>
      <w:spacing w:after="120" w:line="480" w:lineRule="auto"/>
    </w:pPr>
  </w:style>
  <w:style w:type="character" w:customStyle="1" w:styleId="24">
    <w:name w:val="גוף טקסט 2 תו"/>
    <w:basedOn w:val="a2"/>
    <w:link w:val="23"/>
    <w:semiHidden/>
    <w:rsid w:val="004A0233"/>
    <w:rPr>
      <w:rFonts w:cs="David"/>
      <w:noProof w:val="0"/>
      <w:sz w:val="24"/>
      <w:szCs w:val="24"/>
    </w:rPr>
  </w:style>
  <w:style w:type="paragraph" w:styleId="33">
    <w:name w:val="Body Text 3"/>
    <w:basedOn w:val="a1"/>
    <w:link w:val="34"/>
    <w:semiHidden/>
    <w:unhideWhenUsed/>
    <w:rsid w:val="004A0233"/>
    <w:pPr>
      <w:spacing w:after="120"/>
    </w:pPr>
    <w:rPr>
      <w:sz w:val="16"/>
      <w:szCs w:val="16"/>
    </w:rPr>
  </w:style>
  <w:style w:type="character" w:customStyle="1" w:styleId="34">
    <w:name w:val="גוף טקסט 3 תו"/>
    <w:basedOn w:val="a2"/>
    <w:link w:val="33"/>
    <w:semiHidden/>
    <w:rsid w:val="004A0233"/>
    <w:rPr>
      <w:rFonts w:cs="David"/>
      <w:noProof w:val="0"/>
      <w:sz w:val="16"/>
      <w:szCs w:val="16"/>
    </w:rPr>
  </w:style>
  <w:style w:type="character" w:styleId="HTML1">
    <w:name w:val="HTML Sample"/>
    <w:basedOn w:val="a2"/>
    <w:semiHidden/>
    <w:unhideWhenUsed/>
    <w:rsid w:val="004A0233"/>
    <w:rPr>
      <w:rFonts w:ascii="Consolas" w:hAnsi="Consolas"/>
      <w:noProof w:val="0"/>
      <w:sz w:val="24"/>
      <w:szCs w:val="24"/>
    </w:rPr>
  </w:style>
  <w:style w:type="character" w:styleId="af5">
    <w:name w:val="Emphasis"/>
    <w:basedOn w:val="a2"/>
    <w:qFormat/>
    <w:rsid w:val="004A0233"/>
    <w:rPr>
      <w:i/>
      <w:iCs/>
      <w:noProof w:val="0"/>
    </w:rPr>
  </w:style>
  <w:style w:type="character" w:styleId="af6">
    <w:name w:val="Intense Emphasis"/>
    <w:basedOn w:val="a2"/>
    <w:uiPriority w:val="21"/>
    <w:qFormat/>
    <w:rsid w:val="004A0233"/>
    <w:rPr>
      <w:i/>
      <w:iCs/>
      <w:noProof w:val="0"/>
      <w:color w:val="4F81BD" w:themeColor="accent1"/>
    </w:rPr>
  </w:style>
  <w:style w:type="character" w:styleId="af7">
    <w:name w:val="Subtle Emphasis"/>
    <w:basedOn w:val="a2"/>
    <w:uiPriority w:val="19"/>
    <w:qFormat/>
    <w:rsid w:val="004A0233"/>
    <w:rPr>
      <w:i/>
      <w:iCs/>
      <w:noProof w:val="0"/>
      <w:color w:val="404040" w:themeColor="text1" w:themeTint="BF"/>
    </w:rPr>
  </w:style>
  <w:style w:type="paragraph" w:styleId="af8">
    <w:name w:val="List Continue"/>
    <w:basedOn w:val="a1"/>
    <w:semiHidden/>
    <w:unhideWhenUsed/>
    <w:rsid w:val="004A0233"/>
    <w:pPr>
      <w:spacing w:after="120"/>
      <w:ind w:left="283"/>
      <w:contextualSpacing/>
    </w:pPr>
  </w:style>
  <w:style w:type="paragraph" w:styleId="25">
    <w:name w:val="List Continue 2"/>
    <w:basedOn w:val="a1"/>
    <w:semiHidden/>
    <w:unhideWhenUsed/>
    <w:rsid w:val="004A0233"/>
    <w:pPr>
      <w:spacing w:after="120"/>
      <w:ind w:left="566"/>
      <w:contextualSpacing/>
    </w:pPr>
  </w:style>
  <w:style w:type="paragraph" w:styleId="35">
    <w:name w:val="List Continue 3"/>
    <w:basedOn w:val="a1"/>
    <w:semiHidden/>
    <w:unhideWhenUsed/>
    <w:rsid w:val="004A0233"/>
    <w:pPr>
      <w:spacing w:after="120"/>
      <w:ind w:left="849"/>
      <w:contextualSpacing/>
    </w:pPr>
  </w:style>
  <w:style w:type="paragraph" w:styleId="42">
    <w:name w:val="List Continue 4"/>
    <w:basedOn w:val="a1"/>
    <w:semiHidden/>
    <w:unhideWhenUsed/>
    <w:rsid w:val="004A0233"/>
    <w:pPr>
      <w:spacing w:after="120"/>
      <w:ind w:left="1132"/>
      <w:contextualSpacing/>
    </w:pPr>
  </w:style>
  <w:style w:type="paragraph" w:styleId="53">
    <w:name w:val="List Continue 5"/>
    <w:basedOn w:val="a1"/>
    <w:semiHidden/>
    <w:unhideWhenUsed/>
    <w:rsid w:val="004A0233"/>
    <w:pPr>
      <w:spacing w:after="120"/>
      <w:ind w:left="1415"/>
      <w:contextualSpacing/>
    </w:pPr>
  </w:style>
  <w:style w:type="character" w:styleId="af9">
    <w:name w:val="Intense Reference"/>
    <w:basedOn w:val="a2"/>
    <w:uiPriority w:val="32"/>
    <w:qFormat/>
    <w:rsid w:val="004A0233"/>
    <w:rPr>
      <w:b/>
      <w:bCs/>
      <w:smallCaps/>
      <w:noProof w:val="0"/>
      <w:color w:val="4F81BD" w:themeColor="accent1"/>
      <w:spacing w:val="5"/>
    </w:rPr>
  </w:style>
  <w:style w:type="character" w:styleId="afa">
    <w:name w:val="endnote reference"/>
    <w:basedOn w:val="a2"/>
    <w:semiHidden/>
    <w:unhideWhenUsed/>
    <w:rsid w:val="004A0233"/>
    <w:rPr>
      <w:noProof w:val="0"/>
      <w:vertAlign w:val="superscript"/>
    </w:rPr>
  </w:style>
  <w:style w:type="character" w:styleId="afb">
    <w:name w:val="footnote reference"/>
    <w:basedOn w:val="a2"/>
    <w:semiHidden/>
    <w:unhideWhenUsed/>
    <w:rsid w:val="004A0233"/>
    <w:rPr>
      <w:noProof w:val="0"/>
      <w:vertAlign w:val="superscript"/>
    </w:rPr>
  </w:style>
  <w:style w:type="character" w:styleId="afc">
    <w:name w:val="Subtle Reference"/>
    <w:basedOn w:val="a2"/>
    <w:uiPriority w:val="31"/>
    <w:qFormat/>
    <w:rsid w:val="004A0233"/>
    <w:rPr>
      <w:smallCaps/>
      <w:noProof w:val="0"/>
      <w:color w:val="5A5A5A" w:themeColor="text1" w:themeTint="A5"/>
    </w:rPr>
  </w:style>
  <w:style w:type="table" w:styleId="afd">
    <w:name w:val="Light Shading"/>
    <w:basedOn w:val="a3"/>
    <w:uiPriority w:val="60"/>
    <w:semiHidden/>
    <w:unhideWhenUsed/>
    <w:rsid w:val="004A02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4A023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4A023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4A023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4A023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4A023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4A023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4A02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4A02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4A023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4A023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4A023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4A023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4A023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4A023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4A02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4A02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4A02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4A02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4A02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4A02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4A023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4A023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4A023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4A023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4A023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4A023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4A023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4A0233"/>
    <w:rPr>
      <w:b/>
      <w:bCs/>
      <w:noProof w:val="0"/>
    </w:rPr>
  </w:style>
  <w:style w:type="paragraph" w:styleId="aff0">
    <w:name w:val="Signature"/>
    <w:basedOn w:val="a1"/>
    <w:link w:val="aff1"/>
    <w:semiHidden/>
    <w:unhideWhenUsed/>
    <w:rsid w:val="004A0233"/>
    <w:pPr>
      <w:ind w:left="4252"/>
    </w:pPr>
  </w:style>
  <w:style w:type="character" w:customStyle="1" w:styleId="aff1">
    <w:name w:val="חתימה תו"/>
    <w:basedOn w:val="a2"/>
    <w:link w:val="aff0"/>
    <w:semiHidden/>
    <w:rsid w:val="004A0233"/>
    <w:rPr>
      <w:rFonts w:cs="David"/>
      <w:noProof w:val="0"/>
      <w:sz w:val="24"/>
      <w:szCs w:val="24"/>
    </w:rPr>
  </w:style>
  <w:style w:type="paragraph" w:styleId="aff2">
    <w:name w:val="E-mail Signature"/>
    <w:basedOn w:val="a1"/>
    <w:link w:val="aff3"/>
    <w:semiHidden/>
    <w:unhideWhenUsed/>
    <w:rsid w:val="004A0233"/>
  </w:style>
  <w:style w:type="character" w:customStyle="1" w:styleId="aff3">
    <w:name w:val="חתימת דואר אלקטרוני תו"/>
    <w:basedOn w:val="a2"/>
    <w:link w:val="aff2"/>
    <w:semiHidden/>
    <w:rsid w:val="004A0233"/>
    <w:rPr>
      <w:rFonts w:cs="David"/>
      <w:noProof w:val="0"/>
      <w:sz w:val="24"/>
      <w:szCs w:val="24"/>
    </w:rPr>
  </w:style>
  <w:style w:type="table" w:styleId="aff4">
    <w:name w:val="Table Elegant"/>
    <w:basedOn w:val="a3"/>
    <w:semiHidden/>
    <w:unhideWhenUsed/>
    <w:rsid w:val="004A0233"/>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4A023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4A0233"/>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4A0233"/>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4A0233"/>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4A0233"/>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4A0233"/>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4A0233"/>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4A0233"/>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4A0233"/>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4A0233"/>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4A0233"/>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4A0233"/>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4A0233"/>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4A0233"/>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4A02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4A023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4A023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4A023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4A023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4A0233"/>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4A0233"/>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4A0233"/>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4A023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4A023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4A0233"/>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4A0233"/>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4A0233"/>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4A0233"/>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4A023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4A023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4A023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4A0233"/>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4A0233"/>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4A0233"/>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4A0233"/>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4A0233"/>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4A023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4A023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4A0233"/>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4A0233"/>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4A0233"/>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4A023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4A0233"/>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4A023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4A023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4A023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4A023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4A023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4A023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4A023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4A023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4A0233"/>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4A0233"/>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4A0233"/>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4A0233"/>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4A0233"/>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4A023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4A023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4A023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4A0233"/>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4A0233"/>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4A0233"/>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4A0233"/>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4A0233"/>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4A023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4A0233"/>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4A0233"/>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4A0233"/>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4A0233"/>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4A0233"/>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4A023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4A023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4A023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4A023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4A0233"/>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4A0233"/>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4A023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4A023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4A023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4A023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4A023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4A023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4A0233"/>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4A023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4A0233"/>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4A023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4A023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4A023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4A023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4A023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4A023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4A023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4A023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4A023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4A023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4A023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4A023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4A023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4A023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4A02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4A02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4A02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4A02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4A02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4A02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4A02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4A023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4A023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4A023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4A023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4A023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4A023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4A023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4A023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4A023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4A023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4A023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4A023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4A023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4A023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4A023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4A0233"/>
    <w:rPr>
      <w:sz w:val="20"/>
      <w:szCs w:val="20"/>
    </w:rPr>
  </w:style>
  <w:style w:type="character" w:customStyle="1" w:styleId="aff9">
    <w:name w:val="טקסט הערת סיום תו"/>
    <w:basedOn w:val="a2"/>
    <w:link w:val="aff8"/>
    <w:semiHidden/>
    <w:rsid w:val="004A0233"/>
    <w:rPr>
      <w:rFonts w:cs="David"/>
      <w:noProof w:val="0"/>
    </w:rPr>
  </w:style>
  <w:style w:type="paragraph" w:styleId="affa">
    <w:name w:val="footnote text"/>
    <w:basedOn w:val="a1"/>
    <w:link w:val="affb"/>
    <w:semiHidden/>
    <w:unhideWhenUsed/>
    <w:rsid w:val="004A0233"/>
    <w:rPr>
      <w:sz w:val="20"/>
      <w:szCs w:val="20"/>
    </w:rPr>
  </w:style>
  <w:style w:type="character" w:customStyle="1" w:styleId="affb">
    <w:name w:val="טקסט הערת שוליים תו"/>
    <w:basedOn w:val="a2"/>
    <w:link w:val="affa"/>
    <w:semiHidden/>
    <w:rsid w:val="004A0233"/>
    <w:rPr>
      <w:rFonts w:cs="David"/>
      <w:noProof w:val="0"/>
    </w:rPr>
  </w:style>
  <w:style w:type="paragraph" w:styleId="affc">
    <w:name w:val="macro"/>
    <w:link w:val="affd"/>
    <w:semiHidden/>
    <w:unhideWhenUsed/>
    <w:rsid w:val="004A0233"/>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4A0233"/>
    <w:rPr>
      <w:rFonts w:ascii="Consolas" w:hAnsi="Consolas" w:cs="David"/>
      <w:noProof w:val="0"/>
    </w:rPr>
  </w:style>
  <w:style w:type="paragraph" w:styleId="affe">
    <w:name w:val="Plain Text"/>
    <w:basedOn w:val="a1"/>
    <w:link w:val="afff"/>
    <w:semiHidden/>
    <w:unhideWhenUsed/>
    <w:rsid w:val="004A0233"/>
    <w:rPr>
      <w:rFonts w:ascii="Consolas" w:hAnsi="Consolas"/>
      <w:sz w:val="21"/>
      <w:szCs w:val="21"/>
    </w:rPr>
  </w:style>
  <w:style w:type="character" w:customStyle="1" w:styleId="afff">
    <w:name w:val="טקסט רגיל תו"/>
    <w:basedOn w:val="a2"/>
    <w:link w:val="affe"/>
    <w:semiHidden/>
    <w:rsid w:val="004A0233"/>
    <w:rPr>
      <w:rFonts w:ascii="Consolas" w:hAnsi="Consolas" w:cs="David"/>
      <w:noProof w:val="0"/>
      <w:sz w:val="21"/>
      <w:szCs w:val="21"/>
    </w:rPr>
  </w:style>
  <w:style w:type="character" w:styleId="afff0">
    <w:name w:val="Book Title"/>
    <w:basedOn w:val="a2"/>
    <w:uiPriority w:val="33"/>
    <w:qFormat/>
    <w:rsid w:val="004A0233"/>
    <w:rPr>
      <w:b/>
      <w:bCs/>
      <w:i/>
      <w:iCs/>
      <w:noProof w:val="0"/>
      <w:spacing w:val="5"/>
    </w:rPr>
  </w:style>
  <w:style w:type="character" w:customStyle="1" w:styleId="10">
    <w:name w:val="כותרת 1 תו"/>
    <w:basedOn w:val="a2"/>
    <w:link w:val="1"/>
    <w:rsid w:val="004A0233"/>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4A0233"/>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4A0233"/>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4A0233"/>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4A0233"/>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4A0233"/>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4A0233"/>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4A0233"/>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4A0233"/>
    <w:rPr>
      <w:rFonts w:asciiTheme="majorHAnsi" w:eastAsiaTheme="majorEastAsia" w:hAnsiTheme="majorHAnsi" w:cstheme="majorBidi"/>
      <w:b/>
      <w:bCs/>
    </w:rPr>
  </w:style>
  <w:style w:type="paragraph" w:styleId="afff2">
    <w:name w:val="Note Heading"/>
    <w:basedOn w:val="a1"/>
    <w:next w:val="a1"/>
    <w:link w:val="afff3"/>
    <w:semiHidden/>
    <w:unhideWhenUsed/>
    <w:rsid w:val="004A0233"/>
  </w:style>
  <w:style w:type="character" w:customStyle="1" w:styleId="afff3">
    <w:name w:val="כותרת הערות תו"/>
    <w:basedOn w:val="a2"/>
    <w:link w:val="afff2"/>
    <w:semiHidden/>
    <w:rsid w:val="004A0233"/>
    <w:rPr>
      <w:rFonts w:cs="David"/>
      <w:noProof w:val="0"/>
      <w:sz w:val="24"/>
      <w:szCs w:val="24"/>
    </w:rPr>
  </w:style>
  <w:style w:type="paragraph" w:styleId="afff4">
    <w:name w:val="Title"/>
    <w:basedOn w:val="a1"/>
    <w:next w:val="a1"/>
    <w:link w:val="afff5"/>
    <w:qFormat/>
    <w:rsid w:val="004A0233"/>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4A0233"/>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4A023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4A0233"/>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4A023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4A0233"/>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4A0233"/>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4A0233"/>
    <w:pPr>
      <w:outlineLvl w:val="9"/>
    </w:pPr>
  </w:style>
  <w:style w:type="paragraph" w:styleId="afffc">
    <w:name w:val="caption"/>
    <w:basedOn w:val="a1"/>
    <w:next w:val="a1"/>
    <w:semiHidden/>
    <w:unhideWhenUsed/>
    <w:qFormat/>
    <w:rsid w:val="004A0233"/>
    <w:pPr>
      <w:spacing w:after="200"/>
    </w:pPr>
    <w:rPr>
      <w:i/>
      <w:iCs/>
      <w:color w:val="1F497D" w:themeColor="text2"/>
      <w:sz w:val="18"/>
      <w:szCs w:val="18"/>
    </w:rPr>
  </w:style>
  <w:style w:type="paragraph" w:styleId="afffd">
    <w:name w:val="Body Text Indent"/>
    <w:basedOn w:val="a1"/>
    <w:link w:val="afffe"/>
    <w:semiHidden/>
    <w:unhideWhenUsed/>
    <w:rsid w:val="004A0233"/>
    <w:pPr>
      <w:spacing w:after="120"/>
      <w:ind w:left="283"/>
    </w:pPr>
  </w:style>
  <w:style w:type="character" w:customStyle="1" w:styleId="afffe">
    <w:name w:val="כניסה בגוף טקסט תו"/>
    <w:basedOn w:val="a2"/>
    <w:link w:val="afffd"/>
    <w:semiHidden/>
    <w:rsid w:val="004A0233"/>
    <w:rPr>
      <w:rFonts w:cs="David"/>
      <w:noProof w:val="0"/>
      <w:sz w:val="24"/>
      <w:szCs w:val="24"/>
    </w:rPr>
  </w:style>
  <w:style w:type="paragraph" w:styleId="2f">
    <w:name w:val="Body Text Indent 2"/>
    <w:basedOn w:val="a1"/>
    <w:link w:val="2f0"/>
    <w:semiHidden/>
    <w:unhideWhenUsed/>
    <w:rsid w:val="004A0233"/>
    <w:pPr>
      <w:spacing w:after="120" w:line="480" w:lineRule="auto"/>
      <w:ind w:left="283"/>
    </w:pPr>
  </w:style>
  <w:style w:type="character" w:customStyle="1" w:styleId="2f0">
    <w:name w:val="כניסה בגוף טקסט 2 תו"/>
    <w:basedOn w:val="a2"/>
    <w:link w:val="2f"/>
    <w:semiHidden/>
    <w:rsid w:val="004A0233"/>
    <w:rPr>
      <w:rFonts w:cs="David"/>
      <w:noProof w:val="0"/>
      <w:sz w:val="24"/>
      <w:szCs w:val="24"/>
    </w:rPr>
  </w:style>
  <w:style w:type="paragraph" w:styleId="3d">
    <w:name w:val="Body Text Indent 3"/>
    <w:basedOn w:val="a1"/>
    <w:link w:val="3e"/>
    <w:semiHidden/>
    <w:unhideWhenUsed/>
    <w:rsid w:val="004A0233"/>
    <w:pPr>
      <w:spacing w:after="120"/>
      <w:ind w:left="283"/>
    </w:pPr>
    <w:rPr>
      <w:sz w:val="16"/>
      <w:szCs w:val="16"/>
    </w:rPr>
  </w:style>
  <w:style w:type="character" w:customStyle="1" w:styleId="3e">
    <w:name w:val="כניסה בגוף טקסט 3 תו"/>
    <w:basedOn w:val="a2"/>
    <w:link w:val="3d"/>
    <w:semiHidden/>
    <w:rsid w:val="004A0233"/>
    <w:rPr>
      <w:rFonts w:cs="David"/>
      <w:noProof w:val="0"/>
      <w:sz w:val="16"/>
      <w:szCs w:val="16"/>
    </w:rPr>
  </w:style>
  <w:style w:type="paragraph" w:styleId="affff">
    <w:name w:val="Normal Indent"/>
    <w:basedOn w:val="a1"/>
    <w:semiHidden/>
    <w:unhideWhenUsed/>
    <w:rsid w:val="004A0233"/>
    <w:pPr>
      <w:ind w:left="720"/>
    </w:pPr>
  </w:style>
  <w:style w:type="paragraph" w:styleId="affff0">
    <w:name w:val="Body Text First Indent"/>
    <w:basedOn w:val="af3"/>
    <w:link w:val="affff1"/>
    <w:rsid w:val="004A0233"/>
    <w:pPr>
      <w:spacing w:after="0"/>
      <w:ind w:firstLine="360"/>
    </w:pPr>
  </w:style>
  <w:style w:type="character" w:customStyle="1" w:styleId="affff1">
    <w:name w:val="כניסת שורה ראשונה בגוף טקסט תו"/>
    <w:basedOn w:val="af4"/>
    <w:link w:val="affff0"/>
    <w:rsid w:val="004A0233"/>
    <w:rPr>
      <w:rFonts w:cs="David"/>
      <w:noProof w:val="0"/>
      <w:sz w:val="24"/>
      <w:szCs w:val="24"/>
    </w:rPr>
  </w:style>
  <w:style w:type="paragraph" w:styleId="2f1">
    <w:name w:val="Body Text First Indent 2"/>
    <w:basedOn w:val="afffd"/>
    <w:link w:val="2f2"/>
    <w:semiHidden/>
    <w:unhideWhenUsed/>
    <w:rsid w:val="004A0233"/>
    <w:pPr>
      <w:spacing w:after="0"/>
      <w:ind w:left="360" w:firstLine="360"/>
    </w:pPr>
  </w:style>
  <w:style w:type="character" w:customStyle="1" w:styleId="2f2">
    <w:name w:val="כניסת שורה ראשונה בגוף טקסט 2 תו"/>
    <w:basedOn w:val="afffe"/>
    <w:link w:val="2f1"/>
    <w:semiHidden/>
    <w:rsid w:val="004A0233"/>
    <w:rPr>
      <w:rFonts w:cs="David"/>
      <w:noProof w:val="0"/>
      <w:sz w:val="24"/>
      <w:szCs w:val="24"/>
    </w:rPr>
  </w:style>
  <w:style w:type="paragraph" w:styleId="HTML2">
    <w:name w:val="HTML Address"/>
    <w:basedOn w:val="a1"/>
    <w:link w:val="HTML3"/>
    <w:semiHidden/>
    <w:unhideWhenUsed/>
    <w:rsid w:val="004A0233"/>
    <w:rPr>
      <w:i/>
      <w:iCs/>
    </w:rPr>
  </w:style>
  <w:style w:type="character" w:customStyle="1" w:styleId="HTML3">
    <w:name w:val="כתובת HTML תו"/>
    <w:basedOn w:val="a2"/>
    <w:link w:val="HTML2"/>
    <w:semiHidden/>
    <w:rsid w:val="004A0233"/>
    <w:rPr>
      <w:rFonts w:cs="David"/>
      <w:i/>
      <w:iCs/>
      <w:noProof w:val="0"/>
      <w:sz w:val="24"/>
      <w:szCs w:val="24"/>
    </w:rPr>
  </w:style>
  <w:style w:type="paragraph" w:styleId="affff2">
    <w:name w:val="envelope address"/>
    <w:basedOn w:val="a1"/>
    <w:semiHidden/>
    <w:unhideWhenUsed/>
    <w:rsid w:val="004A0233"/>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4A0233"/>
    <w:rPr>
      <w:rFonts w:asciiTheme="majorHAnsi" w:eastAsiaTheme="majorEastAsia" w:hAnsiTheme="majorHAnsi" w:cstheme="majorBidi"/>
      <w:sz w:val="20"/>
      <w:szCs w:val="20"/>
    </w:rPr>
  </w:style>
  <w:style w:type="paragraph" w:styleId="affff4">
    <w:name w:val="No Spacing"/>
    <w:uiPriority w:val="1"/>
    <w:qFormat/>
    <w:rsid w:val="004A0233"/>
    <w:pPr>
      <w:bidi/>
    </w:pPr>
    <w:rPr>
      <w:rFonts w:cs="David"/>
      <w:sz w:val="24"/>
      <w:szCs w:val="24"/>
    </w:rPr>
  </w:style>
  <w:style w:type="character" w:styleId="HTML4">
    <w:name w:val="HTML Typewriter"/>
    <w:basedOn w:val="a2"/>
    <w:semiHidden/>
    <w:unhideWhenUsed/>
    <w:rsid w:val="004A0233"/>
    <w:rPr>
      <w:rFonts w:ascii="Consolas" w:hAnsi="Consolas"/>
      <w:noProof w:val="0"/>
      <w:sz w:val="20"/>
      <w:szCs w:val="20"/>
    </w:rPr>
  </w:style>
  <w:style w:type="paragraph" w:styleId="affff5">
    <w:name w:val="Document Map"/>
    <w:basedOn w:val="a1"/>
    <w:link w:val="affff6"/>
    <w:semiHidden/>
    <w:unhideWhenUsed/>
    <w:rsid w:val="004A0233"/>
    <w:rPr>
      <w:rFonts w:ascii="Tahoma" w:hAnsi="Tahoma" w:cs="Tahoma"/>
      <w:sz w:val="16"/>
      <w:szCs w:val="16"/>
    </w:rPr>
  </w:style>
  <w:style w:type="character" w:customStyle="1" w:styleId="affff6">
    <w:name w:val="מפת מסמך תו"/>
    <w:basedOn w:val="a2"/>
    <w:link w:val="affff5"/>
    <w:semiHidden/>
    <w:rsid w:val="004A0233"/>
    <w:rPr>
      <w:rFonts w:ascii="Tahoma" w:hAnsi="Tahoma" w:cs="Tahoma"/>
      <w:noProof w:val="0"/>
      <w:sz w:val="16"/>
      <w:szCs w:val="16"/>
    </w:rPr>
  </w:style>
  <w:style w:type="character" w:styleId="HTML5">
    <w:name w:val="HTML Keyboard"/>
    <w:basedOn w:val="a2"/>
    <w:semiHidden/>
    <w:unhideWhenUsed/>
    <w:rsid w:val="004A0233"/>
    <w:rPr>
      <w:rFonts w:ascii="Consolas" w:hAnsi="Consolas"/>
      <w:noProof w:val="0"/>
      <w:sz w:val="20"/>
      <w:szCs w:val="20"/>
    </w:rPr>
  </w:style>
  <w:style w:type="paragraph" w:styleId="affff7">
    <w:name w:val="annotation subject"/>
    <w:basedOn w:val="a8"/>
    <w:next w:val="a8"/>
    <w:link w:val="affff8"/>
    <w:semiHidden/>
    <w:unhideWhenUsed/>
    <w:rsid w:val="004A0233"/>
    <w:rPr>
      <w:rFonts w:cs="David"/>
      <w:b/>
      <w:bCs/>
      <w:sz w:val="20"/>
      <w:szCs w:val="20"/>
    </w:rPr>
  </w:style>
  <w:style w:type="character" w:customStyle="1" w:styleId="a9">
    <w:name w:val="טקסט הערה תו"/>
    <w:basedOn w:val="a2"/>
    <w:link w:val="a8"/>
    <w:semiHidden/>
    <w:rsid w:val="004A0233"/>
    <w:rPr>
      <w:noProof w:val="0"/>
      <w:sz w:val="24"/>
      <w:szCs w:val="24"/>
    </w:rPr>
  </w:style>
  <w:style w:type="character" w:customStyle="1" w:styleId="affff8">
    <w:name w:val="נושא הערה תו"/>
    <w:basedOn w:val="a9"/>
    <w:link w:val="affff7"/>
    <w:semiHidden/>
    <w:rsid w:val="004A0233"/>
    <w:rPr>
      <w:rFonts w:cs="David"/>
      <w:b/>
      <w:bCs/>
      <w:noProof w:val="0"/>
      <w:sz w:val="24"/>
      <w:szCs w:val="24"/>
    </w:rPr>
  </w:style>
  <w:style w:type="table" w:styleId="affff9">
    <w:name w:val="Table Theme"/>
    <w:basedOn w:val="a3"/>
    <w:semiHidden/>
    <w:unhideWhenUsed/>
    <w:rsid w:val="004A023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4A0233"/>
    <w:pPr>
      <w:ind w:left="4252"/>
    </w:pPr>
  </w:style>
  <w:style w:type="character" w:customStyle="1" w:styleId="affffb">
    <w:name w:val="סיום תו"/>
    <w:basedOn w:val="a2"/>
    <w:link w:val="affffa"/>
    <w:semiHidden/>
    <w:rsid w:val="004A0233"/>
    <w:rPr>
      <w:rFonts w:cs="David"/>
      <w:noProof w:val="0"/>
      <w:sz w:val="24"/>
      <w:szCs w:val="24"/>
    </w:rPr>
  </w:style>
  <w:style w:type="table" w:styleId="1b">
    <w:name w:val="Table Columns 1"/>
    <w:basedOn w:val="a3"/>
    <w:semiHidden/>
    <w:unhideWhenUsed/>
    <w:rsid w:val="004A0233"/>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4A0233"/>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4A0233"/>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4A0233"/>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4A0233"/>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4A0233"/>
    <w:pPr>
      <w:ind w:left="720"/>
      <w:contextualSpacing/>
    </w:pPr>
  </w:style>
  <w:style w:type="paragraph" w:styleId="affffd">
    <w:name w:val="Quote"/>
    <w:basedOn w:val="a1"/>
    <w:next w:val="a1"/>
    <w:link w:val="affffe"/>
    <w:uiPriority w:val="29"/>
    <w:qFormat/>
    <w:rsid w:val="004A0233"/>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4A0233"/>
    <w:rPr>
      <w:rFonts w:cs="David"/>
      <w:i/>
      <w:iCs/>
      <w:noProof w:val="0"/>
      <w:color w:val="404040" w:themeColor="text1" w:themeTint="BF"/>
      <w:sz w:val="24"/>
      <w:szCs w:val="24"/>
    </w:rPr>
  </w:style>
  <w:style w:type="paragraph" w:styleId="afffff">
    <w:name w:val="Intense Quote"/>
    <w:basedOn w:val="a1"/>
    <w:next w:val="a1"/>
    <w:link w:val="afffff0"/>
    <w:uiPriority w:val="30"/>
    <w:qFormat/>
    <w:rsid w:val="004A023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4A0233"/>
    <w:rPr>
      <w:rFonts w:cs="David"/>
      <w:i/>
      <w:iCs/>
      <w:noProof w:val="0"/>
      <w:color w:val="4F81BD" w:themeColor="accent1"/>
      <w:sz w:val="24"/>
      <w:szCs w:val="24"/>
    </w:rPr>
  </w:style>
  <w:style w:type="character" w:styleId="HTML6">
    <w:name w:val="HTML Acronym"/>
    <w:basedOn w:val="a2"/>
    <w:semiHidden/>
    <w:unhideWhenUsed/>
    <w:rsid w:val="004A0233"/>
    <w:rPr>
      <w:noProof w:val="0"/>
    </w:rPr>
  </w:style>
  <w:style w:type="paragraph" w:styleId="afffff1">
    <w:name w:val="List"/>
    <w:basedOn w:val="a1"/>
    <w:semiHidden/>
    <w:unhideWhenUsed/>
    <w:rsid w:val="004A0233"/>
    <w:pPr>
      <w:ind w:left="283" w:hanging="283"/>
      <w:contextualSpacing/>
    </w:pPr>
  </w:style>
  <w:style w:type="paragraph" w:styleId="2f4">
    <w:name w:val="List 2"/>
    <w:basedOn w:val="a1"/>
    <w:semiHidden/>
    <w:unhideWhenUsed/>
    <w:rsid w:val="004A0233"/>
    <w:pPr>
      <w:ind w:left="566" w:hanging="283"/>
      <w:contextualSpacing/>
    </w:pPr>
  </w:style>
  <w:style w:type="paragraph" w:styleId="3f0">
    <w:name w:val="List 3"/>
    <w:basedOn w:val="a1"/>
    <w:semiHidden/>
    <w:unhideWhenUsed/>
    <w:rsid w:val="004A0233"/>
    <w:pPr>
      <w:ind w:left="849" w:hanging="283"/>
      <w:contextualSpacing/>
    </w:pPr>
  </w:style>
  <w:style w:type="paragraph" w:styleId="48">
    <w:name w:val="List 4"/>
    <w:basedOn w:val="a1"/>
    <w:rsid w:val="004A0233"/>
    <w:pPr>
      <w:ind w:left="1132" w:hanging="283"/>
      <w:contextualSpacing/>
    </w:pPr>
  </w:style>
  <w:style w:type="paragraph" w:styleId="58">
    <w:name w:val="List 5"/>
    <w:basedOn w:val="a1"/>
    <w:rsid w:val="004A0233"/>
    <w:pPr>
      <w:ind w:left="1415" w:hanging="283"/>
      <w:contextualSpacing/>
    </w:pPr>
  </w:style>
  <w:style w:type="table" w:styleId="afffff2">
    <w:name w:val="Light List"/>
    <w:basedOn w:val="a3"/>
    <w:uiPriority w:val="61"/>
    <w:semiHidden/>
    <w:unhideWhenUsed/>
    <w:rsid w:val="004A02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4A023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4A023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4A023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4A023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4A023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4A023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4A0233"/>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4A0233"/>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4A0233"/>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4A0233"/>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4A0233"/>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4A0233"/>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4A0233"/>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4A0233"/>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4A023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4A023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4A023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4A023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4A023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4A023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4A023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4A02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4A023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4A023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4A023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4A023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4A023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4A023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4A023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4A023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4A023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4A023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4A023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4A023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4A023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4A0233"/>
    <w:pPr>
      <w:numPr>
        <w:numId w:val="1"/>
      </w:numPr>
      <w:contextualSpacing/>
    </w:pPr>
  </w:style>
  <w:style w:type="paragraph" w:styleId="2">
    <w:name w:val="List Number 2"/>
    <w:basedOn w:val="a1"/>
    <w:semiHidden/>
    <w:unhideWhenUsed/>
    <w:rsid w:val="004A0233"/>
    <w:pPr>
      <w:numPr>
        <w:numId w:val="2"/>
      </w:numPr>
      <w:contextualSpacing/>
    </w:pPr>
  </w:style>
  <w:style w:type="paragraph" w:styleId="3">
    <w:name w:val="List Number 3"/>
    <w:basedOn w:val="a1"/>
    <w:semiHidden/>
    <w:unhideWhenUsed/>
    <w:rsid w:val="004A0233"/>
    <w:pPr>
      <w:numPr>
        <w:numId w:val="3"/>
      </w:numPr>
      <w:contextualSpacing/>
    </w:pPr>
  </w:style>
  <w:style w:type="paragraph" w:styleId="4">
    <w:name w:val="List Number 4"/>
    <w:basedOn w:val="a1"/>
    <w:semiHidden/>
    <w:unhideWhenUsed/>
    <w:rsid w:val="004A0233"/>
    <w:pPr>
      <w:numPr>
        <w:numId w:val="4"/>
      </w:numPr>
      <w:contextualSpacing/>
    </w:pPr>
  </w:style>
  <w:style w:type="paragraph" w:styleId="5">
    <w:name w:val="List Number 5"/>
    <w:basedOn w:val="a1"/>
    <w:semiHidden/>
    <w:unhideWhenUsed/>
    <w:rsid w:val="004A0233"/>
    <w:pPr>
      <w:numPr>
        <w:numId w:val="5"/>
      </w:numPr>
      <w:contextualSpacing/>
    </w:pPr>
  </w:style>
  <w:style w:type="paragraph" w:styleId="a0">
    <w:name w:val="List Bullet"/>
    <w:basedOn w:val="a1"/>
    <w:semiHidden/>
    <w:unhideWhenUsed/>
    <w:rsid w:val="004A0233"/>
    <w:pPr>
      <w:numPr>
        <w:numId w:val="6"/>
      </w:numPr>
      <w:contextualSpacing/>
    </w:pPr>
  </w:style>
  <w:style w:type="paragraph" w:styleId="20">
    <w:name w:val="List Bullet 2"/>
    <w:basedOn w:val="a1"/>
    <w:semiHidden/>
    <w:unhideWhenUsed/>
    <w:rsid w:val="004A0233"/>
    <w:pPr>
      <w:numPr>
        <w:numId w:val="7"/>
      </w:numPr>
      <w:contextualSpacing/>
    </w:pPr>
  </w:style>
  <w:style w:type="paragraph" w:styleId="30">
    <w:name w:val="List Bullet 3"/>
    <w:basedOn w:val="a1"/>
    <w:semiHidden/>
    <w:unhideWhenUsed/>
    <w:rsid w:val="004A0233"/>
    <w:pPr>
      <w:numPr>
        <w:numId w:val="8"/>
      </w:numPr>
      <w:contextualSpacing/>
    </w:pPr>
  </w:style>
  <w:style w:type="paragraph" w:styleId="40">
    <w:name w:val="List Bullet 4"/>
    <w:basedOn w:val="a1"/>
    <w:semiHidden/>
    <w:unhideWhenUsed/>
    <w:rsid w:val="004A0233"/>
    <w:pPr>
      <w:numPr>
        <w:numId w:val="9"/>
      </w:numPr>
      <w:contextualSpacing/>
    </w:pPr>
  </w:style>
  <w:style w:type="paragraph" w:styleId="50">
    <w:name w:val="List Bullet 5"/>
    <w:basedOn w:val="a1"/>
    <w:semiHidden/>
    <w:unhideWhenUsed/>
    <w:rsid w:val="004A0233"/>
    <w:pPr>
      <w:numPr>
        <w:numId w:val="10"/>
      </w:numPr>
      <w:contextualSpacing/>
    </w:pPr>
  </w:style>
  <w:style w:type="table" w:styleId="afffff4">
    <w:name w:val="Colorful List"/>
    <w:basedOn w:val="a3"/>
    <w:uiPriority w:val="72"/>
    <w:semiHidden/>
    <w:unhideWhenUsed/>
    <w:rsid w:val="004A023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4A023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4A023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4A023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4A023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4A023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4A023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4A0233"/>
  </w:style>
  <w:style w:type="paragraph" w:styleId="afffff6">
    <w:name w:val="table of authorities"/>
    <w:basedOn w:val="a1"/>
    <w:next w:val="a1"/>
    <w:semiHidden/>
    <w:unhideWhenUsed/>
    <w:rsid w:val="004A0233"/>
    <w:pPr>
      <w:ind w:left="240" w:hanging="240"/>
    </w:pPr>
  </w:style>
  <w:style w:type="table" w:styleId="afffff7">
    <w:name w:val="Light Grid"/>
    <w:basedOn w:val="a3"/>
    <w:uiPriority w:val="62"/>
    <w:semiHidden/>
    <w:unhideWhenUsed/>
    <w:rsid w:val="004A02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4A023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4A023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4A023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4A023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4A023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4A023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4A023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4A02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4A023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4A023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4A023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4A023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4A023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4A02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4A023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4A023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4A023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4A023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4A023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4A023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4A023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4A023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4A023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4A023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4A023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4A023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4A023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4A023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4A0233"/>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4A0233"/>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4A0233"/>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4A0233"/>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4A0233"/>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4A0233"/>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4A0233"/>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4A023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4A023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4A023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4A023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4A023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4A023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4A023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4A023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4A0233"/>
  </w:style>
  <w:style w:type="character" w:customStyle="1" w:styleId="afffffb">
    <w:name w:val="תאריך תו"/>
    <w:basedOn w:val="a2"/>
    <w:link w:val="afffffa"/>
    <w:rsid w:val="004A0233"/>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855830">
      <w:bodyDiv w:val="1"/>
      <w:marLeft w:val="0"/>
      <w:marRight w:val="0"/>
      <w:marTop w:val="0"/>
      <w:marBottom w:val="0"/>
      <w:divBdr>
        <w:top w:val="none" w:sz="0" w:space="0" w:color="auto"/>
        <w:left w:val="none" w:sz="0" w:space="0" w:color="auto"/>
        <w:bottom w:val="none" w:sz="0" w:space="0" w:color="auto"/>
        <w:right w:val="none" w:sz="0" w:space="0" w:color="auto"/>
      </w:divBdr>
    </w:div>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94985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www.nevo.co.il/law/74880/101.a.1" TargetMode="External" Id="rId13" /><Relationship Type="http://schemas.openxmlformats.org/officeDocument/2006/relationships/hyperlink" Target="http://www.nevo.co.il/case/5722161" TargetMode="External" Id="rId18" /><Relationship Type="http://schemas.openxmlformats.org/officeDocument/2006/relationships/header" Target="header1.xml" Id="rId21" /><Relationship Type="http://schemas.openxmlformats.org/officeDocument/2006/relationships/webSettings" Target="webSettings.xml" Id="rId7" /><Relationship Type="http://schemas.openxmlformats.org/officeDocument/2006/relationships/hyperlink" Target="http://www.nevo.co.il/case/17930329" TargetMode="External" Id="rId12" /><Relationship Type="http://schemas.openxmlformats.org/officeDocument/2006/relationships/hyperlink" Target="http://www.nevo.co.il/case/6085469" TargetMode="External" Id="rId17" /><Relationship Type="http://schemas.openxmlformats.org/officeDocument/2006/relationships/theme" Target="theme/theme1.xml" Id="rId25" /><Relationship Type="http://schemas.openxmlformats.org/officeDocument/2006/relationships/hyperlink" Target="http://www.nevo.co.il/safrut/bookgroup/805" TargetMode="External" Id="rId16" /><Relationship Type="http://schemas.openxmlformats.org/officeDocument/2006/relationships/hyperlink" Target="http://www.nevo.co.il/case/17943860" TargetMode="External" Id="rId20"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yperlink" Target="http://www.nevo.co.il/law/74880" TargetMode="External" Id="rId11" /><Relationship Type="http://schemas.openxmlformats.org/officeDocument/2006/relationships/glossaryDocument" Target="glossary/document.xml" Id="rId24" /><Relationship Type="http://schemas.openxmlformats.org/officeDocument/2006/relationships/styles" Target="styles.xml" Id="rId5" /><Relationship Type="http://schemas.openxmlformats.org/officeDocument/2006/relationships/hyperlink" Target="http://www.nevo.co.il/case/17916026" TargetMode="External" Id="rId15" /><Relationship Type="http://schemas.openxmlformats.org/officeDocument/2006/relationships/fontTable" Target="fontTable.xml" Id="rId23" /><Relationship Type="http://schemas.openxmlformats.org/officeDocument/2006/relationships/hyperlink" Target="http://www.nevo.co.il/law/74880/101.a.1" TargetMode="External" Id="rId10" /><Relationship Type="http://schemas.openxmlformats.org/officeDocument/2006/relationships/hyperlink" Target="http://www.nevo.co.il/case/5807192"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www.nevo.co.il/law/74880" TargetMode="External" Id="rId14" /><Relationship Type="http://schemas.openxmlformats.org/officeDocument/2006/relationships/footer" Target="footer1.xml" Id="rId22" /><Relationship Type="http://schemas.openxmlformats.org/officeDocument/2006/relationships/image" Target="/media/image2.jpg" Id="Rdd4b11451ba24f8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561F75"/>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3653</Words>
  <Characters>18268</Characters>
  <Application>Microsoft Office Word</Application>
  <DocSecurity>0</DocSecurity>
  <Lines>152</Lines>
  <Paragraphs>43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אלעד טל</cp:lastModifiedBy>
  <cp:revision>46</cp:revision>
  <dcterms:created xsi:type="dcterms:W3CDTF">2012-08-05T21:29:00Z</dcterms:created>
  <dcterms:modified xsi:type="dcterms:W3CDTF">2018-04-12T08:53:00Z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