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D232CA" w:rsidR="00B02C76" w:rsidTr="00A03128">
        <w:trPr>
          <w:trHeight w:val="295"/>
        </w:trPr>
        <w:tc>
          <w:tcPr>
            <w:tcW w:w="5103" w:type="dxa"/>
            <w:gridSpan w:val="2"/>
          </w:tcPr>
          <w:p w:rsidRPr="00D232CA" w:rsidR="00B02C76" w:rsidP="00B02C76" w:rsidRDefault="00B02C76">
            <w:pPr>
              <w:rPr>
                <w:rFonts w:ascii="Arial" w:hAnsi="Arial"/>
                <w:b/>
                <w:bCs/>
                <w:noProof w:val="0"/>
                <w:sz w:val="26"/>
                <w:szCs w:val="26"/>
                <w:rtl/>
              </w:rPr>
            </w:pPr>
          </w:p>
        </w:tc>
        <w:tc>
          <w:tcPr>
            <w:tcW w:w="3402" w:type="dxa"/>
          </w:tcPr>
          <w:p w:rsidRPr="00D232CA" w:rsidR="00B02C76" w:rsidP="00A03128" w:rsidRDefault="008924AB">
            <w:pPr>
              <w:jc w:val="right"/>
              <w:rPr>
                <w:rFonts w:ascii="Arial" w:hAnsi="Arial"/>
                <w:b/>
                <w:bCs/>
                <w:noProof w:val="0"/>
                <w:sz w:val="26"/>
                <w:szCs w:val="26"/>
                <w:rtl/>
              </w:rPr>
            </w:pPr>
            <w:r w:rsidRPr="00D232CA">
              <w:rPr>
                <w:rFonts w:hint="cs"/>
                <w:sz w:val="26"/>
                <w:szCs w:val="26"/>
                <w:rtl/>
              </w:rPr>
              <w:t xml:space="preserve"> </w:t>
            </w:r>
          </w:p>
        </w:tc>
      </w:tr>
      <w:tr w:rsidRPr="00D232CA" w:rsidR="00B02C76" w:rsidTr="008924AB">
        <w:tc>
          <w:tcPr>
            <w:tcW w:w="8505" w:type="dxa"/>
            <w:gridSpan w:val="3"/>
          </w:tcPr>
          <w:p w:rsidRPr="00D232CA" w:rsidR="00B02C76" w:rsidP="00B02C76" w:rsidRDefault="00B02C76">
            <w:pPr>
              <w:jc w:val="both"/>
              <w:rPr>
                <w:rFonts w:ascii="Arial" w:hAnsi="Arial"/>
                <w:b/>
                <w:bCs/>
                <w:sz w:val="26"/>
                <w:szCs w:val="26"/>
                <w:rtl/>
              </w:rPr>
            </w:pPr>
            <w:r w:rsidRPr="00D232CA">
              <w:rPr>
                <w:rFonts w:hint="cs" w:ascii="Arial" w:hAnsi="Arial"/>
                <w:b/>
                <w:bCs/>
                <w:sz w:val="26"/>
                <w:szCs w:val="26"/>
                <w:rtl/>
              </w:rPr>
              <w:t>ל</w:t>
            </w:r>
            <w:r w:rsidRPr="00D232CA">
              <w:rPr>
                <w:rFonts w:ascii="Arial" w:hAnsi="Arial"/>
                <w:b/>
                <w:bCs/>
                <w:sz w:val="26"/>
                <w:szCs w:val="26"/>
                <w:rtl/>
              </w:rPr>
              <w:t>פני</w:t>
            </w:r>
            <w:r w:rsidRPr="00D232CA">
              <w:rPr>
                <w:rFonts w:hint="cs" w:ascii="Arial" w:hAnsi="Arial"/>
                <w:b/>
                <w:bCs/>
                <w:sz w:val="26"/>
                <w:szCs w:val="26"/>
                <w:rtl/>
              </w:rPr>
              <w:t xml:space="preserve"> כבוד ה</w:t>
            </w:r>
            <w:sdt>
              <w:sdtPr>
                <w:rPr>
                  <w:sz w:val="26"/>
                  <w:szCs w:val="26"/>
                  <w:rtl/>
                </w:rPr>
                <w:alias w:val="1574"/>
                <w:tag w:val="1574"/>
                <w:id w:val="414602899"/>
                <w:text w:multiLine="1"/>
              </w:sdtPr>
              <w:sdtEndPr/>
              <w:sdtContent>
                <w:r w:rsidRPr="00D232CA">
                  <w:rPr>
                    <w:rFonts w:ascii="Arial" w:hAnsi="Arial"/>
                    <w:b/>
                    <w:bCs/>
                    <w:sz w:val="26"/>
                    <w:szCs w:val="26"/>
                    <w:rtl/>
                  </w:rPr>
                  <w:t>שופט</w:t>
                </w:r>
              </w:sdtContent>
            </w:sdt>
            <w:r w:rsidRPr="00D232CA">
              <w:rPr>
                <w:rFonts w:hint="cs" w:ascii="Arial" w:hAnsi="Arial"/>
                <w:b/>
                <w:bCs/>
                <w:sz w:val="26"/>
                <w:szCs w:val="26"/>
                <w:rtl/>
              </w:rPr>
              <w:t xml:space="preserve"> </w:t>
            </w:r>
            <w:sdt>
              <w:sdtPr>
                <w:rPr>
                  <w:sz w:val="26"/>
                  <w:szCs w:val="26"/>
                  <w:rtl/>
                </w:rPr>
                <w:alias w:val="1573"/>
                <w:tag w:val="1573"/>
                <w:id w:val="-1751030614"/>
                <w:text w:multiLine="1"/>
              </w:sdtPr>
              <w:sdtEndPr/>
              <w:sdtContent>
                <w:r w:rsidRPr="00D232CA">
                  <w:rPr>
                    <w:rFonts w:ascii="Arial" w:hAnsi="Arial"/>
                    <w:b/>
                    <w:bCs/>
                    <w:sz w:val="26"/>
                    <w:szCs w:val="26"/>
                    <w:rtl/>
                  </w:rPr>
                  <w:t>איתן קורנהאוזר</w:t>
                </w:r>
              </w:sdtContent>
            </w:sdt>
          </w:p>
          <w:p w:rsidRPr="00D232CA" w:rsidR="008924AB" w:rsidP="00B02C76" w:rsidRDefault="008924AB">
            <w:pPr>
              <w:jc w:val="both"/>
              <w:rPr>
                <w:rFonts w:ascii="Arial" w:hAnsi="Arial"/>
                <w:b/>
                <w:bCs/>
                <w:sz w:val="26"/>
                <w:szCs w:val="26"/>
              </w:rPr>
            </w:pPr>
          </w:p>
        </w:tc>
      </w:tr>
      <w:tr w:rsidRPr="00D232CA" w:rsidR="00B02C76" w:rsidTr="008924AB">
        <w:tc>
          <w:tcPr>
            <w:tcW w:w="3143" w:type="dxa"/>
          </w:tcPr>
          <w:p w:rsidRPr="00D232CA" w:rsidR="00B02C76" w:rsidP="00B02C76" w:rsidRDefault="00B02C76">
            <w:pPr>
              <w:rPr>
                <w:rFonts w:ascii="Arial" w:hAnsi="Arial"/>
                <w:b/>
                <w:bCs/>
                <w:noProof w:val="0"/>
                <w:sz w:val="26"/>
                <w:szCs w:val="26"/>
                <w:rtl/>
              </w:rPr>
            </w:pPr>
            <w:r w:rsidRPr="00D232CA">
              <w:rPr>
                <w:rFonts w:hint="cs"/>
                <w:b/>
                <w:bCs/>
                <w:sz w:val="26"/>
                <w:szCs w:val="26"/>
                <w:rtl/>
              </w:rPr>
              <w:t>ה</w:t>
            </w:r>
            <w:sdt>
              <w:sdtPr>
                <w:rPr>
                  <w:sz w:val="26"/>
                  <w:szCs w:val="26"/>
                  <w:rtl/>
                </w:rPr>
                <w:alias w:val="1180"/>
                <w:tag w:val="1180"/>
                <w:id w:val="637458750"/>
                <w:text w:multiLine="1"/>
              </w:sdtPr>
              <w:sdtEndPr/>
              <w:sdtContent>
                <w:r w:rsidRPr="00D232CA">
                  <w:rPr>
                    <w:rFonts w:ascii="Arial" w:hAnsi="Arial"/>
                    <w:b/>
                    <w:bCs/>
                    <w:noProof w:val="0"/>
                    <w:sz w:val="26"/>
                    <w:szCs w:val="26"/>
                    <w:rtl/>
                  </w:rPr>
                  <w:t>מאשימה</w:t>
                </w:r>
              </w:sdtContent>
            </w:sdt>
            <w:r w:rsidRPr="00D232CA">
              <w:rPr>
                <w:rFonts w:hint="cs" w:ascii="Arial" w:hAnsi="Arial"/>
                <w:b/>
                <w:bCs/>
                <w:noProof w:val="0"/>
                <w:sz w:val="26"/>
                <w:szCs w:val="26"/>
                <w:rtl/>
              </w:rPr>
              <w:t>:</w:t>
            </w:r>
          </w:p>
        </w:tc>
        <w:tc>
          <w:tcPr>
            <w:tcW w:w="5362" w:type="dxa"/>
            <w:gridSpan w:val="2"/>
          </w:tcPr>
          <w:p w:rsidRPr="00D232CA" w:rsidR="00B02C76" w:rsidP="00A37976" w:rsidRDefault="007163F7">
            <w:pPr>
              <w:rPr>
                <w:sz w:val="26"/>
                <w:szCs w:val="26"/>
              </w:rPr>
            </w:pPr>
            <w:sdt>
              <w:sdtPr>
                <w:rPr>
                  <w:sz w:val="26"/>
                  <w:szCs w:val="26"/>
                  <w:rtl/>
                </w:rPr>
                <w:alias w:val="1478"/>
                <w:tag w:val="1478"/>
                <w:id w:val="-2076122985"/>
                <w:text w:multiLine="1"/>
              </w:sdtPr>
              <w:sdtEndPr/>
              <w:sdtContent>
                <w:r w:rsidRPr="00D232CA" w:rsidR="00B244A6">
                  <w:rPr>
                    <w:rFonts w:ascii="Arial" w:hAnsi="Arial"/>
                    <w:b/>
                    <w:bCs/>
                    <w:noProof w:val="0"/>
                    <w:sz w:val="26"/>
                    <w:szCs w:val="26"/>
                    <w:rtl/>
                  </w:rPr>
                  <w:t>מדינת ישראל</w:t>
                </w:r>
                <w:r w:rsidR="00A37976">
                  <w:rPr>
                    <w:sz w:val="26"/>
                    <w:szCs w:val="26"/>
                    <w:rtl/>
                  </w:rPr>
                  <w:br/>
                </w:r>
                <w:r w:rsidR="00A37976">
                  <w:rPr>
                    <w:rFonts w:hint="cs"/>
                    <w:sz w:val="26"/>
                    <w:szCs w:val="26"/>
                    <w:rtl/>
                  </w:rPr>
                  <w:t>ע"י עו"ד סיון אטיה</w:t>
                </w:r>
              </w:sdtContent>
            </w:sdt>
          </w:p>
        </w:tc>
      </w:tr>
      <w:tr w:rsidRPr="00D232CA" w:rsidR="00B02C76" w:rsidTr="008924AB">
        <w:trPr>
          <w:trHeight w:val="601"/>
        </w:trPr>
        <w:tc>
          <w:tcPr>
            <w:tcW w:w="8505" w:type="dxa"/>
            <w:gridSpan w:val="3"/>
          </w:tcPr>
          <w:p w:rsidRPr="00D232CA" w:rsidR="00B02C76" w:rsidP="00B02C76" w:rsidRDefault="00B02C76">
            <w:pPr>
              <w:rPr>
                <w:rFonts w:ascii="Arial" w:hAnsi="Arial"/>
                <w:b/>
                <w:bCs/>
                <w:noProof w:val="0"/>
                <w:sz w:val="26"/>
                <w:szCs w:val="26"/>
                <w:rtl/>
              </w:rPr>
            </w:pPr>
          </w:p>
          <w:p w:rsidRPr="00D232CA" w:rsidR="00B02C76" w:rsidP="00B02C76" w:rsidRDefault="00B02C76">
            <w:pPr>
              <w:jc w:val="center"/>
              <w:rPr>
                <w:rFonts w:ascii="Arial" w:hAnsi="Arial"/>
                <w:b/>
                <w:bCs/>
                <w:noProof w:val="0"/>
                <w:sz w:val="26"/>
                <w:szCs w:val="26"/>
                <w:rtl/>
              </w:rPr>
            </w:pPr>
            <w:r w:rsidRPr="00D232CA">
              <w:rPr>
                <w:rFonts w:ascii="Arial" w:hAnsi="Arial"/>
                <w:b/>
                <w:bCs/>
                <w:noProof w:val="0"/>
                <w:sz w:val="26"/>
                <w:szCs w:val="26"/>
                <w:rtl/>
              </w:rPr>
              <w:t>נגד</w:t>
            </w:r>
          </w:p>
          <w:p w:rsidRPr="00D232CA" w:rsidR="00B02C76" w:rsidP="00B02C76" w:rsidRDefault="00B02C76">
            <w:pPr>
              <w:rPr>
                <w:rFonts w:ascii="Arial" w:hAnsi="Arial"/>
                <w:b/>
                <w:bCs/>
                <w:noProof w:val="0"/>
                <w:sz w:val="16"/>
                <w:szCs w:val="16"/>
              </w:rPr>
            </w:pPr>
          </w:p>
        </w:tc>
      </w:tr>
      <w:tr w:rsidRPr="00D232CA" w:rsidR="00B02C76" w:rsidTr="008924AB">
        <w:tc>
          <w:tcPr>
            <w:tcW w:w="3143" w:type="dxa"/>
          </w:tcPr>
          <w:p w:rsidRPr="00D232CA" w:rsidR="00B02C76" w:rsidP="009920CF" w:rsidRDefault="00B02C76">
            <w:pPr>
              <w:rPr>
                <w:rFonts w:ascii="Arial" w:hAnsi="Arial"/>
                <w:b/>
                <w:bCs/>
                <w:noProof w:val="0"/>
                <w:sz w:val="26"/>
                <w:szCs w:val="26"/>
              </w:rPr>
            </w:pPr>
            <w:r w:rsidRPr="00D232CA">
              <w:rPr>
                <w:rFonts w:hint="cs"/>
                <w:b/>
                <w:bCs/>
                <w:sz w:val="26"/>
                <w:szCs w:val="26"/>
                <w:rtl/>
              </w:rPr>
              <w:t>ה</w:t>
            </w:r>
            <w:sdt>
              <w:sdtPr>
                <w:rPr>
                  <w:sz w:val="26"/>
                  <w:szCs w:val="26"/>
                  <w:rtl/>
                </w:rPr>
                <w:alias w:val="1184"/>
                <w:tag w:val="1184"/>
                <w:id w:val="-340621022"/>
                <w:text w:multiLine="1"/>
              </w:sdtPr>
              <w:sdtEndPr/>
              <w:sdtContent>
                <w:r w:rsidRPr="00D232CA">
                  <w:rPr>
                    <w:rFonts w:ascii="Arial" w:hAnsi="Arial"/>
                    <w:b/>
                    <w:bCs/>
                    <w:noProof w:val="0"/>
                    <w:sz w:val="26"/>
                    <w:szCs w:val="26"/>
                    <w:rtl/>
                  </w:rPr>
                  <w:t>נאשם</w:t>
                </w:r>
              </w:sdtContent>
            </w:sdt>
            <w:r w:rsidRPr="00D232CA">
              <w:rPr>
                <w:rFonts w:hint="cs" w:ascii="Arial" w:hAnsi="Arial"/>
                <w:b/>
                <w:bCs/>
                <w:noProof w:val="0"/>
                <w:sz w:val="26"/>
                <w:szCs w:val="26"/>
                <w:rtl/>
              </w:rPr>
              <w:t>:</w:t>
            </w:r>
          </w:p>
        </w:tc>
        <w:tc>
          <w:tcPr>
            <w:tcW w:w="5362" w:type="dxa"/>
            <w:gridSpan w:val="2"/>
          </w:tcPr>
          <w:p w:rsidRPr="00D232CA" w:rsidR="00B02C76" w:rsidP="00B02C76" w:rsidRDefault="007163F7">
            <w:pPr>
              <w:rPr>
                <w:sz w:val="26"/>
                <w:szCs w:val="26"/>
                <w:rtl/>
              </w:rPr>
            </w:pPr>
            <w:sdt>
              <w:sdtPr>
                <w:rPr>
                  <w:sz w:val="26"/>
                  <w:szCs w:val="26"/>
                  <w:rtl/>
                </w:rPr>
                <w:alias w:val="1486"/>
                <w:tag w:val="1486"/>
                <w:id w:val="-309872140"/>
                <w:text w:multiLine="1"/>
              </w:sdtPr>
              <w:sdtEndPr/>
              <w:sdtContent>
                <w:r w:rsidRPr="00D232CA" w:rsidR="00B244A6">
                  <w:rPr>
                    <w:rFonts w:ascii="Arial" w:hAnsi="Arial"/>
                    <w:b/>
                    <w:bCs/>
                    <w:noProof w:val="0"/>
                    <w:sz w:val="26"/>
                    <w:szCs w:val="26"/>
                    <w:rtl/>
                  </w:rPr>
                  <w:t>עמנואל זאבי</w:t>
                </w:r>
                <w:r w:rsidR="00A37976">
                  <w:rPr>
                    <w:rFonts w:ascii="Arial" w:hAnsi="Arial"/>
                    <w:b/>
                    <w:bCs/>
                    <w:noProof w:val="0"/>
                    <w:sz w:val="26"/>
                    <w:szCs w:val="26"/>
                    <w:rtl/>
                  </w:rPr>
                  <w:br/>
                </w:r>
                <w:r w:rsidR="00A37976">
                  <w:rPr>
                    <w:rFonts w:hint="cs"/>
                    <w:sz w:val="26"/>
                    <w:szCs w:val="26"/>
                    <w:rtl/>
                  </w:rPr>
                  <w:t>ע"י עו"ד"ד אהרן הרניק</w:t>
                </w:r>
              </w:sdtContent>
            </w:sdt>
          </w:p>
        </w:tc>
      </w:tr>
      <w:tr w:rsidRPr="00D232CA" w:rsidR="00B02C76" w:rsidTr="008924AB">
        <w:tc>
          <w:tcPr>
            <w:tcW w:w="8505" w:type="dxa"/>
            <w:gridSpan w:val="3"/>
          </w:tcPr>
          <w:p w:rsidRPr="00D232CA" w:rsidR="009E26D8" w:rsidRDefault="009E26D8">
            <w:pPr>
              <w:rPr>
                <w:rFonts w:ascii="Arial" w:hAnsi="Arial"/>
                <w:b/>
                <w:bCs/>
                <w:noProof w:val="0"/>
                <w:sz w:val="26"/>
                <w:szCs w:val="26"/>
                <w:rtl/>
              </w:rPr>
            </w:pPr>
          </w:p>
        </w:tc>
      </w:tr>
    </w:tbl>
    <w:p w:rsidRPr="00D232CA"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232CA" w:rsidR="00694556">
        <w:trPr>
          <w:jc w:val="center"/>
        </w:trPr>
        <w:tc>
          <w:tcPr>
            <w:tcW w:w="8820" w:type="dxa"/>
          </w:tcPr>
          <w:p w:rsidRPr="00D232CA" w:rsidR="00694556" w:rsidRDefault="00180519">
            <w:pPr>
              <w:bidi w:val="0"/>
              <w:jc w:val="center"/>
              <w:rPr>
                <w:rFonts w:ascii="Arial" w:hAnsi="Arial"/>
                <w:b/>
                <w:bCs/>
                <w:noProof w:val="0"/>
                <w:sz w:val="28"/>
                <w:szCs w:val="28"/>
                <w:u w:val="single"/>
              </w:rPr>
            </w:pPr>
            <w:r w:rsidRPr="00D232CA">
              <w:rPr>
                <w:rFonts w:hint="cs" w:ascii="Arial" w:hAnsi="Arial"/>
                <w:b/>
                <w:bCs/>
                <w:noProof w:val="0"/>
                <w:sz w:val="28"/>
                <w:szCs w:val="28"/>
                <w:u w:val="single"/>
                <w:rtl/>
              </w:rPr>
              <w:t>החלטה</w:t>
            </w:r>
          </w:p>
        </w:tc>
      </w:tr>
    </w:tbl>
    <w:p w:rsidRPr="00D232CA" w:rsidR="00694556" w:rsidRDefault="00694556">
      <w:pPr>
        <w:spacing w:line="360" w:lineRule="auto"/>
        <w:jc w:val="both"/>
        <w:rPr>
          <w:rFonts w:ascii="Arial" w:hAnsi="Arial"/>
          <w:noProof w:val="0"/>
          <w:rtl/>
        </w:rPr>
      </w:pPr>
    </w:p>
    <w:p w:rsidRPr="00D232CA" w:rsidR="009920CF" w:rsidRDefault="009920CF">
      <w:pPr>
        <w:spacing w:line="360" w:lineRule="auto"/>
        <w:jc w:val="both"/>
        <w:rPr>
          <w:rFonts w:ascii="Arial" w:hAnsi="Arial"/>
          <w:noProof w:val="0"/>
          <w:rtl/>
        </w:rPr>
      </w:pPr>
      <w:r w:rsidRPr="00D232CA">
        <w:rPr>
          <w:rFonts w:hint="cs" w:ascii="Arial" w:hAnsi="Arial"/>
          <w:noProof w:val="0"/>
          <w:rtl/>
        </w:rPr>
        <w:t xml:space="preserve">בקשה לפי סעיף 108 לחוק סדר הדין הפלילי (נוסח משולב) תשמ"ב </w:t>
      </w:r>
      <w:r w:rsidRPr="00D232CA">
        <w:rPr>
          <w:rFonts w:ascii="Arial" w:hAnsi="Arial"/>
          <w:noProof w:val="0"/>
          <w:rtl/>
        </w:rPr>
        <w:t>–</w:t>
      </w:r>
      <w:r w:rsidRPr="00D232CA">
        <w:rPr>
          <w:rFonts w:hint="cs" w:ascii="Arial" w:hAnsi="Arial"/>
          <w:noProof w:val="0"/>
          <w:rtl/>
        </w:rPr>
        <w:t xml:space="preserve"> 1982, לקבלת נתוני אכיפה שונים ביחס לעבירה המיוחסת לנאשם. </w:t>
      </w:r>
    </w:p>
    <w:p w:rsidRPr="00D232CA" w:rsidR="009920CF" w:rsidRDefault="009920CF">
      <w:pPr>
        <w:spacing w:line="360" w:lineRule="auto"/>
        <w:jc w:val="both"/>
        <w:rPr>
          <w:rFonts w:ascii="Arial" w:hAnsi="Arial"/>
          <w:noProof w:val="0"/>
          <w:rtl/>
        </w:rPr>
      </w:pPr>
    </w:p>
    <w:p w:rsidRPr="00D232CA" w:rsidR="009920CF" w:rsidRDefault="009920CF">
      <w:pPr>
        <w:spacing w:line="360" w:lineRule="auto"/>
        <w:jc w:val="both"/>
        <w:rPr>
          <w:rFonts w:ascii="Arial" w:hAnsi="Arial"/>
          <w:noProof w:val="0"/>
          <w:u w:val="single"/>
          <w:rtl/>
        </w:rPr>
      </w:pPr>
      <w:r w:rsidRPr="00D232CA">
        <w:rPr>
          <w:rFonts w:hint="cs" w:ascii="Arial" w:hAnsi="Arial"/>
          <w:noProof w:val="0"/>
          <w:u w:val="single"/>
          <w:rtl/>
        </w:rPr>
        <w:t>רקע</w:t>
      </w:r>
    </w:p>
    <w:p w:rsidRPr="00D232CA" w:rsidR="009920CF" w:rsidP="00BA2942" w:rsidRDefault="009920CF">
      <w:pPr>
        <w:spacing w:line="360" w:lineRule="auto"/>
        <w:ind w:left="720" w:hanging="720"/>
        <w:jc w:val="both"/>
        <w:rPr>
          <w:rFonts w:ascii="Arial" w:hAnsi="Arial"/>
          <w:noProof w:val="0"/>
          <w:rtl/>
        </w:rPr>
      </w:pPr>
      <w:r w:rsidRPr="00D232CA">
        <w:rPr>
          <w:rFonts w:hint="cs" w:ascii="Arial" w:hAnsi="Arial"/>
          <w:noProof w:val="0"/>
          <w:rtl/>
        </w:rPr>
        <w:t>1</w:t>
      </w:r>
      <w:r w:rsidRPr="00D232CA" w:rsidR="00BA2942">
        <w:rPr>
          <w:rFonts w:hint="cs" w:ascii="Arial" w:hAnsi="Arial"/>
          <w:noProof w:val="0"/>
          <w:rtl/>
        </w:rPr>
        <w:t>.</w:t>
      </w:r>
      <w:r w:rsidRPr="00D232CA" w:rsidR="00BA2942">
        <w:rPr>
          <w:rFonts w:hint="cs" w:ascii="Arial" w:hAnsi="Arial"/>
          <w:noProof w:val="0"/>
          <w:rtl/>
        </w:rPr>
        <w:tab/>
        <w:t xml:space="preserve">כנגד הנאשם הוגש כתב אישום המייחס לו עבירת זילות בית משפט בהתאם לסעיף 255 לחוק העונשין, תשל"ז </w:t>
      </w:r>
      <w:r w:rsidRPr="00D232CA" w:rsidR="00BA2942">
        <w:rPr>
          <w:rFonts w:ascii="Arial" w:hAnsi="Arial"/>
          <w:noProof w:val="0"/>
          <w:rtl/>
        </w:rPr>
        <w:t>–</w:t>
      </w:r>
      <w:r w:rsidRPr="00D232CA" w:rsidR="00BA2942">
        <w:rPr>
          <w:rFonts w:hint="cs" w:ascii="Arial" w:hAnsi="Arial"/>
          <w:noProof w:val="0"/>
          <w:rtl/>
        </w:rPr>
        <w:t xml:space="preserve"> 1977. מדובר בכתב אישום מתוקן, סוגיה לה מצאה המאשימה מקום בטיעוניה כנגד בקשה זו. </w:t>
      </w:r>
    </w:p>
    <w:p w:rsidRPr="00D232CA" w:rsidR="00F75AE0" w:rsidP="00645C0C" w:rsidRDefault="00BA2942">
      <w:pPr>
        <w:spacing w:line="360" w:lineRule="auto"/>
        <w:ind w:left="720" w:hanging="720"/>
        <w:jc w:val="both"/>
        <w:rPr>
          <w:rFonts w:ascii="Arial" w:hAnsi="Arial"/>
          <w:noProof w:val="0"/>
          <w:rtl/>
        </w:rPr>
      </w:pPr>
      <w:r w:rsidRPr="00D232CA">
        <w:rPr>
          <w:rFonts w:ascii="Arial" w:hAnsi="Arial"/>
          <w:noProof w:val="0"/>
          <w:rtl/>
        </w:rPr>
        <w:tab/>
      </w:r>
      <w:r w:rsidRPr="00D232CA">
        <w:rPr>
          <w:rFonts w:hint="cs" w:ascii="Arial" w:hAnsi="Arial"/>
          <w:noProof w:val="0"/>
          <w:rtl/>
        </w:rPr>
        <w:t>בהתאם לעובדות כתב האישום, מדובר במכתב אותו שלח הנאשם, הממוען לכב' השופט רונן פלג, והתקבל במכשיר פקסימיליה של בית משפט השלום בכפר סבא. כתב האישום מפרט א</w:t>
      </w:r>
      <w:r w:rsidR="00645C0C">
        <w:rPr>
          <w:rFonts w:hint="cs" w:ascii="Arial" w:hAnsi="Arial"/>
          <w:noProof w:val="0"/>
          <w:rtl/>
        </w:rPr>
        <w:t>ת</w:t>
      </w:r>
      <w:r w:rsidRPr="00D232CA">
        <w:rPr>
          <w:rFonts w:hint="cs" w:ascii="Arial" w:hAnsi="Arial"/>
          <w:noProof w:val="0"/>
          <w:rtl/>
        </w:rPr>
        <w:t xml:space="preserve"> הדברים שנכתבו על ידי הנאשם לגבי </w:t>
      </w:r>
      <w:r w:rsidRPr="00D232CA" w:rsidR="00483337">
        <w:rPr>
          <w:rFonts w:hint="cs" w:ascii="Arial" w:hAnsi="Arial"/>
          <w:noProof w:val="0"/>
          <w:rtl/>
        </w:rPr>
        <w:t xml:space="preserve">כב' השופט פלג וכן </w:t>
      </w:r>
      <w:r w:rsidR="00645C0C">
        <w:rPr>
          <w:rFonts w:hint="cs" w:ascii="Arial" w:hAnsi="Arial"/>
          <w:noProof w:val="0"/>
          <w:rtl/>
        </w:rPr>
        <w:t xml:space="preserve">לגבי </w:t>
      </w:r>
      <w:r w:rsidRPr="00D232CA" w:rsidR="00483337">
        <w:rPr>
          <w:rFonts w:hint="cs" w:ascii="Arial" w:hAnsi="Arial"/>
          <w:noProof w:val="0"/>
          <w:rtl/>
        </w:rPr>
        <w:t>כב' השופט עמית פרייז, המהווים, כך נטען, עבירה של זילות בית משפט.</w:t>
      </w:r>
    </w:p>
    <w:p w:rsidRPr="00D232CA" w:rsidR="00483337" w:rsidP="00671B34" w:rsidRDefault="00483337">
      <w:pPr>
        <w:spacing w:line="360" w:lineRule="auto"/>
        <w:ind w:left="720" w:hanging="720"/>
        <w:jc w:val="both"/>
        <w:rPr>
          <w:rFonts w:ascii="Arial" w:hAnsi="Arial"/>
          <w:noProof w:val="0"/>
          <w:rtl/>
        </w:rPr>
      </w:pPr>
      <w:r w:rsidRPr="00D232CA">
        <w:rPr>
          <w:rFonts w:hint="cs" w:ascii="Arial" w:hAnsi="Arial"/>
          <w:noProof w:val="0"/>
          <w:rtl/>
        </w:rPr>
        <w:t xml:space="preserve"> 2.</w:t>
      </w:r>
      <w:r w:rsidRPr="00D232CA">
        <w:rPr>
          <w:rFonts w:hint="cs" w:ascii="Arial" w:hAnsi="Arial"/>
          <w:noProof w:val="0"/>
          <w:rtl/>
        </w:rPr>
        <w:tab/>
        <w:t>ב"כ הנאשם טען, כי לשם ביסוס טענת אכיפה בררנית</w:t>
      </w:r>
      <w:r w:rsidR="00645C0C">
        <w:rPr>
          <w:rFonts w:hint="cs" w:ascii="Arial" w:hAnsi="Arial"/>
          <w:noProof w:val="0"/>
          <w:rtl/>
        </w:rPr>
        <w:t xml:space="preserve"> על ידו,</w:t>
      </w:r>
      <w:r w:rsidRPr="00D232CA">
        <w:rPr>
          <w:rFonts w:hint="cs" w:ascii="Arial" w:hAnsi="Arial"/>
          <w:noProof w:val="0"/>
          <w:rtl/>
        </w:rPr>
        <w:t xml:space="preserve"> על המאשימה להעביר לידיו מידע בדבר תיקים שנפתחו החל משנת 2010 בגין עבירה של זילות בית משפט, לרבות תיקים בהם הוגש כתב אישום ותיקים שנסגרו. ב"כ הנאשם התייחס לנסיבות המיוחדות של המפורט בכתב האישום, דברים אשר הופנו לשופט שזהותו שונה מהשופט אליו התייחסו הדברים הכתובים, וכן</w:t>
      </w:r>
      <w:r w:rsidRPr="00D232CA" w:rsidR="00F75AE0">
        <w:rPr>
          <w:rFonts w:hint="cs" w:ascii="Arial" w:hAnsi="Arial"/>
          <w:noProof w:val="0"/>
          <w:rtl/>
        </w:rPr>
        <w:t xml:space="preserve"> </w:t>
      </w:r>
      <w:r w:rsidR="00645C0C">
        <w:rPr>
          <w:rFonts w:hint="cs" w:ascii="Arial" w:hAnsi="Arial"/>
          <w:noProof w:val="0"/>
          <w:rtl/>
        </w:rPr>
        <w:t xml:space="preserve">לכך שהמכתב </w:t>
      </w:r>
      <w:r w:rsidRPr="00D232CA" w:rsidR="00F75AE0">
        <w:rPr>
          <w:rFonts w:hint="cs" w:ascii="Arial" w:hAnsi="Arial"/>
          <w:noProof w:val="0"/>
          <w:rtl/>
        </w:rPr>
        <w:t xml:space="preserve">כלל לא הגיע </w:t>
      </w:r>
      <w:r w:rsidR="00645C0C">
        <w:rPr>
          <w:rFonts w:hint="cs" w:ascii="Arial" w:hAnsi="Arial"/>
          <w:noProof w:val="0"/>
          <w:rtl/>
        </w:rPr>
        <w:t xml:space="preserve">ליעדו </w:t>
      </w:r>
      <w:r w:rsidRPr="00D232CA" w:rsidR="00F75AE0">
        <w:rPr>
          <w:rFonts w:hint="cs" w:ascii="Arial" w:hAnsi="Arial"/>
          <w:noProof w:val="0"/>
          <w:rtl/>
        </w:rPr>
        <w:t xml:space="preserve">אלא נתפס בחוסר סמכות על ידי מאבטח בית המשפט. בנוסף, היפנה להתנהלות המאשימה אשר פעלה במקרה זה, כך טען, בניגוד להנחיית היועץ המשפטי לממשלה. בהתייחסו למקרים אותם ציינה המאשימה בתגובתה, בהם הוגשו כתבי אישום בגין עבירה דומה, טען ב"כ הנאשם כי מקרים אלה מחזקים את הטענה שמדובר בכתב אישום תקדימי. </w:t>
      </w:r>
    </w:p>
    <w:p w:rsidRPr="00D232CA" w:rsidR="00230E95" w:rsidP="00645C0C" w:rsidRDefault="00F75AE0">
      <w:pPr>
        <w:spacing w:line="360" w:lineRule="auto"/>
        <w:ind w:left="720" w:hanging="720"/>
        <w:jc w:val="both"/>
        <w:rPr>
          <w:rFonts w:ascii="Arial" w:hAnsi="Arial"/>
          <w:noProof w:val="0"/>
          <w:rtl/>
        </w:rPr>
      </w:pPr>
      <w:r w:rsidRPr="00D232CA">
        <w:rPr>
          <w:rFonts w:hint="cs" w:ascii="Arial" w:hAnsi="Arial"/>
          <w:noProof w:val="0"/>
          <w:rtl/>
        </w:rPr>
        <w:t xml:space="preserve">3. </w:t>
      </w:r>
      <w:r w:rsidRPr="00D232CA">
        <w:rPr>
          <w:rFonts w:hint="cs" w:ascii="Arial" w:hAnsi="Arial"/>
          <w:noProof w:val="0"/>
          <w:rtl/>
        </w:rPr>
        <w:tab/>
        <w:t xml:space="preserve">המאשימה טענה, כי כתב האישום המקורי ייחס לנאשם עבירה של נסיון העלבת עובד ציבור, </w:t>
      </w:r>
      <w:r w:rsidR="00645C0C">
        <w:rPr>
          <w:rFonts w:hint="cs" w:ascii="Arial" w:hAnsi="Arial"/>
          <w:noProof w:val="0"/>
          <w:rtl/>
        </w:rPr>
        <w:t xml:space="preserve">אך </w:t>
      </w:r>
      <w:r w:rsidRPr="00D232CA">
        <w:rPr>
          <w:rFonts w:hint="cs" w:ascii="Arial" w:hAnsi="Arial"/>
          <w:noProof w:val="0"/>
          <w:rtl/>
        </w:rPr>
        <w:t xml:space="preserve">תוקן בהתאם להמלצת ראשת תחום עיכוב הליכים בפרקליטות המדינה. נקודת המוצא, כך נטען, היא חזקת התקינות המנהלית, </w:t>
      </w:r>
      <w:r w:rsidRPr="00D232CA" w:rsidR="00230E95">
        <w:rPr>
          <w:rFonts w:hint="cs" w:ascii="Arial" w:hAnsi="Arial"/>
          <w:noProof w:val="0"/>
          <w:rtl/>
        </w:rPr>
        <w:t>וכן הצורך ב</w:t>
      </w:r>
      <w:r w:rsidR="00645C0C">
        <w:rPr>
          <w:rFonts w:hint="cs" w:ascii="Arial" w:hAnsi="Arial"/>
          <w:noProof w:val="0"/>
          <w:rtl/>
        </w:rPr>
        <w:t xml:space="preserve">הצגת </w:t>
      </w:r>
      <w:r w:rsidRPr="00D232CA" w:rsidR="00230E95">
        <w:rPr>
          <w:rFonts w:hint="cs" w:ascii="Arial" w:hAnsi="Arial"/>
          <w:noProof w:val="0"/>
          <w:rtl/>
        </w:rPr>
        <w:t xml:space="preserve">ראשית ראייה לאכיפה בררנית </w:t>
      </w:r>
      <w:r w:rsidRPr="00D232CA" w:rsidR="00230E95">
        <w:rPr>
          <w:rFonts w:hint="cs" w:ascii="Arial" w:hAnsi="Arial"/>
          <w:noProof w:val="0"/>
          <w:rtl/>
        </w:rPr>
        <w:lastRenderedPageBreak/>
        <w:t>פסולה</w:t>
      </w:r>
      <w:r w:rsidR="00645C0C">
        <w:rPr>
          <w:rFonts w:hint="cs" w:ascii="Arial" w:hAnsi="Arial"/>
          <w:noProof w:val="0"/>
          <w:rtl/>
        </w:rPr>
        <w:t>,</w:t>
      </w:r>
      <w:r w:rsidRPr="00D232CA" w:rsidR="00230E95">
        <w:rPr>
          <w:rFonts w:hint="cs" w:ascii="Arial" w:hAnsi="Arial"/>
          <w:noProof w:val="0"/>
          <w:rtl/>
        </w:rPr>
        <w:t xml:space="preserve"> על מנת לאפשר לנאשם לקבל מידע לשם נסיון ביסוס טיעונו. במקרה זה, טענה המאשימה כי מדובר בבקשה בלתי מידתית, המחייבת בדיקה פרטנית של אלפי תיקים ומיונם על פי נסיבותיהם וטעמי סגירתם. בנוסף, הפנתה המאשימה לשלושה תיקים שאותרו במאגר משפטי, אשר נותנים </w:t>
      </w:r>
      <w:r w:rsidR="00645C0C">
        <w:rPr>
          <w:rFonts w:hint="cs" w:ascii="Arial" w:hAnsi="Arial"/>
          <w:noProof w:val="0"/>
          <w:rtl/>
        </w:rPr>
        <w:t xml:space="preserve">לטענתה </w:t>
      </w:r>
      <w:r w:rsidRPr="00D232CA" w:rsidR="00230E95">
        <w:rPr>
          <w:rFonts w:hint="cs" w:ascii="Arial" w:hAnsi="Arial"/>
          <w:noProof w:val="0"/>
          <w:rtl/>
        </w:rPr>
        <w:t>מענה ראוי לנאשם</w:t>
      </w:r>
      <w:r w:rsidR="00645C0C">
        <w:rPr>
          <w:rFonts w:hint="cs" w:ascii="Arial" w:hAnsi="Arial"/>
          <w:noProof w:val="0"/>
          <w:rtl/>
        </w:rPr>
        <w:t>,</w:t>
      </w:r>
      <w:r w:rsidRPr="00D232CA" w:rsidR="00230E95">
        <w:rPr>
          <w:rFonts w:hint="cs" w:ascii="Arial" w:hAnsi="Arial"/>
          <w:noProof w:val="0"/>
          <w:rtl/>
        </w:rPr>
        <w:t xml:space="preserve"> ומייתרים את הבקשה אשר יישומה דורש השקעת משאבים רבים.</w:t>
      </w:r>
    </w:p>
    <w:p w:rsidRPr="00D232CA" w:rsidR="00291F8F" w:rsidP="00671B34" w:rsidRDefault="00230E95">
      <w:pPr>
        <w:spacing w:line="360" w:lineRule="auto"/>
        <w:ind w:left="720" w:hanging="720"/>
        <w:jc w:val="both"/>
        <w:rPr>
          <w:noProof w:val="0"/>
          <w:rtl/>
        </w:rPr>
      </w:pPr>
      <w:r w:rsidRPr="00D232CA">
        <w:rPr>
          <w:rFonts w:hint="cs" w:ascii="Arial" w:hAnsi="Arial"/>
          <w:noProof w:val="0"/>
          <w:rtl/>
        </w:rPr>
        <w:t xml:space="preserve"> </w:t>
      </w:r>
      <w:r w:rsidRPr="00D232CA">
        <w:rPr>
          <w:rFonts w:hint="cs" w:ascii="Arial" w:hAnsi="Arial"/>
          <w:noProof w:val="0"/>
          <w:u w:val="single"/>
          <w:rtl/>
        </w:rPr>
        <w:t xml:space="preserve"> דיון והכרעה</w:t>
      </w:r>
    </w:p>
    <w:p w:rsidRPr="00D232CA" w:rsidR="00C43145" w:rsidP="00C34F6C" w:rsidRDefault="00291F8F">
      <w:pPr>
        <w:spacing w:line="360" w:lineRule="auto"/>
        <w:ind w:left="720" w:hanging="720"/>
        <w:jc w:val="both"/>
        <w:rPr>
          <w:noProof w:val="0"/>
          <w:rtl/>
        </w:rPr>
      </w:pPr>
      <w:r w:rsidRPr="00D232CA">
        <w:rPr>
          <w:rFonts w:hint="cs"/>
          <w:noProof w:val="0"/>
          <w:rtl/>
        </w:rPr>
        <w:t>4.</w:t>
      </w:r>
      <w:r w:rsidRPr="00D232CA">
        <w:rPr>
          <w:noProof w:val="0"/>
          <w:rtl/>
        </w:rPr>
        <w:tab/>
      </w:r>
      <w:r w:rsidRPr="00D232CA">
        <w:rPr>
          <w:rFonts w:hint="cs"/>
          <w:noProof w:val="0"/>
          <w:rtl/>
        </w:rPr>
        <w:t>יש ממש בטיעון המאשימה</w:t>
      </w:r>
      <w:r w:rsidR="00645C0C">
        <w:rPr>
          <w:rFonts w:hint="cs"/>
          <w:noProof w:val="0"/>
          <w:rtl/>
        </w:rPr>
        <w:t>,</w:t>
      </w:r>
      <w:r w:rsidRPr="00D232CA">
        <w:rPr>
          <w:rFonts w:hint="cs"/>
          <w:noProof w:val="0"/>
          <w:rtl/>
        </w:rPr>
        <w:t xml:space="preserve"> לגבי הצורך בהצגת ראשית ראיה לשם ביסוס </w:t>
      </w:r>
      <w:r w:rsidR="00C34F6C">
        <w:rPr>
          <w:rFonts w:hint="cs"/>
          <w:noProof w:val="0"/>
          <w:rtl/>
        </w:rPr>
        <w:t xml:space="preserve">הבקשה, </w:t>
      </w:r>
      <w:r w:rsidRPr="00D232CA">
        <w:rPr>
          <w:rFonts w:hint="cs"/>
          <w:noProof w:val="0"/>
          <w:rtl/>
        </w:rPr>
        <w:t>אולם יש לזכור כי על מנת לנסות לבסס טענ</w:t>
      </w:r>
      <w:r w:rsidR="00C34F6C">
        <w:rPr>
          <w:rFonts w:hint="cs"/>
          <w:noProof w:val="0"/>
          <w:rtl/>
        </w:rPr>
        <w:t>ת אכיפה בררנית,</w:t>
      </w:r>
      <w:r w:rsidRPr="00D232CA">
        <w:rPr>
          <w:rFonts w:hint="cs"/>
          <w:noProof w:val="0"/>
          <w:rtl/>
        </w:rPr>
        <w:t xml:space="preserve"> על הנאשם לקבל לידיו חומר המצוי בידי המאשימה או בידי רשויות אכיפת חוק אחרות. קיים קושי אינהרנטי בהוכחת טענת אכיפה בררנית, ללא המידע המצוי בידי המאשימה (עפ"א 27975-10-11 </w:t>
      </w:r>
      <w:r w:rsidRPr="00D232CA">
        <w:rPr>
          <w:rFonts w:hint="cs"/>
          <w:b/>
          <w:bCs/>
          <w:noProof w:val="0"/>
          <w:rtl/>
        </w:rPr>
        <w:t>מדינת ישראל נ</w:t>
      </w:r>
      <w:r w:rsidRPr="00D232CA" w:rsidR="00C43145">
        <w:rPr>
          <w:rFonts w:hint="cs"/>
          <w:b/>
          <w:bCs/>
          <w:noProof w:val="0"/>
          <w:rtl/>
        </w:rPr>
        <w:t>' עמית ופריאל</w:t>
      </w:r>
      <w:r w:rsidRPr="00D232CA" w:rsidR="00C43145">
        <w:rPr>
          <w:rFonts w:hint="cs"/>
          <w:noProof w:val="0"/>
          <w:rtl/>
        </w:rPr>
        <w:t xml:space="preserve">, פסקה 25 (22.4.2013) והאסמכתאות שם). אין משמעות הדבר כי על המאשימה להעביר חומר כמבוקש, בכל מקרה בו עולה בקשה לקבלתו לשם </w:t>
      </w:r>
      <w:r w:rsidR="00C34F6C">
        <w:rPr>
          <w:rFonts w:hint="cs"/>
          <w:noProof w:val="0"/>
          <w:rtl/>
        </w:rPr>
        <w:t>טענת</w:t>
      </w:r>
      <w:r w:rsidRPr="00D232CA" w:rsidR="00C43145">
        <w:rPr>
          <w:rFonts w:hint="cs"/>
          <w:noProof w:val="0"/>
          <w:rtl/>
        </w:rPr>
        <w:t xml:space="preserve"> אכיפה בררנית. יש לבחון כל מקרה בהתאם לנסיבותיו, האם החומר אכן רלוונטי ויש בו לסייע לנאשם </w:t>
      </w:r>
      <w:r w:rsidR="00C34F6C">
        <w:rPr>
          <w:rFonts w:hint="cs"/>
          <w:noProof w:val="0"/>
          <w:rtl/>
        </w:rPr>
        <w:t xml:space="preserve">בהצגת </w:t>
      </w:r>
      <w:r w:rsidRPr="00D232CA" w:rsidR="00C43145">
        <w:rPr>
          <w:rFonts w:hint="cs"/>
          <w:noProof w:val="0"/>
          <w:rtl/>
        </w:rPr>
        <w:t xml:space="preserve"> </w:t>
      </w:r>
      <w:r w:rsidR="00C34F6C">
        <w:rPr>
          <w:rFonts w:hint="cs"/>
          <w:noProof w:val="0"/>
          <w:rtl/>
        </w:rPr>
        <w:t xml:space="preserve">טענת </w:t>
      </w:r>
      <w:r w:rsidRPr="00D232CA" w:rsidR="00C43145">
        <w:rPr>
          <w:rFonts w:hint="cs"/>
          <w:noProof w:val="0"/>
          <w:rtl/>
        </w:rPr>
        <w:t xml:space="preserve">הגנה מן הצדק. </w:t>
      </w:r>
    </w:p>
    <w:p w:rsidRPr="00D232CA" w:rsidR="00210A1B" w:rsidP="006151A7" w:rsidRDefault="00210A1B">
      <w:pPr>
        <w:spacing w:line="360" w:lineRule="auto"/>
        <w:ind w:left="720" w:hanging="720"/>
        <w:jc w:val="both"/>
        <w:rPr>
          <w:noProof w:val="0"/>
          <w:rtl/>
        </w:rPr>
      </w:pPr>
      <w:r w:rsidRPr="00D232CA">
        <w:rPr>
          <w:noProof w:val="0"/>
          <w:rtl/>
        </w:rPr>
        <w:tab/>
      </w:r>
      <w:r w:rsidRPr="00D232CA">
        <w:rPr>
          <w:rFonts w:hint="cs"/>
          <w:noProof w:val="0"/>
          <w:rtl/>
        </w:rPr>
        <w:t>כפי שציינה כב' השופטת ברק-ארז, "</w:t>
      </w:r>
      <w:r w:rsidRPr="00D232CA">
        <w:rPr>
          <w:rFonts w:hint="cs"/>
          <w:b/>
          <w:bCs/>
          <w:noProof w:val="0"/>
          <w:rtl/>
        </w:rPr>
        <w:t>מקום בו הטעם לקבלת מידע מתיקי חקירה הוא הרצון להוכיח אכיפה בררנית, הרי שמשקלו של האינטרס הלגיטימי יגבר ככל שהמבקש יוכל להצביע על בסיס ראשוני לקיומו של חשד בדבר סלקטיביות באכיפה</w:t>
      </w:r>
      <w:r w:rsidRPr="00D232CA" w:rsidR="006151A7">
        <w:rPr>
          <w:rFonts w:hint="cs"/>
          <w:noProof w:val="0"/>
          <w:rtl/>
        </w:rPr>
        <w:t xml:space="preserve">" (עע"מ 1786/12 </w:t>
      </w:r>
      <w:r w:rsidRPr="00D232CA" w:rsidR="006151A7">
        <w:rPr>
          <w:rFonts w:hint="cs"/>
          <w:b/>
          <w:bCs/>
          <w:noProof w:val="0"/>
          <w:rtl/>
        </w:rPr>
        <w:t xml:space="preserve">אברהים ג'ולאני נ' מדינת ישראל </w:t>
      </w:r>
      <w:r w:rsidRPr="00D232CA" w:rsidR="006151A7">
        <w:rPr>
          <w:b/>
          <w:bCs/>
          <w:noProof w:val="0"/>
          <w:rtl/>
        </w:rPr>
        <w:t>–</w:t>
      </w:r>
      <w:r w:rsidRPr="00D232CA" w:rsidR="006151A7">
        <w:rPr>
          <w:rFonts w:hint="cs"/>
          <w:b/>
          <w:bCs/>
          <w:noProof w:val="0"/>
          <w:rtl/>
        </w:rPr>
        <w:t xml:space="preserve"> המשרד לביטחון פנים</w:t>
      </w:r>
      <w:r w:rsidRPr="00D232CA" w:rsidR="006151A7">
        <w:rPr>
          <w:rFonts w:hint="cs"/>
          <w:noProof w:val="0"/>
          <w:rtl/>
        </w:rPr>
        <w:t xml:space="preserve">, פסקה 30 לפסק דינה, (20.11.2013) להלן: "ענין ג'ולאני". ראו עוד את הצורך ב"תשתית לכאורית ראשונית" לביסוס הבקשה, במסגרת ערעור עלב"ש 85/12 </w:t>
      </w:r>
      <w:r w:rsidRPr="00D232CA" w:rsidR="006151A7">
        <w:rPr>
          <w:rFonts w:hint="cs"/>
          <w:b/>
          <w:bCs/>
          <w:noProof w:val="0"/>
          <w:rtl/>
        </w:rPr>
        <w:t xml:space="preserve">טור' ג.ש. נ' התובע הצבאי הראשי, </w:t>
      </w:r>
      <w:r w:rsidRPr="00D232CA" w:rsidR="006151A7">
        <w:rPr>
          <w:rFonts w:hint="cs"/>
          <w:noProof w:val="0"/>
          <w:rtl/>
        </w:rPr>
        <w:t xml:space="preserve">פסקה 20 (27.12.2012)). </w:t>
      </w:r>
    </w:p>
    <w:p w:rsidR="00D232CA" w:rsidP="00C34F6C" w:rsidRDefault="006151A7">
      <w:pPr>
        <w:spacing w:line="360" w:lineRule="auto"/>
        <w:ind w:left="720" w:hanging="720"/>
        <w:jc w:val="both"/>
        <w:rPr>
          <w:noProof w:val="0"/>
          <w:rtl/>
        </w:rPr>
      </w:pPr>
      <w:r w:rsidRPr="00D232CA">
        <w:rPr>
          <w:noProof w:val="0"/>
          <w:rtl/>
        </w:rPr>
        <w:tab/>
      </w:r>
      <w:r w:rsidRPr="00D232CA">
        <w:rPr>
          <w:rFonts w:hint="cs"/>
          <w:noProof w:val="0"/>
          <w:rtl/>
        </w:rPr>
        <w:t>יחד עם זאת, ביסוס קיומו של החשד אינו נ</w:t>
      </w:r>
      <w:r w:rsidR="00C34F6C">
        <w:rPr>
          <w:rFonts w:hint="cs"/>
          <w:noProof w:val="0"/>
          <w:rtl/>
        </w:rPr>
        <w:t>ש</w:t>
      </w:r>
      <w:r w:rsidRPr="00D232CA">
        <w:rPr>
          <w:rFonts w:hint="cs"/>
          <w:noProof w:val="0"/>
          <w:rtl/>
        </w:rPr>
        <w:t>ען אך ורק על השוואה ראשונית למקרים דומים: "</w:t>
      </w:r>
      <w:r w:rsidRPr="00D232CA">
        <w:rPr>
          <w:rFonts w:hint="cs"/>
          <w:b/>
          <w:bCs/>
          <w:noProof w:val="0"/>
          <w:rtl/>
        </w:rPr>
        <w:t>ויודגש: הנחת חשד ראשוני מסוג זה יכולה להיעשות במגוון דר</w:t>
      </w:r>
      <w:r w:rsidR="00C34F6C">
        <w:rPr>
          <w:rFonts w:hint="cs"/>
          <w:b/>
          <w:bCs/>
          <w:noProof w:val="0"/>
          <w:rtl/>
        </w:rPr>
        <w:t>כ</w:t>
      </w:r>
      <w:r w:rsidRPr="00D232CA">
        <w:rPr>
          <w:rFonts w:hint="cs"/>
          <w:b/>
          <w:bCs/>
          <w:noProof w:val="0"/>
          <w:rtl/>
        </w:rPr>
        <w:t>ים. היא אינה מחייבת להצביע על השוואה לקבוצת ביקורת קונקרטית או על כוונה להפלות</w:t>
      </w:r>
      <w:r w:rsidRPr="00D232CA" w:rsidR="001C3435">
        <w:rPr>
          <w:rFonts w:hint="cs"/>
          <w:b/>
          <w:bCs/>
          <w:noProof w:val="0"/>
          <w:rtl/>
        </w:rPr>
        <w:t>... כך למשל, החשד לכך יכול להתעורר בשל מאפיינים הקשורים בעבירה עצמה (כדוגמת עבירה הכרוכה באופן אינהרנטי בפגיעה בחופש הביטוי) או באכיפתה המעטה...</w:t>
      </w:r>
      <w:r w:rsidRPr="00D232CA" w:rsidR="001C3435">
        <w:rPr>
          <w:rFonts w:hint="cs"/>
          <w:noProof w:val="0"/>
          <w:rtl/>
        </w:rPr>
        <w:t>"</w:t>
      </w:r>
      <w:r w:rsidRPr="00D232CA" w:rsidR="001C3435">
        <w:rPr>
          <w:rFonts w:hint="cs"/>
          <w:b/>
          <w:bCs/>
          <w:noProof w:val="0"/>
          <w:rtl/>
        </w:rPr>
        <w:t xml:space="preserve"> </w:t>
      </w:r>
      <w:r w:rsidRPr="00D232CA" w:rsidR="001C3435">
        <w:rPr>
          <w:rFonts w:hint="cs"/>
          <w:noProof w:val="0"/>
          <w:rtl/>
        </w:rPr>
        <w:t xml:space="preserve">(ענין ג'ולאני, פסקה 30 בפסק דינה של כב' השופטת ברק-ארז). </w:t>
      </w:r>
      <w:r w:rsidRPr="00D232CA" w:rsidR="001C3435">
        <w:rPr>
          <w:rFonts w:hint="cs"/>
          <w:b/>
          <w:bCs/>
          <w:noProof w:val="0"/>
          <w:rtl/>
        </w:rPr>
        <w:t xml:space="preserve"> </w:t>
      </w:r>
    </w:p>
    <w:p w:rsidR="00A65CA5" w:rsidP="00D232CA" w:rsidRDefault="00724295">
      <w:pPr>
        <w:spacing w:line="360" w:lineRule="auto"/>
        <w:ind w:left="720"/>
        <w:jc w:val="both"/>
        <w:rPr>
          <w:noProof w:val="0"/>
          <w:rtl/>
        </w:rPr>
      </w:pPr>
      <w:r w:rsidRPr="00D232CA">
        <w:rPr>
          <w:rFonts w:hint="cs"/>
          <w:noProof w:val="0"/>
          <w:rtl/>
        </w:rPr>
        <w:t>בית המשפט העליון התייחס באופן דומה, לקבלת נתונים ביחס לאכיפת עבירה של העלבת עובד ציבור לפי סעיף 288 לחוק העונשין, כאשר אלה נדרשים לשם ביסוס טענת הגנה מן הצדק מחמת אכיפה בררנית: "</w:t>
      </w:r>
      <w:r w:rsidRPr="00D232CA">
        <w:rPr>
          <w:rFonts w:hint="cs"/>
          <w:b/>
          <w:bCs/>
          <w:noProof w:val="0"/>
          <w:rtl/>
        </w:rPr>
        <w:t>נוכח נדירות האכיפה לרוב לא יהי</w:t>
      </w:r>
      <w:r w:rsidRPr="00D232CA" w:rsidR="00A65CA5">
        <w:rPr>
          <w:rFonts w:hint="cs"/>
          <w:b/>
          <w:bCs/>
          <w:noProof w:val="0"/>
          <w:rtl/>
        </w:rPr>
        <w:t>ו בידי הנאשם אף ראיות עצמאיות משלו לצורך הוכחת הגנה מן הצדק כך שהאינטרס האישי שלו בגילוי המידע הוא נכבד</w:t>
      </w:r>
      <w:r w:rsidRPr="00D232CA" w:rsidR="00A65CA5">
        <w:rPr>
          <w:rFonts w:hint="cs"/>
          <w:noProof w:val="0"/>
          <w:rtl/>
        </w:rPr>
        <w:t xml:space="preserve">" (עע"מ 2398/08 </w:t>
      </w:r>
      <w:r w:rsidRPr="00D232CA" w:rsidR="00A65CA5">
        <w:rPr>
          <w:rFonts w:hint="cs"/>
          <w:b/>
          <w:bCs/>
          <w:noProof w:val="0"/>
          <w:rtl/>
        </w:rPr>
        <w:t xml:space="preserve">מדינת ישראל נ' אליצור סגל, </w:t>
      </w:r>
      <w:r w:rsidRPr="00D232CA" w:rsidR="00A65CA5">
        <w:rPr>
          <w:rFonts w:hint="cs"/>
          <w:noProof w:val="0"/>
          <w:rtl/>
        </w:rPr>
        <w:t xml:space="preserve">פסקה 36 (19.6.2011) להלן: "ענין סגל"). </w:t>
      </w:r>
    </w:p>
    <w:p w:rsidR="00D232CA" w:rsidP="002C4FBC" w:rsidRDefault="00D232CA">
      <w:pPr>
        <w:spacing w:line="360" w:lineRule="auto"/>
        <w:ind w:left="720" w:hanging="720"/>
        <w:jc w:val="both"/>
        <w:rPr>
          <w:noProof w:val="0"/>
          <w:rtl/>
        </w:rPr>
      </w:pPr>
      <w:r>
        <w:rPr>
          <w:rFonts w:hint="cs"/>
          <w:noProof w:val="0"/>
          <w:rtl/>
        </w:rPr>
        <w:lastRenderedPageBreak/>
        <w:t>5.</w:t>
      </w:r>
      <w:r>
        <w:rPr>
          <w:rFonts w:hint="cs"/>
          <w:noProof w:val="0"/>
          <w:rtl/>
        </w:rPr>
        <w:tab/>
        <w:t>במקרה הנדון</w:t>
      </w:r>
      <w:r w:rsidR="002D6424">
        <w:rPr>
          <w:rFonts w:hint="cs"/>
          <w:noProof w:val="0"/>
          <w:rtl/>
        </w:rPr>
        <w:t>,</w:t>
      </w:r>
      <w:r>
        <w:rPr>
          <w:rFonts w:hint="cs"/>
          <w:noProof w:val="0"/>
          <w:rtl/>
        </w:rPr>
        <w:t xml:space="preserve"> מדובר בעבירת זילות בית משפט, </w:t>
      </w:r>
      <w:r w:rsidR="002D6424">
        <w:rPr>
          <w:rFonts w:hint="cs"/>
          <w:noProof w:val="0"/>
          <w:rtl/>
        </w:rPr>
        <w:t xml:space="preserve">עבירה </w:t>
      </w:r>
      <w:r>
        <w:rPr>
          <w:rFonts w:hint="cs"/>
          <w:noProof w:val="0"/>
          <w:rtl/>
        </w:rPr>
        <w:t xml:space="preserve">הנוגעת באופן ישיר לחופש הביטוי, </w:t>
      </w:r>
      <w:r w:rsidR="002D6424">
        <w:rPr>
          <w:rFonts w:hint="cs"/>
          <w:noProof w:val="0"/>
          <w:rtl/>
        </w:rPr>
        <w:t>מ</w:t>
      </w:r>
      <w:r>
        <w:rPr>
          <w:rFonts w:hint="cs"/>
          <w:noProof w:val="0"/>
          <w:rtl/>
        </w:rPr>
        <w:t xml:space="preserve">סוג </w:t>
      </w:r>
      <w:r w:rsidR="002D6424">
        <w:rPr>
          <w:rFonts w:hint="cs"/>
          <w:noProof w:val="0"/>
          <w:rtl/>
        </w:rPr>
        <w:t xml:space="preserve">העבירות </w:t>
      </w:r>
      <w:r>
        <w:rPr>
          <w:rFonts w:hint="cs"/>
          <w:noProof w:val="0"/>
          <w:rtl/>
        </w:rPr>
        <w:t>בעל</w:t>
      </w:r>
      <w:r w:rsidR="002D6424">
        <w:rPr>
          <w:rFonts w:hint="cs"/>
          <w:noProof w:val="0"/>
          <w:rtl/>
        </w:rPr>
        <w:t>ות</w:t>
      </w:r>
      <w:r>
        <w:rPr>
          <w:rFonts w:hint="cs"/>
          <w:noProof w:val="0"/>
          <w:rtl/>
        </w:rPr>
        <w:t xml:space="preserve"> </w:t>
      </w:r>
      <w:r w:rsidR="002D6424">
        <w:rPr>
          <w:rFonts w:hint="cs"/>
          <w:noProof w:val="0"/>
          <w:rtl/>
        </w:rPr>
        <w:t>ה</w:t>
      </w:r>
      <w:r>
        <w:rPr>
          <w:rFonts w:hint="cs"/>
          <w:noProof w:val="0"/>
          <w:rtl/>
        </w:rPr>
        <w:t>משקל בהנחת הב</w:t>
      </w:r>
      <w:r w:rsidR="002D6424">
        <w:rPr>
          <w:rFonts w:hint="cs"/>
          <w:noProof w:val="0"/>
          <w:rtl/>
        </w:rPr>
        <w:t>ס</w:t>
      </w:r>
      <w:r>
        <w:rPr>
          <w:rFonts w:hint="cs"/>
          <w:noProof w:val="0"/>
          <w:rtl/>
        </w:rPr>
        <w:t xml:space="preserve">יס הראשוני לשם קבלת חומר כמבוקש. בנוסף, מדובר בעבירה שאינה נאכפת באופן שיגרתי ותדיר, אלא נבחנת </w:t>
      </w:r>
      <w:r w:rsidR="002D6424">
        <w:rPr>
          <w:rFonts w:hint="cs"/>
          <w:noProof w:val="0"/>
          <w:rtl/>
        </w:rPr>
        <w:t>ב</w:t>
      </w:r>
      <w:r>
        <w:rPr>
          <w:rFonts w:hint="cs"/>
          <w:noProof w:val="0"/>
          <w:rtl/>
        </w:rPr>
        <w:t>קפידה על ידי גורמי החקירה והתביעה, כאשר בהתאם ל</w:t>
      </w:r>
      <w:r w:rsidR="00C65876">
        <w:rPr>
          <w:rFonts w:hint="cs"/>
          <w:noProof w:val="0"/>
          <w:rtl/>
        </w:rPr>
        <w:t xml:space="preserve">הנחית </w:t>
      </w:r>
      <w:r>
        <w:rPr>
          <w:rFonts w:hint="cs"/>
          <w:noProof w:val="0"/>
          <w:rtl/>
        </w:rPr>
        <w:t xml:space="preserve">היועץ המשפטי לממשלה </w:t>
      </w:r>
      <w:r w:rsidR="00C65876">
        <w:rPr>
          <w:rFonts w:hint="cs"/>
          <w:noProof w:val="0"/>
          <w:rtl/>
        </w:rPr>
        <w:t xml:space="preserve">4.1103, </w:t>
      </w:r>
      <w:r>
        <w:rPr>
          <w:rFonts w:hint="cs"/>
          <w:noProof w:val="0"/>
          <w:rtl/>
        </w:rPr>
        <w:t>נדרש אישור מיוחד של המשנה לפר</w:t>
      </w:r>
      <w:r w:rsidR="008C57ED">
        <w:rPr>
          <w:rFonts w:hint="cs"/>
          <w:noProof w:val="0"/>
          <w:rtl/>
        </w:rPr>
        <w:t>ק</w:t>
      </w:r>
      <w:r>
        <w:rPr>
          <w:rFonts w:hint="cs"/>
          <w:noProof w:val="0"/>
          <w:rtl/>
        </w:rPr>
        <w:t>ליט המדינה (</w:t>
      </w:r>
      <w:r w:rsidR="008C57ED">
        <w:rPr>
          <w:rFonts w:hint="cs"/>
          <w:noProof w:val="0"/>
          <w:rtl/>
        </w:rPr>
        <w:t>ת</w:t>
      </w:r>
      <w:r>
        <w:rPr>
          <w:rFonts w:hint="cs"/>
          <w:noProof w:val="0"/>
          <w:rtl/>
        </w:rPr>
        <w:t>פקידים מיו</w:t>
      </w:r>
      <w:r w:rsidR="008C57ED">
        <w:rPr>
          <w:rFonts w:hint="cs"/>
          <w:noProof w:val="0"/>
          <w:rtl/>
        </w:rPr>
        <w:t>חדים) על מנת ל</w:t>
      </w:r>
      <w:r w:rsidR="002C4FBC">
        <w:rPr>
          <w:rFonts w:hint="cs"/>
          <w:noProof w:val="0"/>
          <w:rtl/>
        </w:rPr>
        <w:t>פ</w:t>
      </w:r>
      <w:r w:rsidR="00C65876">
        <w:rPr>
          <w:rFonts w:hint="cs"/>
          <w:noProof w:val="0"/>
          <w:rtl/>
        </w:rPr>
        <w:t>תוח בחקירה ול</w:t>
      </w:r>
      <w:r w:rsidR="008C57ED">
        <w:rPr>
          <w:rFonts w:hint="cs"/>
          <w:noProof w:val="0"/>
          <w:rtl/>
        </w:rPr>
        <w:t>הגיש כתב אישום</w:t>
      </w:r>
      <w:r w:rsidR="00C65876">
        <w:rPr>
          <w:rFonts w:hint="cs"/>
          <w:noProof w:val="0"/>
          <w:rtl/>
        </w:rPr>
        <w:t xml:space="preserve"> (סעיף 10 להנחיה)</w:t>
      </w:r>
      <w:r w:rsidR="008C57ED">
        <w:rPr>
          <w:rFonts w:hint="cs"/>
          <w:noProof w:val="0"/>
          <w:rtl/>
        </w:rPr>
        <w:t xml:space="preserve">. </w:t>
      </w:r>
      <w:r w:rsidR="002C4FBC">
        <w:rPr>
          <w:rFonts w:hint="cs"/>
          <w:noProof w:val="0"/>
          <w:rtl/>
        </w:rPr>
        <w:t xml:space="preserve">די בצירוף זה, על מנת להניח את התשתית הראשונית המבססת את טיעון ב"כ הנאשם לקבלת החומר המבוקש. </w:t>
      </w:r>
    </w:p>
    <w:p w:rsidR="00763E8B" w:rsidP="00166E75" w:rsidRDefault="002C4FBC">
      <w:pPr>
        <w:spacing w:line="360" w:lineRule="auto"/>
        <w:ind w:left="720" w:hanging="720"/>
        <w:jc w:val="both"/>
        <w:rPr>
          <w:rtl/>
        </w:rPr>
      </w:pPr>
      <w:r>
        <w:rPr>
          <w:rFonts w:hint="cs"/>
          <w:noProof w:val="0"/>
          <w:rtl/>
        </w:rPr>
        <w:t>6.</w:t>
      </w:r>
      <w:r>
        <w:rPr>
          <w:noProof w:val="0"/>
          <w:rtl/>
        </w:rPr>
        <w:tab/>
      </w:r>
      <w:r w:rsidR="00763E8B">
        <w:rPr>
          <w:rFonts w:hint="cs"/>
          <w:noProof w:val="0"/>
          <w:rtl/>
        </w:rPr>
        <w:t>לאורך שנים, בית ה</w:t>
      </w:r>
      <w:r>
        <w:rPr>
          <w:rFonts w:hint="cs"/>
          <w:noProof w:val="0"/>
          <w:rtl/>
        </w:rPr>
        <w:t>משפט עיג</w:t>
      </w:r>
      <w:r w:rsidR="00763E8B">
        <w:rPr>
          <w:rFonts w:hint="cs"/>
          <w:noProof w:val="0"/>
          <w:rtl/>
        </w:rPr>
        <w:t xml:space="preserve">ן </w:t>
      </w:r>
      <w:r>
        <w:rPr>
          <w:rFonts w:hint="cs"/>
          <w:noProof w:val="0"/>
          <w:rtl/>
        </w:rPr>
        <w:t xml:space="preserve">את זכות הנאשם לקבלת חומר הנדרש לשם ביסוס טענת הגנה מן הצדק, זאת במסגרת עתירות שהוגשו במסלולים </w:t>
      </w:r>
      <w:r w:rsidR="00763E8B">
        <w:rPr>
          <w:rFonts w:hint="cs"/>
          <w:noProof w:val="0"/>
          <w:rtl/>
        </w:rPr>
        <w:t xml:space="preserve">דיוניים </w:t>
      </w:r>
      <w:r>
        <w:rPr>
          <w:rFonts w:hint="cs"/>
          <w:noProof w:val="0"/>
          <w:rtl/>
        </w:rPr>
        <w:t xml:space="preserve">שונים. </w:t>
      </w:r>
      <w:r w:rsidR="00763E8B">
        <w:rPr>
          <w:rFonts w:hint="cs"/>
          <w:noProof w:val="0"/>
          <w:rtl/>
        </w:rPr>
        <w:t xml:space="preserve">לאחרונה, קבע בית המשפט </w:t>
      </w:r>
      <w:r w:rsidR="00C34F6C">
        <w:rPr>
          <w:rFonts w:hint="cs"/>
          <w:noProof w:val="0"/>
          <w:rtl/>
        </w:rPr>
        <w:t xml:space="preserve">העליון </w:t>
      </w:r>
      <w:r w:rsidR="00763E8B">
        <w:rPr>
          <w:rFonts w:hint="cs"/>
          <w:noProof w:val="0"/>
          <w:rtl/>
        </w:rPr>
        <w:t xml:space="preserve">כי יש לדון </w:t>
      </w:r>
      <w:r w:rsidR="00763E8B">
        <w:rPr>
          <w:rFonts w:hint="cs"/>
          <w:rtl/>
        </w:rPr>
        <w:t>בבקשות דומות</w:t>
      </w:r>
      <w:r w:rsidR="00C34F6C">
        <w:rPr>
          <w:rFonts w:hint="cs"/>
          <w:rtl/>
        </w:rPr>
        <w:t>,</w:t>
      </w:r>
      <w:r w:rsidR="00763E8B">
        <w:rPr>
          <w:rFonts w:hint="cs"/>
          <w:rtl/>
        </w:rPr>
        <w:t xml:space="preserve"> במסגרת המסלול המצוי בסעיף 108 לחסד"פ (עע"מ 2668/15 </w:t>
      </w:r>
      <w:r w:rsidR="00763E8B">
        <w:rPr>
          <w:rFonts w:hint="cs"/>
          <w:b/>
          <w:bCs/>
          <w:rtl/>
        </w:rPr>
        <w:t>מדינת ישראל – משרד המשפטים</w:t>
      </w:r>
      <w:r w:rsidR="00763E8B">
        <w:rPr>
          <w:rFonts w:hint="cs"/>
          <w:rtl/>
        </w:rPr>
        <w:t xml:space="preserve"> נ' </w:t>
      </w:r>
      <w:r w:rsidR="00763E8B">
        <w:rPr>
          <w:rFonts w:hint="cs"/>
          <w:b/>
          <w:bCs/>
          <w:rtl/>
        </w:rPr>
        <w:t xml:space="preserve">פרופ' הלל וייס, </w:t>
      </w:r>
      <w:r w:rsidR="00763E8B">
        <w:rPr>
          <w:rFonts w:hint="cs"/>
          <w:rtl/>
        </w:rPr>
        <w:t>פסקאות ד-ה</w:t>
      </w:r>
      <w:r w:rsidR="00763E8B">
        <w:rPr>
          <w:rFonts w:hint="cs"/>
          <w:b/>
          <w:bCs/>
          <w:rtl/>
        </w:rPr>
        <w:t xml:space="preserve"> </w:t>
      </w:r>
      <w:r w:rsidR="00763E8B">
        <w:rPr>
          <w:rFonts w:hint="cs"/>
          <w:rtl/>
        </w:rPr>
        <w:t xml:space="preserve">(18.11.2015); בש"פ 2447/16 </w:t>
      </w:r>
      <w:r w:rsidR="00763E8B">
        <w:rPr>
          <w:rFonts w:hint="cs"/>
          <w:b/>
          <w:bCs/>
          <w:rtl/>
        </w:rPr>
        <w:t xml:space="preserve">פבל נפטלוביץ נ' מדינת ישראל, </w:t>
      </w:r>
      <w:r w:rsidR="00763E8B">
        <w:rPr>
          <w:rFonts w:hint="cs"/>
          <w:rtl/>
        </w:rPr>
        <w:t xml:space="preserve">פסקאות 24-27 (10.08.2016)). </w:t>
      </w:r>
      <w:r w:rsidR="00166E75">
        <w:rPr>
          <w:rFonts w:hint="cs"/>
          <w:rtl/>
        </w:rPr>
        <w:t>לצד זאת</w:t>
      </w:r>
      <w:r w:rsidR="00763E8B">
        <w:rPr>
          <w:rFonts w:hint="cs"/>
          <w:rtl/>
        </w:rPr>
        <w:t xml:space="preserve">, השיקולים </w:t>
      </w:r>
      <w:r w:rsidR="00CA29E5">
        <w:rPr>
          <w:rFonts w:hint="cs"/>
          <w:rtl/>
        </w:rPr>
        <w:t>שנשקלו בטרם קביעה זו לגבי המסלול ה</w:t>
      </w:r>
      <w:r w:rsidR="00166E75">
        <w:rPr>
          <w:rFonts w:hint="cs"/>
          <w:rtl/>
        </w:rPr>
        <w:t>מתאים</w:t>
      </w:r>
      <w:r w:rsidR="00CA29E5">
        <w:rPr>
          <w:rFonts w:hint="cs"/>
          <w:rtl/>
        </w:rPr>
        <w:t xml:space="preserve">, הם אותם שיקולים שיש לשקול כעת, </w:t>
      </w:r>
      <w:r w:rsidR="00D62216">
        <w:rPr>
          <w:rFonts w:hint="cs"/>
          <w:rtl/>
        </w:rPr>
        <w:t xml:space="preserve">כאשר אותן הנמקות שעמדו בבסיס ההחלטות במסגרת עתירה מנהלית והליך לפי סעיף 74 לחסד"פ, עומדות ביסוד ההחלטה במסלול הדיון הנוכחי (ראו התייחסות </w:t>
      </w:r>
      <w:r w:rsidR="00CA29E5">
        <w:rPr>
          <w:rFonts w:hint="cs"/>
          <w:rtl/>
        </w:rPr>
        <w:t xml:space="preserve">לכך בדברי </w:t>
      </w:r>
      <w:r w:rsidR="00763E8B">
        <w:rPr>
          <w:rFonts w:hint="cs"/>
          <w:rtl/>
        </w:rPr>
        <w:t>כב' השופט (כתוארו אז) גרוניס בענ</w:t>
      </w:r>
      <w:r w:rsidR="00D62216">
        <w:rPr>
          <w:rFonts w:hint="cs"/>
          <w:rtl/>
        </w:rPr>
        <w:t xml:space="preserve">ין </w:t>
      </w:r>
      <w:r w:rsidRPr="00166E75" w:rsidR="00D62216">
        <w:rPr>
          <w:rFonts w:hint="cs"/>
          <w:b/>
          <w:bCs/>
          <w:rtl/>
        </w:rPr>
        <w:t>סגל</w:t>
      </w:r>
      <w:r w:rsidR="00D62216">
        <w:rPr>
          <w:rFonts w:hint="cs"/>
          <w:rtl/>
        </w:rPr>
        <w:t>, פסק</w:t>
      </w:r>
      <w:r w:rsidR="00CA29E5">
        <w:rPr>
          <w:rFonts w:hint="cs"/>
          <w:rtl/>
        </w:rPr>
        <w:t xml:space="preserve">אות 2 ו-4 </w:t>
      </w:r>
      <w:r w:rsidR="00D62216">
        <w:rPr>
          <w:rFonts w:hint="cs"/>
          <w:rtl/>
        </w:rPr>
        <w:t xml:space="preserve">בפסק דינו). </w:t>
      </w:r>
    </w:p>
    <w:p w:rsidR="002A3B9E" w:rsidP="00166E75" w:rsidRDefault="00D62216">
      <w:pPr>
        <w:spacing w:line="360" w:lineRule="auto"/>
        <w:ind w:left="720" w:hanging="720"/>
        <w:jc w:val="both"/>
        <w:rPr>
          <w:rtl/>
        </w:rPr>
      </w:pPr>
      <w:r>
        <w:rPr>
          <w:rtl/>
        </w:rPr>
        <w:tab/>
      </w:r>
      <w:r w:rsidR="00CA29E5">
        <w:rPr>
          <w:rFonts w:hint="cs"/>
          <w:rtl/>
        </w:rPr>
        <w:t xml:space="preserve">כפי שיפורט להלן, </w:t>
      </w:r>
      <w:r w:rsidR="0005588E">
        <w:rPr>
          <w:rFonts w:hint="cs"/>
          <w:rtl/>
        </w:rPr>
        <w:t>בית המשפט קבע</w:t>
      </w:r>
      <w:r w:rsidR="00CA29E5">
        <w:rPr>
          <w:rFonts w:hint="cs"/>
          <w:rtl/>
        </w:rPr>
        <w:t xml:space="preserve"> נקודות איזון שונות לגבי היקף העברת החומר, בהתאם לנסיבות</w:t>
      </w:r>
      <w:r w:rsidR="00166E75">
        <w:rPr>
          <w:rFonts w:hint="cs"/>
          <w:rtl/>
        </w:rPr>
        <w:t xml:space="preserve"> כל מקרה ומקרה</w:t>
      </w:r>
      <w:r w:rsidR="00CA29E5">
        <w:rPr>
          <w:rFonts w:hint="cs"/>
          <w:rtl/>
        </w:rPr>
        <w:t>:</w:t>
      </w:r>
      <w:r w:rsidR="0005588E">
        <w:rPr>
          <w:rFonts w:hint="cs"/>
          <w:rtl/>
        </w:rPr>
        <w:t xml:space="preserve"> </w:t>
      </w:r>
    </w:p>
    <w:p w:rsidR="003E459B" w:rsidP="00166E75" w:rsidRDefault="0005588E">
      <w:pPr>
        <w:spacing w:line="360" w:lineRule="auto"/>
        <w:ind w:left="720"/>
        <w:jc w:val="both"/>
        <w:rPr>
          <w:noProof w:val="0"/>
        </w:rPr>
      </w:pPr>
      <w:r>
        <w:rPr>
          <w:rFonts w:hint="cs"/>
          <w:rtl/>
        </w:rPr>
        <w:t>הע</w:t>
      </w:r>
      <w:r w:rsidR="002A3B9E">
        <w:rPr>
          <w:rFonts w:hint="cs"/>
          <w:rtl/>
        </w:rPr>
        <w:t>ב</w:t>
      </w:r>
      <w:r>
        <w:rPr>
          <w:rFonts w:hint="cs"/>
          <w:rtl/>
        </w:rPr>
        <w:t xml:space="preserve">רת החלטות שהתקבלו על פני שלוש שנים (ענין </w:t>
      </w:r>
      <w:r w:rsidRPr="002A3B9E">
        <w:rPr>
          <w:rFonts w:hint="cs"/>
          <w:b/>
          <w:bCs/>
          <w:rtl/>
        </w:rPr>
        <w:t>סגל</w:t>
      </w:r>
      <w:r>
        <w:rPr>
          <w:rFonts w:hint="cs"/>
          <w:rtl/>
        </w:rPr>
        <w:t xml:space="preserve">); גילוי תמצית 15 תיקי חקירה שהסתיימו בלא העמדה לדין (ענין </w:t>
      </w:r>
      <w:r w:rsidRPr="002A3B9E">
        <w:rPr>
          <w:rFonts w:hint="cs"/>
          <w:b/>
          <w:bCs/>
          <w:rtl/>
        </w:rPr>
        <w:t>ג'ולאני</w:t>
      </w:r>
      <w:r>
        <w:rPr>
          <w:rFonts w:hint="cs"/>
          <w:rtl/>
        </w:rPr>
        <w:t xml:space="preserve">); </w:t>
      </w:r>
      <w:r w:rsidR="002A3B9E">
        <w:rPr>
          <w:rFonts w:hint="cs"/>
          <w:noProof w:val="0"/>
          <w:rtl/>
        </w:rPr>
        <w:t>ט</w:t>
      </w:r>
      <w:r w:rsidRPr="009920CF" w:rsidR="002A3B9E">
        <w:rPr>
          <w:noProof w:val="0"/>
          <w:rtl/>
        </w:rPr>
        <w:t>בלה</w:t>
      </w:r>
      <w:r w:rsidRPr="009920CF" w:rsidR="002A3B9E">
        <w:rPr>
          <w:noProof w:val="0"/>
        </w:rPr>
        <w:t xml:space="preserve"> </w:t>
      </w:r>
      <w:r w:rsidR="002A3B9E">
        <w:rPr>
          <w:rFonts w:hint="cs"/>
          <w:noProof w:val="0"/>
          <w:rtl/>
        </w:rPr>
        <w:t xml:space="preserve">בה 50 </w:t>
      </w:r>
      <w:r w:rsidRPr="009920CF" w:rsidR="002A3B9E">
        <w:rPr>
          <w:noProof w:val="0"/>
          <w:rtl/>
        </w:rPr>
        <w:t>החלטות</w:t>
      </w:r>
      <w:r w:rsidRPr="009920CF" w:rsidR="002A3B9E">
        <w:rPr>
          <w:noProof w:val="0"/>
        </w:rPr>
        <w:t xml:space="preserve"> </w:t>
      </w:r>
      <w:r w:rsidRPr="009920CF" w:rsidR="002A3B9E">
        <w:rPr>
          <w:noProof w:val="0"/>
          <w:rtl/>
        </w:rPr>
        <w:t>הנוגעות</w:t>
      </w:r>
      <w:r w:rsidRPr="009920CF" w:rsidR="002A3B9E">
        <w:rPr>
          <w:noProof w:val="0"/>
        </w:rPr>
        <w:t xml:space="preserve"> </w:t>
      </w:r>
      <w:r w:rsidRPr="009920CF" w:rsidR="002A3B9E">
        <w:rPr>
          <w:noProof w:val="0"/>
          <w:rtl/>
        </w:rPr>
        <w:t>להעמדה</w:t>
      </w:r>
      <w:r w:rsidRPr="009920CF" w:rsidR="002A3B9E">
        <w:rPr>
          <w:noProof w:val="0"/>
        </w:rPr>
        <w:t xml:space="preserve"> </w:t>
      </w:r>
      <w:r w:rsidRPr="009920CF" w:rsidR="002A3B9E">
        <w:rPr>
          <w:noProof w:val="0"/>
          <w:rtl/>
        </w:rPr>
        <w:t>לדין</w:t>
      </w:r>
      <w:r w:rsidRPr="009920CF" w:rsidR="002A3B9E">
        <w:rPr>
          <w:noProof w:val="0"/>
        </w:rPr>
        <w:t xml:space="preserve"> </w:t>
      </w:r>
      <w:r w:rsidRPr="009920CF" w:rsidR="002A3B9E">
        <w:rPr>
          <w:noProof w:val="0"/>
          <w:rtl/>
        </w:rPr>
        <w:t>בעבירות</w:t>
      </w:r>
      <w:r w:rsidRPr="009920CF" w:rsidR="002A3B9E">
        <w:rPr>
          <w:noProof w:val="0"/>
        </w:rPr>
        <w:t xml:space="preserve"> </w:t>
      </w:r>
      <w:r w:rsidRPr="009920CF" w:rsidR="002A3B9E">
        <w:rPr>
          <w:noProof w:val="0"/>
          <w:rtl/>
        </w:rPr>
        <w:t>הסת</w:t>
      </w:r>
      <w:r w:rsidR="002A3B9E">
        <w:rPr>
          <w:rFonts w:hint="cs"/>
          <w:noProof w:val="0"/>
          <w:rtl/>
        </w:rPr>
        <w:t>ה.</w:t>
      </w:r>
      <w:r w:rsidRPr="009920CF" w:rsidR="002A3B9E">
        <w:rPr>
          <w:noProof w:val="0"/>
        </w:rPr>
        <w:t xml:space="preserve"> </w:t>
      </w:r>
      <w:r w:rsidRPr="009920CF" w:rsidR="002A3B9E">
        <w:rPr>
          <w:noProof w:val="0"/>
          <w:rtl/>
        </w:rPr>
        <w:t>בנוס</w:t>
      </w:r>
      <w:r w:rsidR="002A3B9E">
        <w:rPr>
          <w:rFonts w:hint="cs"/>
          <w:noProof w:val="0"/>
          <w:rtl/>
        </w:rPr>
        <w:t xml:space="preserve">ף, העברת חומרים רבים, דוגמת כל ההחלטות </w:t>
      </w:r>
      <w:r w:rsidRPr="009920CF" w:rsidR="002A3B9E">
        <w:rPr>
          <w:noProof w:val="0"/>
          <w:rtl/>
        </w:rPr>
        <w:t>הנוגעות</w:t>
      </w:r>
      <w:r w:rsidRPr="009920CF" w:rsidR="002A3B9E">
        <w:rPr>
          <w:noProof w:val="0"/>
        </w:rPr>
        <w:t xml:space="preserve"> </w:t>
      </w:r>
      <w:r w:rsidRPr="009920CF" w:rsidR="002A3B9E">
        <w:rPr>
          <w:noProof w:val="0"/>
          <w:rtl/>
        </w:rPr>
        <w:t>להעמדה</w:t>
      </w:r>
      <w:r w:rsidRPr="009920CF" w:rsidR="002A3B9E">
        <w:rPr>
          <w:noProof w:val="0"/>
        </w:rPr>
        <w:t xml:space="preserve"> </w:t>
      </w:r>
      <w:r w:rsidRPr="009920CF" w:rsidR="002A3B9E">
        <w:rPr>
          <w:noProof w:val="0"/>
          <w:rtl/>
        </w:rPr>
        <w:t>לדי</w:t>
      </w:r>
      <w:r w:rsidR="002A3B9E">
        <w:rPr>
          <w:rFonts w:hint="cs"/>
          <w:noProof w:val="0"/>
          <w:rtl/>
        </w:rPr>
        <w:t>ן אשר התקבלו על ידי המשנה לפרקליט המדינה (תפקידים מיוחדים) במשך שלוש שנים (</w:t>
      </w:r>
      <w:r w:rsidR="002A3B9E">
        <w:rPr>
          <w:rFonts w:hint="cs"/>
          <w:rtl/>
        </w:rPr>
        <w:t xml:space="preserve">עת"מ (י-ם) 49897-06-13 </w:t>
      </w:r>
      <w:r w:rsidRPr="003E459B" w:rsidR="002A3B9E">
        <w:rPr>
          <w:rFonts w:hint="cs"/>
          <w:b/>
          <w:bCs/>
          <w:rtl/>
        </w:rPr>
        <w:t xml:space="preserve">הילל וייס נ' הממונה על חוק חופש המידע במשרד המשפטים </w:t>
      </w:r>
      <w:r w:rsidRPr="00B17694" w:rsidR="002A3B9E">
        <w:rPr>
          <w:rFonts w:hint="cs"/>
          <w:rtl/>
        </w:rPr>
        <w:t>(4.3.2015)</w:t>
      </w:r>
      <w:r w:rsidR="002A3B9E">
        <w:rPr>
          <w:rFonts w:hint="cs"/>
          <w:rtl/>
        </w:rPr>
        <w:t xml:space="preserve">); </w:t>
      </w:r>
      <w:r w:rsidR="002A3B9E">
        <w:rPr>
          <w:rFonts w:hint="cs"/>
          <w:noProof w:val="0"/>
          <w:rtl/>
        </w:rPr>
        <w:t>קבלת מידע לגבי 15 תיקי חקירה שנסגרו, תוך התייחסות לנימוקי הסגירה, בעבירה מסוימת (</w:t>
      </w:r>
      <w:r w:rsidR="00F45E61">
        <w:rPr>
          <w:rFonts w:hint="cs"/>
          <w:noProof w:val="0"/>
          <w:rtl/>
        </w:rPr>
        <w:t xml:space="preserve">ע"ח (נצרת) 47827-04-15 </w:t>
      </w:r>
      <w:r w:rsidR="00F45E61">
        <w:rPr>
          <w:rFonts w:hint="cs"/>
          <w:b/>
          <w:bCs/>
          <w:noProof w:val="0"/>
          <w:rtl/>
        </w:rPr>
        <w:t xml:space="preserve">מדינת ישראל נ' יהודה ברמי </w:t>
      </w:r>
      <w:r w:rsidRPr="00F45E61" w:rsidR="00F45E61">
        <w:rPr>
          <w:rFonts w:hint="cs"/>
          <w:noProof w:val="0"/>
          <w:rtl/>
        </w:rPr>
        <w:t>(15.6.2015)</w:t>
      </w:r>
      <w:r w:rsidR="002A3B9E">
        <w:rPr>
          <w:rFonts w:hint="cs"/>
          <w:noProof w:val="0"/>
          <w:rtl/>
        </w:rPr>
        <w:t>);</w:t>
      </w:r>
      <w:r w:rsidR="00B17694">
        <w:rPr>
          <w:rFonts w:hint="cs"/>
          <w:noProof w:val="0"/>
          <w:rtl/>
        </w:rPr>
        <w:t xml:space="preserve"> </w:t>
      </w:r>
      <w:r w:rsidR="002A3B9E">
        <w:rPr>
          <w:rFonts w:hint="cs"/>
          <w:noProof w:val="0"/>
          <w:rtl/>
        </w:rPr>
        <w:t>פלט אודות כל התיקים שנפתחו ב</w:t>
      </w:r>
      <w:r w:rsidR="00166E75">
        <w:rPr>
          <w:rFonts w:hint="cs"/>
          <w:noProof w:val="0"/>
          <w:rtl/>
        </w:rPr>
        <w:t xml:space="preserve">גין </w:t>
      </w:r>
      <w:r w:rsidR="002A3B9E">
        <w:rPr>
          <w:rFonts w:hint="cs"/>
          <w:noProof w:val="0"/>
          <w:rtl/>
        </w:rPr>
        <w:t>עבירה מסוימת, במהלך שלוש השנים שקדמו למתן ההחלטה, לרבות מספר התיקים בהם הוגש כתב אישום ואילו תיקים נסגרו בשל חוסר ענין לציבור (</w:t>
      </w:r>
      <w:r w:rsidR="00F45E61">
        <w:rPr>
          <w:rFonts w:hint="cs"/>
          <w:noProof w:val="0"/>
          <w:rtl/>
        </w:rPr>
        <w:t xml:space="preserve">ע"ח (נצרת) 31996-03-14 </w:t>
      </w:r>
      <w:r w:rsidR="00F45E61">
        <w:rPr>
          <w:rFonts w:hint="cs"/>
          <w:b/>
          <w:bCs/>
          <w:noProof w:val="0"/>
          <w:rtl/>
        </w:rPr>
        <w:t xml:space="preserve">אסתר אלמקיים נ' מדינת ישראל </w:t>
      </w:r>
      <w:r w:rsidR="00F45E61">
        <w:rPr>
          <w:rFonts w:hint="cs"/>
          <w:noProof w:val="0"/>
          <w:rtl/>
        </w:rPr>
        <w:t>(20.3.2014)</w:t>
      </w:r>
      <w:r w:rsidR="002A3B9E">
        <w:rPr>
          <w:rFonts w:hint="cs"/>
          <w:noProof w:val="0"/>
          <w:rtl/>
        </w:rPr>
        <w:t>); נתונים למשך שנה לגבי עבירה מסוימת, ביחס לכתבי אישום, רשימת תיקים סגורים, תוך ציון סיבת הסגירה (</w:t>
      </w:r>
      <w:r w:rsidR="00F45E61">
        <w:rPr>
          <w:rFonts w:hint="cs"/>
          <w:noProof w:val="0"/>
          <w:rtl/>
        </w:rPr>
        <w:t xml:space="preserve">ע"ח (י-ם) 2993-09-12 </w:t>
      </w:r>
      <w:r w:rsidR="00F45E61">
        <w:rPr>
          <w:rFonts w:hint="cs"/>
          <w:b/>
          <w:bCs/>
          <w:noProof w:val="0"/>
          <w:rtl/>
        </w:rPr>
        <w:t xml:space="preserve">נאוי נ' מדינת ישראל </w:t>
      </w:r>
      <w:r w:rsidR="00F45E61">
        <w:rPr>
          <w:rFonts w:hint="cs"/>
          <w:noProof w:val="0"/>
          <w:rtl/>
        </w:rPr>
        <w:t>(9.12.2012)</w:t>
      </w:r>
      <w:r w:rsidR="002A3B9E">
        <w:rPr>
          <w:rFonts w:hint="cs"/>
          <w:noProof w:val="0"/>
          <w:rtl/>
        </w:rPr>
        <w:t>);</w:t>
      </w:r>
      <w:r w:rsidR="00166E75">
        <w:rPr>
          <w:rFonts w:hint="cs"/>
          <w:noProof w:val="0"/>
          <w:rtl/>
        </w:rPr>
        <w:t xml:space="preserve"> </w:t>
      </w:r>
      <w:r w:rsidRPr="009920CF" w:rsidR="002A3B9E">
        <w:rPr>
          <w:noProof w:val="0"/>
          <w:rtl/>
        </w:rPr>
        <w:t>העבר</w:t>
      </w:r>
      <w:r w:rsidR="002A3B9E">
        <w:rPr>
          <w:rFonts w:hint="cs"/>
          <w:noProof w:val="0"/>
          <w:rtl/>
        </w:rPr>
        <w:t xml:space="preserve">ת 16 </w:t>
      </w:r>
      <w:r w:rsidRPr="009920CF" w:rsidR="002A3B9E">
        <w:rPr>
          <w:noProof w:val="0"/>
          <w:rtl/>
        </w:rPr>
        <w:t>תיקי</w:t>
      </w:r>
      <w:r w:rsidRPr="009920CF" w:rsidR="002A3B9E">
        <w:rPr>
          <w:noProof w:val="0"/>
        </w:rPr>
        <w:t xml:space="preserve"> </w:t>
      </w:r>
      <w:r w:rsidRPr="009920CF" w:rsidR="002A3B9E">
        <w:rPr>
          <w:noProof w:val="0"/>
          <w:rtl/>
        </w:rPr>
        <w:t>חקיר</w:t>
      </w:r>
      <w:r w:rsidR="002A3B9E">
        <w:rPr>
          <w:rFonts w:hint="cs"/>
          <w:noProof w:val="0"/>
          <w:rtl/>
        </w:rPr>
        <w:t xml:space="preserve">ה, </w:t>
      </w:r>
      <w:r w:rsidRPr="009920CF" w:rsidR="002A3B9E">
        <w:rPr>
          <w:noProof w:val="0"/>
          <w:rtl/>
        </w:rPr>
        <w:t>וכן</w:t>
      </w:r>
      <w:r w:rsidRPr="009920CF" w:rsidR="002A3B9E">
        <w:rPr>
          <w:noProof w:val="0"/>
        </w:rPr>
        <w:t xml:space="preserve"> </w:t>
      </w:r>
      <w:r w:rsidRPr="009920CF" w:rsidR="002A3B9E">
        <w:rPr>
          <w:noProof w:val="0"/>
          <w:rtl/>
        </w:rPr>
        <w:t>פרטי</w:t>
      </w:r>
      <w:r w:rsidRPr="009920CF" w:rsidR="002A3B9E">
        <w:rPr>
          <w:noProof w:val="0"/>
        </w:rPr>
        <w:t xml:space="preserve"> </w:t>
      </w:r>
      <w:r w:rsidRPr="009920CF" w:rsidR="002A3B9E">
        <w:rPr>
          <w:noProof w:val="0"/>
          <w:rtl/>
        </w:rPr>
        <w:t>מידע</w:t>
      </w:r>
      <w:r w:rsidRPr="009920CF" w:rsidR="002A3B9E">
        <w:rPr>
          <w:noProof w:val="0"/>
        </w:rPr>
        <w:t xml:space="preserve"> </w:t>
      </w:r>
      <w:r w:rsidRPr="009920CF" w:rsidR="002A3B9E">
        <w:rPr>
          <w:noProof w:val="0"/>
          <w:rtl/>
        </w:rPr>
        <w:t>לגביה</w:t>
      </w:r>
      <w:r w:rsidR="002A3B9E">
        <w:rPr>
          <w:rFonts w:hint="cs"/>
          <w:noProof w:val="0"/>
          <w:rtl/>
        </w:rPr>
        <w:t>ם, ביחס ל</w:t>
      </w:r>
      <w:r w:rsidRPr="009920CF" w:rsidR="002A3B9E">
        <w:rPr>
          <w:noProof w:val="0"/>
          <w:rtl/>
        </w:rPr>
        <w:t>עבירה</w:t>
      </w:r>
      <w:r w:rsidRPr="009920CF" w:rsidR="002A3B9E">
        <w:rPr>
          <w:noProof w:val="0"/>
        </w:rPr>
        <w:t xml:space="preserve"> </w:t>
      </w:r>
      <w:r w:rsidRPr="009920CF" w:rsidR="002A3B9E">
        <w:rPr>
          <w:noProof w:val="0"/>
          <w:rtl/>
        </w:rPr>
        <w:t>מסוימ</w:t>
      </w:r>
      <w:r w:rsidR="002A3B9E">
        <w:rPr>
          <w:rFonts w:hint="cs"/>
          <w:noProof w:val="0"/>
          <w:rtl/>
        </w:rPr>
        <w:t>ת (</w:t>
      </w:r>
      <w:r w:rsidR="003E459B">
        <w:rPr>
          <w:rFonts w:hint="cs"/>
          <w:noProof w:val="0"/>
          <w:rtl/>
        </w:rPr>
        <w:t xml:space="preserve">ע"ח (ת"א) 6927-01-13 </w:t>
      </w:r>
      <w:r w:rsidR="003E459B">
        <w:rPr>
          <w:rFonts w:hint="cs"/>
          <w:b/>
          <w:bCs/>
          <w:noProof w:val="0"/>
          <w:rtl/>
        </w:rPr>
        <w:t>יעקב מצרי נ' מדינת ישראל</w:t>
      </w:r>
      <w:r w:rsidR="003E459B">
        <w:rPr>
          <w:rFonts w:hint="cs"/>
          <w:noProof w:val="0"/>
          <w:rtl/>
        </w:rPr>
        <w:t xml:space="preserve"> (6.8.2013)</w:t>
      </w:r>
      <w:r w:rsidR="002A3B9E">
        <w:rPr>
          <w:rFonts w:hint="cs"/>
          <w:noProof w:val="0"/>
          <w:rtl/>
        </w:rPr>
        <w:t>).</w:t>
      </w:r>
    </w:p>
    <w:p w:rsidR="009920CF" w:rsidP="00166E75" w:rsidRDefault="003E459B">
      <w:pPr>
        <w:autoSpaceDE w:val="0"/>
        <w:autoSpaceDN w:val="0"/>
        <w:adjustRightInd w:val="0"/>
        <w:spacing w:before="100" w:after="100" w:line="360" w:lineRule="auto"/>
        <w:ind w:left="720" w:hanging="570"/>
        <w:jc w:val="both"/>
        <w:rPr>
          <w:noProof w:val="0"/>
          <w:rtl/>
        </w:rPr>
      </w:pPr>
      <w:r>
        <w:rPr>
          <w:rFonts w:hint="cs"/>
          <w:noProof w:val="0"/>
          <w:rtl/>
        </w:rPr>
        <w:lastRenderedPageBreak/>
        <w:t>7.</w:t>
      </w:r>
      <w:r>
        <w:rPr>
          <w:rFonts w:hint="cs"/>
          <w:noProof w:val="0"/>
          <w:rtl/>
        </w:rPr>
        <w:tab/>
        <w:t>המאשימה צירפה לתגובתה מספר כתבי אישום אשר הוגשו בגין עבירות דומות, תוך ציון שמדובר בחיפוש פשוט במאגרים משפטיים. פניה למאגרים משפטיים ועי</w:t>
      </w:r>
      <w:r w:rsidR="00166E75">
        <w:rPr>
          <w:rFonts w:hint="cs"/>
          <w:noProof w:val="0"/>
          <w:rtl/>
        </w:rPr>
        <w:t>ו</w:t>
      </w:r>
      <w:r>
        <w:rPr>
          <w:rFonts w:hint="cs"/>
          <w:noProof w:val="0"/>
          <w:rtl/>
        </w:rPr>
        <w:t xml:space="preserve">ן בפסיקה אליה הפנתה המאשימה, אך מחזקים ומבססים את הטענה כי מדובר בעבירה המוגשת </w:t>
      </w:r>
      <w:r w:rsidR="00166E75">
        <w:rPr>
          <w:rFonts w:hint="cs"/>
          <w:noProof w:val="0"/>
          <w:rtl/>
        </w:rPr>
        <w:t xml:space="preserve">לבית המשפט </w:t>
      </w:r>
      <w:r>
        <w:rPr>
          <w:rFonts w:hint="cs"/>
          <w:noProof w:val="0"/>
          <w:rtl/>
        </w:rPr>
        <w:t xml:space="preserve">במקרים מעטים וחריגים. </w:t>
      </w:r>
    </w:p>
    <w:p w:rsidR="009920CF" w:rsidP="00AF2CCE" w:rsidRDefault="003E459B">
      <w:pPr>
        <w:autoSpaceDE w:val="0"/>
        <w:autoSpaceDN w:val="0"/>
        <w:adjustRightInd w:val="0"/>
        <w:spacing w:before="100" w:after="100" w:line="360" w:lineRule="auto"/>
        <w:ind w:left="720" w:hanging="570"/>
        <w:jc w:val="both"/>
        <w:rPr>
          <w:noProof w:val="0"/>
          <w:rtl/>
        </w:rPr>
      </w:pPr>
      <w:r>
        <w:rPr>
          <w:noProof w:val="0"/>
          <w:rtl/>
        </w:rPr>
        <w:tab/>
      </w:r>
      <w:r w:rsidR="005B0A26">
        <w:rPr>
          <w:rFonts w:hint="cs"/>
          <w:noProof w:val="0"/>
          <w:rtl/>
        </w:rPr>
        <w:t xml:space="preserve">לגבי טיעון המאשימה </w:t>
      </w:r>
      <w:r w:rsidR="00166E75">
        <w:rPr>
          <w:rFonts w:hint="cs"/>
          <w:noProof w:val="0"/>
          <w:rtl/>
        </w:rPr>
        <w:t>ביחס</w:t>
      </w:r>
      <w:r w:rsidR="005B0A26">
        <w:rPr>
          <w:rFonts w:hint="cs"/>
          <w:noProof w:val="0"/>
          <w:rtl/>
        </w:rPr>
        <w:t xml:space="preserve"> </w:t>
      </w:r>
      <w:r w:rsidR="00AF2CCE">
        <w:rPr>
          <w:rFonts w:hint="cs"/>
          <w:noProof w:val="0"/>
          <w:rtl/>
        </w:rPr>
        <w:t>ל</w:t>
      </w:r>
      <w:r w:rsidR="005B0A26">
        <w:rPr>
          <w:rFonts w:hint="cs"/>
          <w:noProof w:val="0"/>
          <w:rtl/>
        </w:rPr>
        <w:t xml:space="preserve">משאבים הרבים שיש להקצות לשם ביצוע המבוקש, יש להפנות לדברי כב' השופטת (כתוארה אז) נאור בענין סגל, אשר ציינה כי כשמדובר באינטרס אישי ובעבירה המגבילה את חופש הביטוי, יגבר היקף הגילוי על הקושי שבהקצאת משאבים רבים. </w:t>
      </w:r>
    </w:p>
    <w:p w:rsidR="00AF2CCE" w:rsidP="00AF2CCE" w:rsidRDefault="00AF2CCE">
      <w:pPr>
        <w:autoSpaceDE w:val="0"/>
        <w:autoSpaceDN w:val="0"/>
        <w:adjustRightInd w:val="0"/>
        <w:spacing w:before="100" w:after="100" w:line="360" w:lineRule="auto"/>
        <w:ind w:left="720"/>
        <w:jc w:val="both"/>
        <w:rPr>
          <w:noProof w:val="0"/>
          <w:rtl/>
        </w:rPr>
      </w:pPr>
      <w:r>
        <w:rPr>
          <w:rFonts w:hint="cs"/>
          <w:noProof w:val="0"/>
          <w:rtl/>
        </w:rPr>
        <w:t>יש עוד להפנות לכך, ש</w:t>
      </w:r>
      <w:r w:rsidRPr="00D232CA">
        <w:rPr>
          <w:noProof w:val="0"/>
          <w:rtl/>
        </w:rPr>
        <w:t xml:space="preserve">בעוד במסגרת המסלול המנהלי כובד נקודת האיזון ייטה בהתאם למידת ההכבדה שבקבלת הבקשה, היא מבחן סבירות הקצאת המשאבים, הרי במסגרת המסלול הפלילי, הנדון בפני, נקודת האיזון תטה בהתאם למידת חיוניות המידע להגנת המבקש. ככל שתעלה חשיבות קבלת המידע לצורך הגנת המבקש, כן תתפרס יריעת מסירת המידע המבוקש וכן יתרחב היקפה. </w:t>
      </w:r>
    </w:p>
    <w:p w:rsidR="008F51DD" w:rsidP="00AF2CCE" w:rsidRDefault="005B0A26">
      <w:pPr>
        <w:autoSpaceDE w:val="0"/>
        <w:autoSpaceDN w:val="0"/>
        <w:adjustRightInd w:val="0"/>
        <w:spacing w:before="100" w:after="100" w:line="360" w:lineRule="auto"/>
        <w:ind w:left="720" w:hanging="570"/>
        <w:jc w:val="both"/>
        <w:rPr>
          <w:noProof w:val="0"/>
          <w:rtl/>
        </w:rPr>
      </w:pPr>
      <w:r>
        <w:rPr>
          <w:noProof w:val="0"/>
          <w:rtl/>
        </w:rPr>
        <w:tab/>
      </w:r>
      <w:r w:rsidR="00AF2CCE">
        <w:rPr>
          <w:rFonts w:hint="cs"/>
          <w:noProof w:val="0"/>
          <w:rtl/>
        </w:rPr>
        <w:t xml:space="preserve">אצביע גם </w:t>
      </w:r>
      <w:r>
        <w:rPr>
          <w:rFonts w:hint="cs"/>
          <w:noProof w:val="0"/>
          <w:rtl/>
        </w:rPr>
        <w:t>על אי הנחת המתעורר נוכח חזרת המאשימה על טיעון זה, אשר ספק רב בעיני לגבי תוקפו, במיוחד בעידן הממוחשב</w:t>
      </w:r>
      <w:r w:rsidR="00051EB8">
        <w:rPr>
          <w:rFonts w:hint="cs"/>
          <w:noProof w:val="0"/>
          <w:rtl/>
        </w:rPr>
        <w:t>, היקפן המצומצם של עבירות זילות בית המשפט ביחס לעבירות פליליות</w:t>
      </w:r>
      <w:r>
        <w:rPr>
          <w:rFonts w:hint="cs"/>
          <w:noProof w:val="0"/>
          <w:rtl/>
        </w:rPr>
        <w:t xml:space="preserve"> </w:t>
      </w:r>
      <w:r w:rsidR="00051EB8">
        <w:rPr>
          <w:rFonts w:hint="cs"/>
          <w:noProof w:val="0"/>
          <w:rtl/>
        </w:rPr>
        <w:t xml:space="preserve">אחרות, </w:t>
      </w:r>
      <w:r>
        <w:rPr>
          <w:rFonts w:hint="cs"/>
          <w:noProof w:val="0"/>
          <w:rtl/>
        </w:rPr>
        <w:t xml:space="preserve">וכן </w:t>
      </w:r>
      <w:r w:rsidR="00AF2CCE">
        <w:rPr>
          <w:rFonts w:hint="cs"/>
          <w:noProof w:val="0"/>
          <w:rtl/>
        </w:rPr>
        <w:t>סוג ה</w:t>
      </w:r>
      <w:r>
        <w:rPr>
          <w:rFonts w:hint="cs"/>
          <w:noProof w:val="0"/>
          <w:rtl/>
        </w:rPr>
        <w:t>עבירה לגביה נדרש אישור מיוחד, כאמור, לשם פתיחה בחקירה והגשת כתב אישום</w:t>
      </w:r>
      <w:r w:rsidR="00051EB8">
        <w:rPr>
          <w:rFonts w:hint="cs"/>
          <w:noProof w:val="0"/>
          <w:rtl/>
        </w:rPr>
        <w:t>. ודאי קיים תיעוד לגבי אישורים אלה (ראו בענין זה את ביקורתה של כב' השופטת ברק-ארז בענין ג'ולאני, פסקה 33).</w:t>
      </w:r>
    </w:p>
    <w:p w:rsidRPr="009920CF" w:rsidR="009920CF" w:rsidP="00AF2CCE" w:rsidRDefault="008F51DD">
      <w:pPr>
        <w:autoSpaceDE w:val="0"/>
        <w:autoSpaceDN w:val="0"/>
        <w:adjustRightInd w:val="0"/>
        <w:spacing w:before="100" w:after="100" w:line="360" w:lineRule="auto"/>
        <w:ind w:left="720" w:hanging="570"/>
        <w:jc w:val="both"/>
        <w:rPr>
          <w:noProof w:val="0"/>
        </w:rPr>
      </w:pPr>
      <w:r>
        <w:rPr>
          <w:rFonts w:hint="cs"/>
          <w:noProof w:val="0"/>
          <w:rtl/>
        </w:rPr>
        <w:t xml:space="preserve">8. </w:t>
      </w:r>
      <w:r>
        <w:rPr>
          <w:rFonts w:hint="cs"/>
          <w:noProof w:val="0"/>
          <w:rtl/>
        </w:rPr>
        <w:tab/>
        <w:t xml:space="preserve">לאחר ששקלתי את כל האמור לעיל, וכן </w:t>
      </w:r>
      <w:r w:rsidR="00AF2CCE">
        <w:rPr>
          <w:rFonts w:hint="cs"/>
          <w:noProof w:val="0"/>
          <w:rtl/>
        </w:rPr>
        <w:t>תוך מתן משקל ל</w:t>
      </w:r>
      <w:r>
        <w:rPr>
          <w:rFonts w:hint="cs"/>
          <w:noProof w:val="0"/>
          <w:rtl/>
        </w:rPr>
        <w:t>עומס שיוטל על כתפי המאשימה, אני קובע כי על המאשימה להע</w:t>
      </w:r>
      <w:r w:rsidR="00AF2CCE">
        <w:rPr>
          <w:rFonts w:hint="cs"/>
          <w:noProof w:val="0"/>
          <w:rtl/>
        </w:rPr>
        <w:t>ביר</w:t>
      </w:r>
      <w:r>
        <w:rPr>
          <w:rFonts w:hint="cs"/>
          <w:noProof w:val="0"/>
          <w:rtl/>
        </w:rPr>
        <w:t xml:space="preserve"> לעיון ב"כ הנאשם את כל כתבי האישום אשר הוגשו בגין עבירת זילות בית משפט וכן את כל החלטות הסגירה של תיקי חקירה בגין עבירת זילות בית משפט, תוך מתן תמצית תיקים אלה, </w:t>
      </w:r>
      <w:r w:rsidR="00AF2CCE">
        <w:rPr>
          <w:rFonts w:hint="cs"/>
          <w:noProof w:val="0"/>
          <w:rtl/>
        </w:rPr>
        <w:t xml:space="preserve">כל זאת </w:t>
      </w:r>
      <w:r>
        <w:rPr>
          <w:rFonts w:hint="cs"/>
          <w:noProof w:val="0"/>
          <w:rtl/>
        </w:rPr>
        <w:t>ב</w:t>
      </w:r>
      <w:r w:rsidR="002D76B4">
        <w:rPr>
          <w:rFonts w:hint="cs"/>
          <w:noProof w:val="0"/>
          <w:rtl/>
        </w:rPr>
        <w:t xml:space="preserve">מהלך </w:t>
      </w:r>
      <w:r>
        <w:rPr>
          <w:rFonts w:hint="cs"/>
          <w:noProof w:val="0"/>
          <w:rtl/>
        </w:rPr>
        <w:t xml:space="preserve">שלוש השנים האחרונות, אך לא למעלה מ-20 </w:t>
      </w:r>
      <w:r w:rsidRPr="009920CF" w:rsidR="009920CF">
        <w:rPr>
          <w:noProof w:val="0"/>
          <w:rtl/>
        </w:rPr>
        <w:t>כתבי</w:t>
      </w:r>
      <w:r w:rsidRPr="009920CF" w:rsidR="009920CF">
        <w:rPr>
          <w:noProof w:val="0"/>
        </w:rPr>
        <w:t xml:space="preserve"> </w:t>
      </w:r>
      <w:r w:rsidRPr="009920CF" w:rsidR="009920CF">
        <w:rPr>
          <w:noProof w:val="0"/>
          <w:rtl/>
        </w:rPr>
        <w:t>אישום</w:t>
      </w:r>
      <w:r w:rsidRPr="009920CF" w:rsidR="009920CF">
        <w:rPr>
          <w:noProof w:val="0"/>
        </w:rPr>
        <w:t xml:space="preserve"> </w:t>
      </w:r>
      <w:r w:rsidRPr="009920CF" w:rsidR="009920CF">
        <w:rPr>
          <w:noProof w:val="0"/>
          <w:rtl/>
        </w:rPr>
        <w:t>ו</w:t>
      </w:r>
      <w:r>
        <w:rPr>
          <w:rFonts w:hint="cs"/>
          <w:noProof w:val="0"/>
          <w:rtl/>
        </w:rPr>
        <w:t xml:space="preserve">לא למעלה מ-20 החלטות </w:t>
      </w:r>
      <w:r w:rsidRPr="009920CF" w:rsidR="009920CF">
        <w:rPr>
          <w:noProof w:val="0"/>
          <w:rtl/>
        </w:rPr>
        <w:t>בדבר</w:t>
      </w:r>
      <w:r w:rsidRPr="009920CF" w:rsidR="009920CF">
        <w:rPr>
          <w:noProof w:val="0"/>
        </w:rPr>
        <w:t xml:space="preserve"> </w:t>
      </w:r>
      <w:r w:rsidRPr="009920CF" w:rsidR="009920CF">
        <w:rPr>
          <w:noProof w:val="0"/>
          <w:rtl/>
        </w:rPr>
        <w:t>סגירת</w:t>
      </w:r>
      <w:r w:rsidRPr="009920CF" w:rsidR="009920CF">
        <w:rPr>
          <w:noProof w:val="0"/>
        </w:rPr>
        <w:t xml:space="preserve"> </w:t>
      </w:r>
      <w:r w:rsidRPr="009920CF" w:rsidR="009920CF">
        <w:rPr>
          <w:noProof w:val="0"/>
          <w:rtl/>
        </w:rPr>
        <w:t>תיק</w:t>
      </w:r>
      <w:r w:rsidRPr="009920CF" w:rsidR="009920CF">
        <w:rPr>
          <w:noProof w:val="0"/>
        </w:rPr>
        <w:t xml:space="preserve"> </w:t>
      </w:r>
      <w:r w:rsidRPr="009920CF" w:rsidR="009920CF">
        <w:rPr>
          <w:noProof w:val="0"/>
          <w:rtl/>
        </w:rPr>
        <w:t>החקירה</w:t>
      </w:r>
      <w:r w:rsidRPr="009920CF" w:rsidR="009920CF">
        <w:rPr>
          <w:noProof w:val="0"/>
        </w:rPr>
        <w:t>.</w:t>
      </w:r>
    </w:p>
    <w:p w:rsidR="00694556" w:rsidRDefault="00AF2CCE">
      <w:pPr>
        <w:spacing w:line="360" w:lineRule="auto"/>
        <w:jc w:val="both"/>
        <w:rPr>
          <w:rFonts w:hint="cs" w:ascii="Arial" w:hAnsi="Arial"/>
          <w:noProof w:val="0"/>
          <w:rtl/>
        </w:rPr>
      </w:pPr>
      <w:r>
        <w:rPr>
          <w:rFonts w:ascii="Arial" w:hAnsi="Arial"/>
          <w:noProof w:val="0"/>
          <w:rtl/>
        </w:rPr>
        <w:tab/>
      </w:r>
      <w:r>
        <w:rPr>
          <w:rFonts w:hint="cs" w:ascii="Arial" w:hAnsi="Arial"/>
          <w:noProof w:val="0"/>
          <w:rtl/>
        </w:rPr>
        <w:t>ההחלטה תבוצע עד ליום 30.5.18.</w:t>
      </w:r>
    </w:p>
    <w:p w:rsidR="00AF2CCE" w:rsidRDefault="00AF2CCE">
      <w:pPr>
        <w:spacing w:line="360" w:lineRule="auto"/>
        <w:jc w:val="both"/>
        <w:rPr>
          <w:rFonts w:ascii="Arial" w:hAnsi="Arial"/>
          <w:noProof w:val="0"/>
          <w:rtl/>
        </w:rPr>
      </w:pPr>
      <w:r>
        <w:rPr>
          <w:rFonts w:ascii="Arial" w:hAnsi="Arial"/>
          <w:noProof w:val="0"/>
          <w:rtl/>
        </w:rPr>
        <w:tab/>
      </w:r>
    </w:p>
    <w:p w:rsidRPr="00AF2CCE" w:rsidR="00AF2CCE" w:rsidRDefault="00AF2CCE">
      <w:pPr>
        <w:spacing w:line="360" w:lineRule="auto"/>
        <w:jc w:val="both"/>
        <w:rPr>
          <w:rFonts w:hint="cs" w:ascii="Arial" w:hAnsi="Arial"/>
          <w:b/>
          <w:bCs/>
          <w:noProof w:val="0"/>
          <w:rtl/>
        </w:rPr>
      </w:pPr>
      <w:r w:rsidRPr="00AF2CCE">
        <w:rPr>
          <w:rFonts w:ascii="Arial" w:hAnsi="Arial"/>
          <w:b/>
          <w:bCs/>
          <w:noProof w:val="0"/>
          <w:rtl/>
        </w:rPr>
        <w:tab/>
      </w:r>
      <w:r w:rsidRPr="00AF2CCE">
        <w:rPr>
          <w:rFonts w:hint="cs" w:ascii="Arial" w:hAnsi="Arial"/>
          <w:b/>
          <w:bCs/>
          <w:noProof w:val="0"/>
          <w:rtl/>
        </w:rPr>
        <w:t>המזכירות תודיע לצדדים</w:t>
      </w:r>
      <w:r>
        <w:rPr>
          <w:rFonts w:hint="cs" w:ascii="Arial" w:hAnsi="Arial"/>
          <w:b/>
          <w:bCs/>
          <w:noProof w:val="0"/>
          <w:rtl/>
        </w:rPr>
        <w:t>.</w:t>
      </w:r>
    </w:p>
    <w:p w:rsidR="00671B34" w:rsidRDefault="00671B34">
      <w:pPr>
        <w:spacing w:line="360" w:lineRule="auto"/>
        <w:jc w:val="both"/>
        <w:rPr>
          <w:rFonts w:ascii="Arial" w:hAnsi="Arial"/>
          <w:noProof w:val="0"/>
          <w:rtl/>
        </w:rPr>
      </w:pPr>
    </w:p>
    <w:p w:rsidRPr="00D232CA" w:rsidR="00694556" w:rsidRDefault="0043502B">
      <w:pPr>
        <w:spacing w:line="360" w:lineRule="auto"/>
        <w:jc w:val="both"/>
        <w:rPr>
          <w:rFonts w:ascii="Arial" w:hAnsi="Arial"/>
          <w:noProof w:val="0"/>
          <w:rtl/>
        </w:rPr>
      </w:pPr>
      <w:r w:rsidRPr="00D232CA">
        <w:rPr>
          <w:rFonts w:ascii="Arial" w:hAnsi="Arial"/>
          <w:noProof w:val="0"/>
          <w:rtl/>
        </w:rPr>
        <w:t>נית</w:t>
      </w:r>
      <w:r w:rsidRPr="00D232CA">
        <w:rPr>
          <w:rFonts w:hint="cs" w:ascii="Arial" w:hAnsi="Arial"/>
          <w:noProof w:val="0"/>
          <w:rtl/>
        </w:rPr>
        <w:t>נה</w:t>
      </w:r>
      <w:r w:rsidRPr="00D232CA"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Pr="00D232CA"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Pr="00D232CA" w:rsidR="00005C8B">
        <w:rPr>
          <w:rFonts w:ascii="Arial" w:hAnsi="Arial"/>
          <w:noProof w:val="0"/>
          <w:rtl/>
        </w:rPr>
        <w:t>, בהעדר הצדדים.</w:t>
      </w:r>
    </w:p>
    <w:p w:rsidRPr="00D232CA" w:rsidR="00694556" w:rsidP="00BD6531" w:rsidRDefault="00BD6531">
      <w:pPr>
        <w:tabs>
          <w:tab w:val="left" w:pos="2553"/>
        </w:tabs>
        <w:rPr>
          <w:rFonts w:ascii="Arial" w:hAnsi="Arial"/>
          <w:noProof w:val="0"/>
          <w:rtl/>
        </w:rPr>
      </w:pPr>
      <w:r w:rsidRPr="00D232CA">
        <w:rPr>
          <w:rFonts w:hint="cs"/>
          <w:rtl/>
        </w:rPr>
        <w:tab/>
      </w:r>
      <w:r w:rsidRPr="00D232CA">
        <w:rPr>
          <w:rFonts w:hint="cs"/>
          <w:rtl/>
        </w:rPr>
        <w:tab/>
      </w:r>
      <w:r w:rsidRPr="00D232CA">
        <w:rPr>
          <w:rFonts w:hint="cs"/>
          <w:rtl/>
        </w:rPr>
        <w:tab/>
      </w:r>
      <w:r w:rsidRPr="00D232CA">
        <w:rPr>
          <w:rFonts w:hint="cs"/>
          <w:rtl/>
        </w:rPr>
        <w:tab/>
        <w:t xml:space="preserve">        </w:t>
      </w:r>
      <w:bookmarkStart w:name="_GoBack" w:id="0"/>
      <w:bookmarkEnd w:id="0"/>
      <w:sdt>
        <w:sdtPr>
          <w:alias w:val="MergeField"/>
          <w:tag w:val="1237"/>
        </w:sdtPr>
        <w:sdtContent>
          <w:p>
            <w:r>
              <w:drawing>
                <wp:inline distT="0" distB="0" distL="0" distR="0" wp14:editId="50D07946">
                  <wp:extent cx="15621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6f82f8b95fd45f3" cstate="print">
                            <a:extLst>
                              <a:ext uri="{28A0092B-C50C-407E-A947-70E740481C1C}"/>
                            </a:extLst>
                          </a:blip>
                          <a:stretch>
                            <a:fillRect/>
                          </a:stretch>
                        </pic:blipFill>
                        <pic:spPr>
                          <a:xfrm>
                            <a:off x="0" y="0"/>
                            <a:ext cx="1562100" cy="771525"/>
                          </a:xfrm>
                          <a:prstGeom prst="rect">
                            <a:avLst/>
                          </a:prstGeom>
                        </pic:spPr>
                      </pic:pic>
                    </a:graphicData>
                  </a:graphic>
                </wp:inline>
              </w:drawing>
            </w:r>
          </w:p>
        </w:sdtContent>
      </w:sdt>
    </w:p>
    <w:sectPr w:rsidRPr="00D232CA" w:rsidR="00694556" w:rsidSect="00954A70">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7163F7">
      <w:rPr>
        <w:rStyle w:val="ab"/>
        <w:rtl/>
      </w:rPr>
      <w:t>4</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7163F7">
      <w:rPr>
        <w:rStyle w:val="ab"/>
        <w:rtl/>
      </w:rPr>
      <w:t>4</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064AF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7163F7">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ת"פ</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42624-04-15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מדינת ישראל נ' זאבי</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605AD"/>
    <w:multiLevelType w:val="hybridMultilevel"/>
    <w:tmpl w:val="CDD02EBE"/>
    <w:lvl w:ilvl="0" w:tplc="772C50B0">
      <w:start w:val="6"/>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1EB8"/>
    <w:rsid w:val="000529D2"/>
    <w:rsid w:val="0005588E"/>
    <w:rsid w:val="000564AB"/>
    <w:rsid w:val="00064AFF"/>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66E75"/>
    <w:rsid w:val="00180519"/>
    <w:rsid w:val="00191C82"/>
    <w:rsid w:val="001C3435"/>
    <w:rsid w:val="001C3FD7"/>
    <w:rsid w:val="001C4003"/>
    <w:rsid w:val="001D3441"/>
    <w:rsid w:val="001D4DBF"/>
    <w:rsid w:val="001E75CA"/>
    <w:rsid w:val="00210A1B"/>
    <w:rsid w:val="002265FF"/>
    <w:rsid w:val="00230E95"/>
    <w:rsid w:val="00271B56"/>
    <w:rsid w:val="00291593"/>
    <w:rsid w:val="00291F8F"/>
    <w:rsid w:val="002A3B9E"/>
    <w:rsid w:val="002C344E"/>
    <w:rsid w:val="002C4FBC"/>
    <w:rsid w:val="002D2705"/>
    <w:rsid w:val="002D5DE0"/>
    <w:rsid w:val="002D6424"/>
    <w:rsid w:val="002D7668"/>
    <w:rsid w:val="002D76B4"/>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3E459B"/>
    <w:rsid w:val="0040096C"/>
    <w:rsid w:val="00414F1F"/>
    <w:rsid w:val="0043125D"/>
    <w:rsid w:val="0043502B"/>
    <w:rsid w:val="004443AC"/>
    <w:rsid w:val="00451E28"/>
    <w:rsid w:val="00462C62"/>
    <w:rsid w:val="00465D36"/>
    <w:rsid w:val="00483337"/>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B0A26"/>
    <w:rsid w:val="005F4F09"/>
    <w:rsid w:val="0061431B"/>
    <w:rsid w:val="006151A7"/>
    <w:rsid w:val="00617CEE"/>
    <w:rsid w:val="00622BAA"/>
    <w:rsid w:val="006306CF"/>
    <w:rsid w:val="00640603"/>
    <w:rsid w:val="00644E9A"/>
    <w:rsid w:val="00645C0C"/>
    <w:rsid w:val="0064781C"/>
    <w:rsid w:val="00671B34"/>
    <w:rsid w:val="00671BD5"/>
    <w:rsid w:val="006805C1"/>
    <w:rsid w:val="006841E0"/>
    <w:rsid w:val="00686C21"/>
    <w:rsid w:val="006931C1"/>
    <w:rsid w:val="00694556"/>
    <w:rsid w:val="006C30C5"/>
    <w:rsid w:val="006D3B31"/>
    <w:rsid w:val="006E0D96"/>
    <w:rsid w:val="006E1A53"/>
    <w:rsid w:val="006F56E6"/>
    <w:rsid w:val="00704EDA"/>
    <w:rsid w:val="007148A0"/>
    <w:rsid w:val="007163F7"/>
    <w:rsid w:val="00721122"/>
    <w:rsid w:val="00724295"/>
    <w:rsid w:val="00744B1C"/>
    <w:rsid w:val="00753019"/>
    <w:rsid w:val="00754801"/>
    <w:rsid w:val="00763E8B"/>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57ED"/>
    <w:rsid w:val="008C7A1D"/>
    <w:rsid w:val="008D10B2"/>
    <w:rsid w:val="008E3E78"/>
    <w:rsid w:val="008F51DD"/>
    <w:rsid w:val="00903896"/>
    <w:rsid w:val="00906F3D"/>
    <w:rsid w:val="00912A5E"/>
    <w:rsid w:val="00932C9C"/>
    <w:rsid w:val="0094424E"/>
    <w:rsid w:val="00954A70"/>
    <w:rsid w:val="00955642"/>
    <w:rsid w:val="009622DF"/>
    <w:rsid w:val="00967DFF"/>
    <w:rsid w:val="009920CF"/>
    <w:rsid w:val="00994341"/>
    <w:rsid w:val="009B4939"/>
    <w:rsid w:val="009D1A48"/>
    <w:rsid w:val="009E1CE7"/>
    <w:rsid w:val="009E26D8"/>
    <w:rsid w:val="009E4EA5"/>
    <w:rsid w:val="009E5DED"/>
    <w:rsid w:val="009F164B"/>
    <w:rsid w:val="009F323C"/>
    <w:rsid w:val="00A03128"/>
    <w:rsid w:val="00A3392B"/>
    <w:rsid w:val="00A37976"/>
    <w:rsid w:val="00A65CA5"/>
    <w:rsid w:val="00A94B64"/>
    <w:rsid w:val="00AA3229"/>
    <w:rsid w:val="00AA5158"/>
    <w:rsid w:val="00AA7596"/>
    <w:rsid w:val="00AB5E52"/>
    <w:rsid w:val="00AC3B02"/>
    <w:rsid w:val="00AC3B7B"/>
    <w:rsid w:val="00AC5209"/>
    <w:rsid w:val="00AD00A6"/>
    <w:rsid w:val="00AD4766"/>
    <w:rsid w:val="00AE729E"/>
    <w:rsid w:val="00AE7752"/>
    <w:rsid w:val="00AF2CCE"/>
    <w:rsid w:val="00AF2F2B"/>
    <w:rsid w:val="00AF65FD"/>
    <w:rsid w:val="00AF7FDA"/>
    <w:rsid w:val="00B02C76"/>
    <w:rsid w:val="00B17694"/>
    <w:rsid w:val="00B244A6"/>
    <w:rsid w:val="00B5356E"/>
    <w:rsid w:val="00B809AD"/>
    <w:rsid w:val="00B80CBD"/>
    <w:rsid w:val="00B86096"/>
    <w:rsid w:val="00B95A71"/>
    <w:rsid w:val="00B964D9"/>
    <w:rsid w:val="00BA0A7C"/>
    <w:rsid w:val="00BA2942"/>
    <w:rsid w:val="00BA517C"/>
    <w:rsid w:val="00BB3D05"/>
    <w:rsid w:val="00BB52D6"/>
    <w:rsid w:val="00BB73BE"/>
    <w:rsid w:val="00BC2D89"/>
    <w:rsid w:val="00BD6531"/>
    <w:rsid w:val="00BE05B2"/>
    <w:rsid w:val="00BF1908"/>
    <w:rsid w:val="00BF7F3B"/>
    <w:rsid w:val="00C22D93"/>
    <w:rsid w:val="00C31120"/>
    <w:rsid w:val="00C34482"/>
    <w:rsid w:val="00C34F6C"/>
    <w:rsid w:val="00C43145"/>
    <w:rsid w:val="00C43648"/>
    <w:rsid w:val="00C50A9F"/>
    <w:rsid w:val="00C53EB8"/>
    <w:rsid w:val="00C642FA"/>
    <w:rsid w:val="00C65565"/>
    <w:rsid w:val="00C65876"/>
    <w:rsid w:val="00CA29E5"/>
    <w:rsid w:val="00CC7622"/>
    <w:rsid w:val="00CD608F"/>
    <w:rsid w:val="00D232CA"/>
    <w:rsid w:val="00D27982"/>
    <w:rsid w:val="00D33B86"/>
    <w:rsid w:val="00D53924"/>
    <w:rsid w:val="00D55D0C"/>
    <w:rsid w:val="00D62216"/>
    <w:rsid w:val="00D627CF"/>
    <w:rsid w:val="00D74378"/>
    <w:rsid w:val="00D96D8C"/>
    <w:rsid w:val="00DA6649"/>
    <w:rsid w:val="00DC1259"/>
    <w:rsid w:val="00DC1BD2"/>
    <w:rsid w:val="00DC2571"/>
    <w:rsid w:val="00DC487C"/>
    <w:rsid w:val="00DE6BF6"/>
    <w:rsid w:val="00E1068A"/>
    <w:rsid w:val="00E2396D"/>
    <w:rsid w:val="00E25884"/>
    <w:rsid w:val="00E25B55"/>
    <w:rsid w:val="00E31C2B"/>
    <w:rsid w:val="00E37181"/>
    <w:rsid w:val="00E5426A"/>
    <w:rsid w:val="00E54642"/>
    <w:rsid w:val="00E80CBE"/>
    <w:rsid w:val="00E87DA0"/>
    <w:rsid w:val="00E962E3"/>
    <w:rsid w:val="00EB23B9"/>
    <w:rsid w:val="00EB6C79"/>
    <w:rsid w:val="00EC37E9"/>
    <w:rsid w:val="00F06995"/>
    <w:rsid w:val="00F13623"/>
    <w:rsid w:val="00F44D1D"/>
    <w:rsid w:val="00F45E61"/>
    <w:rsid w:val="00F75AE0"/>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57B1EBC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DefinitionTerm">
    <w:name w:val="Definition Term"/>
    <w:basedOn w:val="a"/>
    <w:next w:val="DefinitionList"/>
    <w:uiPriority w:val="99"/>
    <w:rsid w:val="009920CF"/>
    <w:pPr>
      <w:autoSpaceDE w:val="0"/>
      <w:autoSpaceDN w:val="0"/>
      <w:bidi w:val="0"/>
      <w:adjustRightInd w:val="0"/>
    </w:pPr>
    <w:rPr>
      <w:rFonts w:cs="Times New Roman"/>
      <w:noProof w:val="0"/>
    </w:rPr>
  </w:style>
  <w:style w:type="paragraph" w:customStyle="1" w:styleId="DefinitionList">
    <w:name w:val="Definition List"/>
    <w:basedOn w:val="a"/>
    <w:next w:val="DefinitionTerm"/>
    <w:uiPriority w:val="99"/>
    <w:rsid w:val="009920CF"/>
    <w:pPr>
      <w:autoSpaceDE w:val="0"/>
      <w:autoSpaceDN w:val="0"/>
      <w:bidi w:val="0"/>
      <w:adjustRightInd w:val="0"/>
      <w:ind w:left="360"/>
    </w:pPr>
    <w:rPr>
      <w:rFonts w:cs="Times New Roman"/>
      <w:noProof w:val="0"/>
    </w:rPr>
  </w:style>
  <w:style w:type="character" w:customStyle="1" w:styleId="Definition">
    <w:name w:val="Definition"/>
    <w:uiPriority w:val="99"/>
    <w:rsid w:val="009920CF"/>
    <w:rPr>
      <w:i/>
      <w:iCs/>
    </w:rPr>
  </w:style>
  <w:style w:type="paragraph" w:customStyle="1" w:styleId="H1">
    <w:name w:val="H1"/>
    <w:basedOn w:val="a"/>
    <w:next w:val="a"/>
    <w:uiPriority w:val="99"/>
    <w:rsid w:val="009920CF"/>
    <w:pPr>
      <w:keepNext/>
      <w:autoSpaceDE w:val="0"/>
      <w:autoSpaceDN w:val="0"/>
      <w:bidi w:val="0"/>
      <w:adjustRightInd w:val="0"/>
      <w:spacing w:before="100" w:after="100"/>
      <w:outlineLvl w:val="1"/>
    </w:pPr>
    <w:rPr>
      <w:rFonts w:cs="Times New Roman"/>
      <w:b/>
      <w:bCs/>
      <w:noProof w:val="0"/>
      <w:kern w:val="36"/>
      <w:sz w:val="48"/>
      <w:szCs w:val="48"/>
    </w:rPr>
  </w:style>
  <w:style w:type="paragraph" w:customStyle="1" w:styleId="H2">
    <w:name w:val="H2"/>
    <w:basedOn w:val="a"/>
    <w:next w:val="a"/>
    <w:uiPriority w:val="99"/>
    <w:rsid w:val="009920CF"/>
    <w:pPr>
      <w:keepNext/>
      <w:autoSpaceDE w:val="0"/>
      <w:autoSpaceDN w:val="0"/>
      <w:bidi w:val="0"/>
      <w:adjustRightInd w:val="0"/>
      <w:spacing w:before="100" w:after="100"/>
      <w:outlineLvl w:val="2"/>
    </w:pPr>
    <w:rPr>
      <w:rFonts w:cs="Times New Roman"/>
      <w:b/>
      <w:bCs/>
      <w:noProof w:val="0"/>
      <w:sz w:val="36"/>
      <w:szCs w:val="36"/>
    </w:rPr>
  </w:style>
  <w:style w:type="paragraph" w:customStyle="1" w:styleId="H3">
    <w:name w:val="H3"/>
    <w:basedOn w:val="a"/>
    <w:next w:val="a"/>
    <w:uiPriority w:val="99"/>
    <w:rsid w:val="009920CF"/>
    <w:pPr>
      <w:keepNext/>
      <w:autoSpaceDE w:val="0"/>
      <w:autoSpaceDN w:val="0"/>
      <w:bidi w:val="0"/>
      <w:adjustRightInd w:val="0"/>
      <w:spacing w:before="100" w:after="100"/>
      <w:outlineLvl w:val="3"/>
    </w:pPr>
    <w:rPr>
      <w:rFonts w:cs="Times New Roman"/>
      <w:b/>
      <w:bCs/>
      <w:noProof w:val="0"/>
      <w:sz w:val="28"/>
      <w:szCs w:val="28"/>
    </w:rPr>
  </w:style>
  <w:style w:type="paragraph" w:customStyle="1" w:styleId="H4">
    <w:name w:val="H4"/>
    <w:basedOn w:val="a"/>
    <w:next w:val="a"/>
    <w:uiPriority w:val="99"/>
    <w:rsid w:val="009920CF"/>
    <w:pPr>
      <w:keepNext/>
      <w:autoSpaceDE w:val="0"/>
      <w:autoSpaceDN w:val="0"/>
      <w:bidi w:val="0"/>
      <w:adjustRightInd w:val="0"/>
      <w:spacing w:before="100" w:after="100"/>
      <w:outlineLvl w:val="4"/>
    </w:pPr>
    <w:rPr>
      <w:rFonts w:cs="Times New Roman"/>
      <w:b/>
      <w:bCs/>
      <w:noProof w:val="0"/>
    </w:rPr>
  </w:style>
  <w:style w:type="paragraph" w:customStyle="1" w:styleId="H5">
    <w:name w:val="H5"/>
    <w:basedOn w:val="a"/>
    <w:next w:val="a"/>
    <w:uiPriority w:val="99"/>
    <w:rsid w:val="009920CF"/>
    <w:pPr>
      <w:keepNext/>
      <w:autoSpaceDE w:val="0"/>
      <w:autoSpaceDN w:val="0"/>
      <w:bidi w:val="0"/>
      <w:adjustRightInd w:val="0"/>
      <w:spacing w:before="100" w:after="100"/>
      <w:outlineLvl w:val="5"/>
    </w:pPr>
    <w:rPr>
      <w:rFonts w:cs="Times New Roman"/>
      <w:b/>
      <w:bCs/>
      <w:noProof w:val="0"/>
      <w:sz w:val="20"/>
      <w:szCs w:val="20"/>
    </w:rPr>
  </w:style>
  <w:style w:type="paragraph" w:customStyle="1" w:styleId="H6">
    <w:name w:val="H6"/>
    <w:basedOn w:val="a"/>
    <w:next w:val="a"/>
    <w:uiPriority w:val="99"/>
    <w:rsid w:val="009920CF"/>
    <w:pPr>
      <w:keepNext/>
      <w:autoSpaceDE w:val="0"/>
      <w:autoSpaceDN w:val="0"/>
      <w:bidi w:val="0"/>
      <w:adjustRightInd w:val="0"/>
      <w:spacing w:before="100" w:after="100"/>
      <w:outlineLvl w:val="6"/>
    </w:pPr>
    <w:rPr>
      <w:rFonts w:cs="Times New Roman"/>
      <w:b/>
      <w:bCs/>
      <w:noProof w:val="0"/>
      <w:sz w:val="16"/>
      <w:szCs w:val="16"/>
    </w:rPr>
  </w:style>
  <w:style w:type="paragraph" w:customStyle="1" w:styleId="Address">
    <w:name w:val="Address"/>
    <w:basedOn w:val="a"/>
    <w:next w:val="a"/>
    <w:uiPriority w:val="99"/>
    <w:rsid w:val="009920CF"/>
    <w:pPr>
      <w:autoSpaceDE w:val="0"/>
      <w:autoSpaceDN w:val="0"/>
      <w:bidi w:val="0"/>
      <w:adjustRightInd w:val="0"/>
    </w:pPr>
    <w:rPr>
      <w:rFonts w:cs="Times New Roman"/>
      <w:i/>
      <w:iCs/>
      <w:noProof w:val="0"/>
    </w:rPr>
  </w:style>
  <w:style w:type="paragraph" w:customStyle="1" w:styleId="Blockquote">
    <w:name w:val="Blockquote"/>
    <w:basedOn w:val="a"/>
    <w:uiPriority w:val="99"/>
    <w:rsid w:val="009920CF"/>
    <w:pPr>
      <w:autoSpaceDE w:val="0"/>
      <w:autoSpaceDN w:val="0"/>
      <w:bidi w:val="0"/>
      <w:adjustRightInd w:val="0"/>
      <w:spacing w:before="100" w:after="100"/>
      <w:ind w:left="360" w:right="360"/>
    </w:pPr>
    <w:rPr>
      <w:rFonts w:cs="Times New Roman"/>
      <w:noProof w:val="0"/>
    </w:rPr>
  </w:style>
  <w:style w:type="character" w:customStyle="1" w:styleId="CITE">
    <w:name w:val="CITE"/>
    <w:uiPriority w:val="99"/>
    <w:rsid w:val="009920CF"/>
    <w:rPr>
      <w:i/>
      <w:iCs/>
    </w:rPr>
  </w:style>
  <w:style w:type="character" w:customStyle="1" w:styleId="CODE">
    <w:name w:val="CODE"/>
    <w:uiPriority w:val="99"/>
    <w:rsid w:val="009920CF"/>
    <w:rPr>
      <w:rFonts w:ascii="Courier New" w:hAnsi="Courier New" w:cs="Courier New"/>
      <w:sz w:val="20"/>
      <w:szCs w:val="20"/>
    </w:rPr>
  </w:style>
  <w:style w:type="character" w:styleId="ad">
    <w:name w:val="Emphasis"/>
    <w:basedOn w:val="a0"/>
    <w:uiPriority w:val="99"/>
    <w:qFormat/>
    <w:rsid w:val="009920CF"/>
    <w:rPr>
      <w:i/>
      <w:iCs/>
    </w:rPr>
  </w:style>
  <w:style w:type="character" w:styleId="Hyperlink">
    <w:name w:val="Hyperlink"/>
    <w:basedOn w:val="a0"/>
    <w:uiPriority w:val="99"/>
    <w:rsid w:val="009920CF"/>
    <w:rPr>
      <w:color w:val="0000FF"/>
      <w:u w:val="single"/>
    </w:rPr>
  </w:style>
  <w:style w:type="character" w:styleId="FollowedHyperlink">
    <w:name w:val="FollowedHyperlink"/>
    <w:basedOn w:val="a0"/>
    <w:uiPriority w:val="99"/>
    <w:rsid w:val="009920CF"/>
    <w:rPr>
      <w:color w:val="800080"/>
      <w:u w:val="single"/>
    </w:rPr>
  </w:style>
  <w:style w:type="character" w:customStyle="1" w:styleId="Keyboard">
    <w:name w:val="Keyboard"/>
    <w:uiPriority w:val="99"/>
    <w:rsid w:val="009920CF"/>
    <w:rPr>
      <w:rFonts w:ascii="Courier New" w:hAnsi="Courier New" w:cs="Courier New"/>
      <w:b/>
      <w:bCs/>
      <w:sz w:val="20"/>
      <w:szCs w:val="20"/>
    </w:rPr>
  </w:style>
  <w:style w:type="paragraph" w:customStyle="1" w:styleId="Preformatted">
    <w:name w:val="Preformatted"/>
    <w:basedOn w:val="a"/>
    <w:uiPriority w:val="99"/>
    <w:rsid w:val="009920CF"/>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noProof w:val="0"/>
      <w:sz w:val="20"/>
      <w:szCs w:val="20"/>
    </w:rPr>
  </w:style>
  <w:style w:type="paragraph" w:customStyle="1" w:styleId="z-BottomofForm">
    <w:name w:val="z-Bottom of Form"/>
    <w:next w:val="a"/>
    <w:hidden/>
    <w:uiPriority w:val="99"/>
    <w:rsid w:val="009920CF"/>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
    <w:name w:val="z-Top of Form"/>
    <w:next w:val="a"/>
    <w:hidden/>
    <w:uiPriority w:val="99"/>
    <w:rsid w:val="009920CF"/>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9920CF"/>
    <w:rPr>
      <w:rFonts w:ascii="Courier New" w:hAnsi="Courier New" w:cs="Courier New"/>
    </w:rPr>
  </w:style>
  <w:style w:type="character" w:styleId="ae">
    <w:name w:val="Strong"/>
    <w:basedOn w:val="a0"/>
    <w:uiPriority w:val="99"/>
    <w:qFormat/>
    <w:rsid w:val="009920CF"/>
    <w:rPr>
      <w:b/>
      <w:bCs/>
    </w:rPr>
  </w:style>
  <w:style w:type="character" w:customStyle="1" w:styleId="Typewriter">
    <w:name w:val="Typewriter"/>
    <w:uiPriority w:val="99"/>
    <w:rsid w:val="009920CF"/>
    <w:rPr>
      <w:rFonts w:ascii="Courier New" w:hAnsi="Courier New" w:cs="Courier New"/>
      <w:sz w:val="20"/>
      <w:szCs w:val="20"/>
    </w:rPr>
  </w:style>
  <w:style w:type="character" w:customStyle="1" w:styleId="Variable">
    <w:name w:val="Variable"/>
    <w:uiPriority w:val="99"/>
    <w:rsid w:val="009920CF"/>
    <w:rPr>
      <w:i/>
      <w:iCs/>
    </w:rPr>
  </w:style>
  <w:style w:type="character" w:customStyle="1" w:styleId="HTMLMarkup">
    <w:name w:val="HTML Markup"/>
    <w:uiPriority w:val="99"/>
    <w:rsid w:val="009920CF"/>
    <w:rPr>
      <w:vanish/>
      <w:color w:val="FF0000"/>
    </w:rPr>
  </w:style>
  <w:style w:type="character" w:customStyle="1" w:styleId="Comment">
    <w:name w:val="Comment"/>
    <w:uiPriority w:val="99"/>
    <w:rsid w:val="009920CF"/>
    <w:rPr>
      <w:vanish/>
    </w:rPr>
  </w:style>
  <w:style w:type="paragraph" w:styleId="af">
    <w:name w:val="List Paragraph"/>
    <w:basedOn w:val="a"/>
    <w:uiPriority w:val="34"/>
    <w:qFormat/>
    <w:rsid w:val="00CA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18475">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f6f82f8b95fd45f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1301</Words>
  <Characters>6510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איתן קורנהאוזר</cp:lastModifiedBy>
  <cp:revision>193</cp:revision>
  <dcterms:created xsi:type="dcterms:W3CDTF">2012-08-06T05:16:00Z</dcterms:created>
  <dcterms:modified xsi:type="dcterms:W3CDTF">2018-04-11T12:46:00Z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