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r>
              <w:rPr>
                <w:rFonts w:hint="cs" w:ascii="Arial" w:hAnsi="Arial"/>
                <w:b/>
                <w:bCs/>
                <w:noProof w:val="0"/>
                <w:sz w:val="26"/>
                <w:szCs w:val="26"/>
                <w:rtl/>
              </w:rPr>
              <w:t xml:space="preserve"> </w:t>
            </w:r>
            <w:r w:rsidRPr="00FA4EAF" w:rsidR="00B02C76">
              <w:rPr>
                <w:rFonts w:ascii="Arial" w:hAnsi="Arial"/>
                <w:b/>
                <w:bCs/>
                <w:noProof w:val="0"/>
                <w:sz w:val="26"/>
                <w:szCs w:val="26"/>
                <w:rtl/>
              </w:rPr>
              <w:t>מספר בקשה:</w:t>
            </w:r>
            <w:r w:rsidR="00B02C76">
              <w:rPr>
                <w:rFonts w:hint="cs"/>
                <w:sz w:val="26"/>
                <w:szCs w:val="26"/>
                <w:rtl/>
              </w:rPr>
              <w:t xml:space="preserve"> </w:t>
            </w:r>
            <w:sdt>
              <w:sdtPr>
                <w:rPr>
                  <w:sz w:val="26"/>
                  <w:szCs w:val="26"/>
                  <w:rtl/>
                </w:rPr>
                <w:alias w:val="1193"/>
                <w:tag w:val="1193"/>
                <w:id w:val="-636028727"/>
                <w:text w:multiLine="1"/>
              </w:sdtPr>
              <w:sdtEndPr/>
              <w:sdtContent>
                <w:r>
                  <w:rPr>
                    <w:rFonts w:ascii="Arial" w:hAnsi="Arial"/>
                    <w:b/>
                    <w:bCs/>
                    <w:noProof w:val="0"/>
                    <w:sz w:val="26"/>
                    <w:szCs w:val="26"/>
                    <w:rtl/>
                  </w:rPr>
                  <w:t>2</w:t>
                </w:r>
              </w:sdtContent>
            </w:sdt>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שופטת בכירה</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רחל ערקובי</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B02C76"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מבקשים</w:t>
                </w:r>
              </w:sdtContent>
            </w:sdt>
            <w:r>
              <w:rPr>
                <w:rFonts w:hint="cs" w:ascii="Arial" w:hAnsi="Arial"/>
                <w:b/>
                <w:bCs/>
                <w:noProof w:val="0"/>
                <w:sz w:val="26"/>
                <w:szCs w:val="26"/>
                <w:rtl/>
              </w:rPr>
              <w:t>:</w:t>
            </w:r>
          </w:p>
        </w:tc>
        <w:tc>
          <w:tcPr>
            <w:tcW w:w="5362" w:type="dxa"/>
            <w:gridSpan w:val="2"/>
          </w:tcPr>
          <w:p w:rsidRPr="003A2359" w:rsidR="00B02C76" w:rsidP="00B02C76" w:rsidRDefault="00FD1759">
            <w:pPr>
              <w:rPr>
                <w:sz w:val="26"/>
                <w:szCs w:val="26"/>
              </w:rPr>
            </w:pPr>
            <w:sdt>
              <w:sdtPr>
                <w:rPr>
                  <w:sz w:val="26"/>
                  <w:szCs w:val="26"/>
                  <w:rtl/>
                </w:rPr>
                <w:alias w:val="1478"/>
                <w:tag w:val="1478"/>
                <w:id w:val="-2076122985"/>
                <w:text w:multiLine="1"/>
              </w:sdtPr>
              <w:sdtEndPr/>
              <w:sdtContent>
                <w:r w:rsidR="00B244A6">
                  <w:rPr>
                    <w:rFonts w:ascii="Arial" w:hAnsi="Arial"/>
                    <w:b/>
                    <w:bCs/>
                    <w:noProof w:val="0"/>
                    <w:sz w:val="26"/>
                    <w:szCs w:val="26"/>
                  </w:rPr>
                  <w:t>gett</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B02C76"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Pr>
                    <w:rFonts w:ascii="Arial" w:hAnsi="Arial"/>
                    <w:b/>
                    <w:bCs/>
                    <w:noProof w:val="0"/>
                    <w:sz w:val="26"/>
                    <w:szCs w:val="26"/>
                    <w:rtl/>
                  </w:rPr>
                  <w:t>משיבים</w:t>
                </w:r>
              </w:sdtContent>
            </w:sdt>
            <w:r>
              <w:rPr>
                <w:rFonts w:hint="cs" w:ascii="Arial" w:hAnsi="Arial"/>
                <w:b/>
                <w:bCs/>
                <w:noProof w:val="0"/>
                <w:sz w:val="26"/>
                <w:szCs w:val="26"/>
                <w:rtl/>
              </w:rPr>
              <w:t>:</w:t>
            </w:r>
          </w:p>
        </w:tc>
        <w:tc>
          <w:tcPr>
            <w:tcW w:w="5362" w:type="dxa"/>
            <w:gridSpan w:val="2"/>
          </w:tcPr>
          <w:p w:rsidRPr="003A2359" w:rsidR="00B02C76" w:rsidP="00B02C76" w:rsidRDefault="00FD1759">
            <w:pPr>
              <w:rPr>
                <w:sz w:val="26"/>
                <w:szCs w:val="26"/>
                <w:rtl/>
              </w:rPr>
            </w:pPr>
            <w:sdt>
              <w:sdtPr>
                <w:rPr>
                  <w:sz w:val="26"/>
                  <w:szCs w:val="26"/>
                  <w:rtl/>
                </w:rPr>
                <w:alias w:val="1486"/>
                <w:tag w:val="1486"/>
                <w:id w:val="-309872140"/>
                <w:text w:multiLine="1"/>
              </w:sdtPr>
              <w:sdtEndPr/>
              <w:sdtContent>
                <w:r w:rsidR="00B244A6">
                  <w:rPr>
                    <w:rFonts w:ascii="Arial" w:hAnsi="Arial"/>
                    <w:b/>
                    <w:bCs/>
                    <w:noProof w:val="0"/>
                    <w:sz w:val="26"/>
                    <w:szCs w:val="26"/>
                    <w:rtl/>
                  </w:rPr>
                  <w:t>ארתור פרולין</w:t>
                </w:r>
              </w:sdtContent>
            </w:sdt>
          </w:p>
        </w:tc>
      </w:tr>
      <w:tr w:rsidRPr="00FA4EAF" w:rsidR="00B02C76" w:rsidTr="008924AB">
        <w:tc>
          <w:tcPr>
            <w:tcW w:w="8505" w:type="dxa"/>
            <w:gridSpan w:val="3"/>
          </w:tcPr>
          <w:p w:rsidR="00F53FE3" w:rsidRDefault="00F53FE3">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p w:rsidR="0094424E" w:rsidP="0094424E" w:rsidRDefault="0094424E">
      <w:pPr>
        <w:rPr>
          <w:rtl/>
        </w:rPr>
      </w:pPr>
    </w:p>
    <w:p w:rsidRPr="004C7358" w:rsidR="00E31C2B" w:rsidP="006D3B31" w:rsidRDefault="00E31C2B">
      <w:pPr>
        <w:suppressLineNumbers/>
        <w:rPr>
          <w:sz w:val="12"/>
          <w:szCs w:val="12"/>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DE587E" w:rsidP="00DE587E" w:rsidRDefault="00DE587E">
      <w:pPr>
        <w:spacing w:line="360" w:lineRule="auto"/>
        <w:rPr>
          <w:rFonts w:ascii="Arial" w:hAnsi="Arial"/>
          <w:noProof w:val="0"/>
          <w:rtl/>
        </w:rPr>
      </w:pPr>
      <w:bookmarkStart w:name="NGCSBookmark" w:id="0"/>
      <w:bookmarkEnd w:id="0"/>
    </w:p>
    <w:p w:rsidR="00DE587E" w:rsidP="006C2E2E" w:rsidRDefault="00DE587E">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התובע הגיש תביעה כנגד הנתבעת במסגרתה טען כי הנתבעת מב</w:t>
      </w:r>
      <w:r w:rsidR="006C2E2E">
        <w:rPr>
          <w:rFonts w:hint="cs" w:ascii="Arial" w:hAnsi="Arial"/>
          <w:noProof w:val="0"/>
          <w:rtl/>
        </w:rPr>
        <w:t>צ</w:t>
      </w:r>
      <w:r>
        <w:rPr>
          <w:rFonts w:hint="cs" w:ascii="Arial" w:hAnsi="Arial"/>
          <w:noProof w:val="0"/>
          <w:rtl/>
        </w:rPr>
        <w:t>עת עוולה של גניבת עין, בכך שהיא עושה שימוש בשמו תוך הוספת אות אחת בלבד.</w:t>
      </w:r>
    </w:p>
    <w:p w:rsidR="00DE587E" w:rsidP="00ED0094" w:rsidRDefault="00DE587E">
      <w:pPr>
        <w:spacing w:line="360" w:lineRule="auto"/>
        <w:ind w:left="720" w:hanging="720"/>
        <w:jc w:val="both"/>
        <w:rPr>
          <w:rFonts w:ascii="Arial" w:hAnsi="Arial"/>
          <w:noProof w:val="0"/>
          <w:rtl/>
        </w:rPr>
      </w:pPr>
    </w:p>
    <w:p w:rsidR="00DE587E" w:rsidP="00ED0094" w:rsidRDefault="00DE587E">
      <w:pPr>
        <w:spacing w:line="360" w:lineRule="auto"/>
        <w:ind w:left="720" w:hanging="720"/>
        <w:jc w:val="both"/>
        <w:rPr>
          <w:rFonts w:hint="cs" w:ascii="Arial" w:hAnsi="Arial"/>
          <w:noProof w:val="0"/>
          <w:rtl/>
        </w:rPr>
      </w:pPr>
      <w:r>
        <w:rPr>
          <w:rFonts w:hint="cs" w:ascii="Arial" w:hAnsi="Arial"/>
          <w:noProof w:val="0"/>
          <w:rtl/>
        </w:rPr>
        <w:t>2.</w:t>
      </w:r>
      <w:r>
        <w:rPr>
          <w:rFonts w:hint="cs" w:ascii="Arial" w:hAnsi="Arial"/>
          <w:noProof w:val="0"/>
          <w:rtl/>
        </w:rPr>
        <w:tab/>
        <w:t>התובע עתר להורות על מתן סעד של צו עשה ו/או צו מניעה, על פיו עתר כי ביהמ"ש יורה לנתבעת להפסיק לעשות שימוש בשם.</w:t>
      </w:r>
    </w:p>
    <w:p w:rsidR="00DE587E" w:rsidP="00ED0094" w:rsidRDefault="00DE587E">
      <w:pPr>
        <w:spacing w:line="360" w:lineRule="auto"/>
        <w:ind w:left="720" w:hanging="720"/>
        <w:jc w:val="both"/>
        <w:rPr>
          <w:rFonts w:ascii="Arial" w:hAnsi="Arial"/>
          <w:noProof w:val="0"/>
          <w:rtl/>
        </w:rPr>
      </w:pPr>
    </w:p>
    <w:p w:rsidR="00DE587E" w:rsidP="00ED0094" w:rsidRDefault="00DE587E">
      <w:pPr>
        <w:spacing w:line="360" w:lineRule="auto"/>
        <w:ind w:left="720" w:hanging="720"/>
        <w:jc w:val="both"/>
        <w:rPr>
          <w:rFonts w:hint="cs" w:ascii="Arial" w:hAnsi="Arial"/>
          <w:noProof w:val="0"/>
          <w:rtl/>
        </w:rPr>
      </w:pPr>
      <w:r>
        <w:rPr>
          <w:rFonts w:hint="cs" w:ascii="Arial" w:hAnsi="Arial"/>
          <w:noProof w:val="0"/>
          <w:rtl/>
        </w:rPr>
        <w:t>3.</w:t>
      </w:r>
      <w:r>
        <w:rPr>
          <w:rFonts w:hint="cs" w:ascii="Arial" w:hAnsi="Arial"/>
          <w:noProof w:val="0"/>
          <w:rtl/>
        </w:rPr>
        <w:tab/>
        <w:t>הנתבעת עתרה להורות על סילוק התביעה על סף הואיל והסמכות העניינית מסורה לביהמ"ש המחוזי ולא לביהמ"ש השלום. התובע הגיב בטענה כי לא הגיש תביעה מכוח פקודת סימני המסחר, שכן המדובר בשימוש בשם מטעה ותו לא, ואין בפנינו כל עניין לקנ</w:t>
      </w:r>
      <w:r w:rsidR="00ED0094">
        <w:rPr>
          <w:rFonts w:hint="cs" w:ascii="Arial" w:hAnsi="Arial"/>
          <w:noProof w:val="0"/>
          <w:rtl/>
        </w:rPr>
        <w:t>יין רוחני.</w:t>
      </w:r>
    </w:p>
    <w:p w:rsidR="00ED0094" w:rsidP="00ED0094" w:rsidRDefault="00ED0094">
      <w:pPr>
        <w:spacing w:line="360" w:lineRule="auto"/>
        <w:ind w:left="720" w:hanging="720"/>
        <w:jc w:val="both"/>
        <w:rPr>
          <w:rFonts w:ascii="Arial" w:hAnsi="Arial"/>
          <w:noProof w:val="0"/>
          <w:rtl/>
        </w:rPr>
      </w:pPr>
    </w:p>
    <w:p w:rsidR="00DE587E" w:rsidP="00ED0094" w:rsidRDefault="00ED0094">
      <w:pPr>
        <w:spacing w:line="360" w:lineRule="auto"/>
        <w:ind w:left="720" w:hanging="720"/>
        <w:jc w:val="both"/>
        <w:rPr>
          <w:rFonts w:ascii="Arial" w:hAnsi="Arial"/>
          <w:noProof w:val="0"/>
          <w:rtl/>
        </w:rPr>
      </w:pPr>
      <w:r>
        <w:rPr>
          <w:rFonts w:hint="cs" w:ascii="Arial" w:hAnsi="Arial"/>
          <w:noProof w:val="0"/>
          <w:rtl/>
        </w:rPr>
        <w:t>4.</w:t>
      </w:r>
      <w:r>
        <w:rPr>
          <w:rFonts w:ascii="Arial" w:hAnsi="Arial"/>
          <w:noProof w:val="0"/>
          <w:rtl/>
        </w:rPr>
        <w:tab/>
      </w:r>
      <w:r w:rsidR="00DE587E">
        <w:rPr>
          <w:rFonts w:hint="cs" w:ascii="Arial" w:hAnsi="Arial"/>
          <w:noProof w:val="0"/>
          <w:rtl/>
        </w:rPr>
        <w:t>ס</w:t>
      </w:r>
      <w:r w:rsidRPr="00DE587E" w:rsidR="00DE587E">
        <w:rPr>
          <w:rFonts w:ascii="Arial" w:hAnsi="Arial"/>
          <w:noProof w:val="0"/>
          <w:rtl/>
        </w:rPr>
        <w:t xml:space="preserve">עיף  40 לחוק בתי המשפט מגדיר את סמכותו של בית המשפט המחוזי, כאשר סעיף 40(4) לחוק קובע כדלקמן: </w:t>
      </w:r>
    </w:p>
    <w:p w:rsidRPr="00DE587E" w:rsidR="00DE587E" w:rsidP="00ED0094" w:rsidRDefault="00DE587E">
      <w:pPr>
        <w:spacing w:line="360" w:lineRule="auto"/>
        <w:jc w:val="both"/>
        <w:rPr>
          <w:rFonts w:ascii="Arial" w:hAnsi="Arial"/>
          <w:noProof w:val="0"/>
          <w:rtl/>
        </w:rPr>
      </w:pPr>
    </w:p>
    <w:p w:rsidRPr="00DE587E" w:rsidR="00DE587E" w:rsidP="00DE587E" w:rsidRDefault="00DE587E">
      <w:pPr>
        <w:ind w:left="720"/>
        <w:jc w:val="both"/>
        <w:rPr>
          <w:rFonts w:ascii="Arial" w:hAnsi="Arial"/>
          <w:b/>
          <w:bCs/>
          <w:noProof w:val="0"/>
          <w:rtl/>
        </w:rPr>
      </w:pPr>
      <w:r w:rsidRPr="00DE587E">
        <w:rPr>
          <w:rFonts w:ascii="Arial" w:hAnsi="Arial"/>
          <w:b/>
          <w:bCs/>
          <w:noProof w:val="0"/>
          <w:rtl/>
        </w:rPr>
        <w:t>"(4) תביעה בעניני קנין רוחני, הכרוכה בתביעה בעניני קנין רוחני שהיא בסמכות בית המשפט המחוזי לפי פסקה (1), אף אם סכום התביעה או שווי נושא התביעה אינו עולה על הסכום כאמור בסעיף 51(א)(2); בפסקה זו, "תביעה בעניני קנין רוחני" – תביעה אזרחית לפי אחד או יותר מהחוקים המפורטים להלן:</w:t>
      </w:r>
    </w:p>
    <w:p w:rsidRPr="00DE587E" w:rsidR="00DE587E" w:rsidP="00DE587E" w:rsidRDefault="00DE587E">
      <w:pPr>
        <w:ind w:firstLine="720"/>
        <w:jc w:val="both"/>
        <w:rPr>
          <w:rFonts w:ascii="Arial" w:hAnsi="Arial"/>
          <w:b/>
          <w:bCs/>
          <w:noProof w:val="0"/>
          <w:rtl/>
        </w:rPr>
      </w:pPr>
      <w:r w:rsidRPr="00DE587E">
        <w:rPr>
          <w:rFonts w:hint="cs" w:ascii="Arial" w:hAnsi="Arial"/>
          <w:b/>
          <w:bCs/>
          <w:noProof w:val="0"/>
          <w:rtl/>
        </w:rPr>
        <w:t>...</w:t>
      </w:r>
    </w:p>
    <w:p w:rsidRPr="00DE587E" w:rsidR="00DE587E" w:rsidP="00DE587E" w:rsidRDefault="00DE587E">
      <w:pPr>
        <w:ind w:firstLine="720"/>
        <w:jc w:val="both"/>
        <w:rPr>
          <w:rFonts w:ascii="Arial" w:hAnsi="Arial"/>
          <w:b/>
          <w:bCs/>
          <w:noProof w:val="0"/>
          <w:rtl/>
        </w:rPr>
      </w:pPr>
      <w:r w:rsidRPr="00DE587E">
        <w:rPr>
          <w:rFonts w:ascii="Arial" w:hAnsi="Arial"/>
          <w:b/>
          <w:bCs/>
          <w:noProof w:val="0"/>
          <w:rtl/>
        </w:rPr>
        <w:t xml:space="preserve"> (ו)</w:t>
      </w:r>
      <w:r w:rsidRPr="00DE587E">
        <w:rPr>
          <w:rFonts w:ascii="Arial" w:hAnsi="Arial"/>
          <w:b/>
          <w:bCs/>
          <w:noProof w:val="0"/>
          <w:rtl/>
        </w:rPr>
        <w:tab/>
        <w:t>פקודת סימני מסחר [נוסח חדש], התשל"ב-1972;</w:t>
      </w:r>
    </w:p>
    <w:p w:rsidRPr="00DE587E" w:rsidR="00DE587E" w:rsidP="00DE587E" w:rsidRDefault="00DE587E">
      <w:pPr>
        <w:ind w:firstLine="720"/>
        <w:jc w:val="both"/>
        <w:rPr>
          <w:rFonts w:ascii="Arial" w:hAnsi="Arial"/>
          <w:b/>
          <w:bCs/>
          <w:noProof w:val="0"/>
          <w:rtl/>
        </w:rPr>
      </w:pPr>
      <w:r w:rsidRPr="00DE587E">
        <w:rPr>
          <w:rFonts w:hint="cs" w:ascii="Arial" w:hAnsi="Arial"/>
          <w:b/>
          <w:bCs/>
          <w:noProof w:val="0"/>
          <w:rtl/>
        </w:rPr>
        <w:t>...</w:t>
      </w:r>
    </w:p>
    <w:p w:rsidRPr="00DE587E" w:rsidR="00DE587E" w:rsidP="00DE587E" w:rsidRDefault="00DE587E">
      <w:pPr>
        <w:ind w:firstLine="720"/>
        <w:jc w:val="both"/>
        <w:rPr>
          <w:rFonts w:ascii="Arial" w:hAnsi="Arial"/>
          <w:b/>
          <w:bCs/>
          <w:noProof w:val="0"/>
          <w:rtl/>
        </w:rPr>
      </w:pPr>
      <w:r w:rsidRPr="00DE587E">
        <w:rPr>
          <w:rFonts w:ascii="Arial" w:hAnsi="Arial"/>
          <w:b/>
          <w:bCs/>
          <w:noProof w:val="0"/>
          <w:rtl/>
        </w:rPr>
        <w:t xml:space="preserve"> (ט)</w:t>
      </w:r>
      <w:r w:rsidRPr="00DE587E">
        <w:rPr>
          <w:rFonts w:ascii="Arial" w:hAnsi="Arial"/>
          <w:b/>
          <w:bCs/>
          <w:noProof w:val="0"/>
          <w:rtl/>
        </w:rPr>
        <w:tab/>
        <w:t>חוק עוולות מסחריות, התשנ"ט-1999</w:t>
      </w:r>
      <w:r w:rsidRPr="00DE587E">
        <w:rPr>
          <w:rFonts w:hint="cs" w:ascii="Arial" w:hAnsi="Arial"/>
          <w:b/>
          <w:bCs/>
          <w:noProof w:val="0"/>
          <w:rtl/>
        </w:rPr>
        <w:t>."</w:t>
      </w:r>
    </w:p>
    <w:p w:rsidR="00694556" w:rsidRDefault="00694556">
      <w:pPr>
        <w:spacing w:line="360" w:lineRule="auto"/>
        <w:jc w:val="both"/>
        <w:rPr>
          <w:rFonts w:ascii="Arial" w:hAnsi="Arial"/>
          <w:noProof w:val="0"/>
          <w:rtl/>
        </w:rPr>
      </w:pPr>
    </w:p>
    <w:p w:rsidR="00ED0094" w:rsidP="006C2E2E" w:rsidRDefault="00ED0094">
      <w:pPr>
        <w:spacing w:line="360" w:lineRule="auto"/>
        <w:ind w:left="720" w:hanging="720"/>
        <w:rPr>
          <w:rFonts w:ascii="Arial" w:hAnsi="Arial"/>
          <w:noProof w:val="0"/>
          <w:rtl/>
        </w:rPr>
      </w:pPr>
      <w:r>
        <w:rPr>
          <w:rFonts w:hint="cs" w:ascii="Arial" w:hAnsi="Arial"/>
          <w:noProof w:val="0"/>
          <w:rtl/>
        </w:rPr>
        <w:t>5.</w:t>
      </w:r>
      <w:r>
        <w:rPr>
          <w:rFonts w:hint="cs" w:ascii="Arial" w:hAnsi="Arial"/>
          <w:noProof w:val="0"/>
          <w:rtl/>
        </w:rPr>
        <w:tab/>
        <w:t xml:space="preserve">חברתי כבוד השופטת הדסה אסיף סיכמה את הנושא בתמצית בהחלטתה בעניין </w:t>
      </w:r>
      <w:r w:rsidRPr="00ED0094">
        <w:rPr>
          <w:rFonts w:ascii="Arial" w:hAnsi="Arial"/>
          <w:noProof w:val="0"/>
          <w:rtl/>
        </w:rPr>
        <w:t>תא (חד') 6197-05-09</w:t>
      </w:r>
      <w:r w:rsidRPr="006C2E2E">
        <w:rPr>
          <w:rFonts w:hint="cs" w:ascii="Arial" w:hAnsi="Arial"/>
          <w:b/>
          <w:bCs/>
          <w:noProof w:val="0"/>
          <w:rtl/>
        </w:rPr>
        <w:t xml:space="preserve"> </w:t>
      </w:r>
      <w:r w:rsidRPr="006C2E2E" w:rsidR="006C2E2E">
        <w:rPr>
          <w:rFonts w:ascii="Arial" w:hAnsi="Arial"/>
          <w:b/>
          <w:bCs/>
          <w:noProof w:val="0"/>
          <w:rtl/>
        </w:rPr>
        <w:t>יעקב ארז נ' דוד גינת</w:t>
      </w:r>
      <w:r w:rsidRPr="006C2E2E" w:rsidR="006C2E2E">
        <w:rPr>
          <w:rFonts w:hint="cs" w:ascii="Arial" w:hAnsi="Arial"/>
          <w:noProof w:val="0"/>
          <w:rtl/>
        </w:rPr>
        <w:t xml:space="preserve"> </w:t>
      </w:r>
      <w:r w:rsidRPr="00ED0094">
        <w:rPr>
          <w:rFonts w:hint="cs" w:ascii="Arial" w:hAnsi="Arial"/>
          <w:noProof w:val="0"/>
          <w:rtl/>
        </w:rPr>
        <w:t>[פורסם בנבו, 9.11.</w:t>
      </w:r>
      <w:r>
        <w:rPr>
          <w:rFonts w:hint="cs" w:ascii="Arial" w:hAnsi="Arial"/>
          <w:noProof w:val="0"/>
          <w:rtl/>
        </w:rPr>
        <w:t>09] באופן הבא:</w:t>
      </w:r>
    </w:p>
    <w:p w:rsidRPr="00ED0094" w:rsidR="00ED0094" w:rsidP="00ED0094" w:rsidRDefault="00ED0094">
      <w:pPr>
        <w:ind w:left="1440"/>
        <w:jc w:val="both"/>
        <w:rPr>
          <w:rFonts w:ascii="Arial" w:hAnsi="Arial"/>
          <w:b/>
          <w:bCs/>
          <w:noProof w:val="0"/>
          <w:rtl/>
        </w:rPr>
      </w:pPr>
      <w:r w:rsidRPr="00ED0094">
        <w:rPr>
          <w:rFonts w:hint="cs" w:ascii="Arial" w:hAnsi="Arial"/>
          <w:b/>
          <w:bCs/>
          <w:noProof w:val="0"/>
          <w:rtl/>
        </w:rPr>
        <w:lastRenderedPageBreak/>
        <w:t>"</w:t>
      </w:r>
      <w:r w:rsidRPr="00ED0094">
        <w:rPr>
          <w:rFonts w:ascii="Arial" w:hAnsi="Arial"/>
          <w:b/>
          <w:bCs/>
          <w:noProof w:val="0"/>
          <w:rtl/>
        </w:rPr>
        <w:t>הוראת סעיף 40(4) נחקקה בשנת 2003, על מנת למנוע פיצול סעדים בתביעה בענייני קניין רוחני באופן שצווי מניעה או צווי עשה, ששוויים אינו ניתן להערכה, ידונו בבית המשפט המחוזי, בעוד שסעד כספי הנתבע כסעד משני והכרוך בתביעה זו, ואשר סכומו נופל מן הסכום שבתחום סמכותו של בית המשפט המחוזי, ידון בבית משפט השלום. הוראת סעיף 40(4) לחוק מאפשרת לתובע לכרוך תביעתו לסעד כספי בתביעתו לצווי מניעה וצווי עשה בתחום הקניין הרוחני, גם כאשר הראשונה מצויה, על פי סכומה, בתחום סמכותו של בית משפט השלום. יחד עם זאת, האמור בסעיף זה אינו משפיע על גורלה של תביעה בענייני קניין רוחני שהסעד הנתבע בה הוא סעד כספי בלבד, והסמכות העניינית לדון בתביעה כזו תקבע לפי כללי סמכות הרגילים, משמע, לפי סכום התביעה.</w:t>
      </w:r>
    </w:p>
    <w:p w:rsidRPr="00ED0094" w:rsidR="00ED0094" w:rsidP="00ED0094" w:rsidRDefault="00ED0094">
      <w:pPr>
        <w:ind w:left="1440"/>
        <w:jc w:val="both"/>
        <w:rPr>
          <w:rFonts w:ascii="Arial" w:hAnsi="Arial"/>
          <w:b/>
          <w:bCs/>
          <w:noProof w:val="0"/>
          <w:rtl/>
        </w:rPr>
      </w:pPr>
      <w:r w:rsidRPr="00ED0094">
        <w:rPr>
          <w:rFonts w:ascii="Arial" w:hAnsi="Arial"/>
          <w:b/>
          <w:bCs/>
          <w:noProof w:val="0"/>
          <w:rtl/>
        </w:rPr>
        <w:t>ראה לעניין זה בש"א (מחוזי – ירושלים) 4628/08  ברחנא אדריכלים ובוני ערים בע"מ נגד א.א. הנדסה ותכנון מדרונות בע"מ (פורסם בנבו, 26.1.09).</w:t>
      </w:r>
    </w:p>
    <w:p w:rsidRPr="00ED0094" w:rsidR="00ED0094" w:rsidP="00ED0094" w:rsidRDefault="00ED0094">
      <w:pPr>
        <w:ind w:left="1440"/>
        <w:jc w:val="both"/>
        <w:rPr>
          <w:rFonts w:ascii="Arial" w:hAnsi="Arial"/>
          <w:b/>
          <w:bCs/>
          <w:noProof w:val="0"/>
          <w:rtl/>
        </w:rPr>
      </w:pPr>
      <w:r w:rsidRPr="00ED0094">
        <w:rPr>
          <w:rFonts w:ascii="Arial" w:hAnsi="Arial"/>
          <w:b/>
          <w:bCs/>
          <w:noProof w:val="0"/>
          <w:rtl/>
        </w:rPr>
        <w:t xml:space="preserve">ראה גם בש"א (מחוזי – ירושלים) 4222/07 ד"ר יאיר גורביץ נ' גיל טבע, (פורסם בנבו, 13.2.07). </w:t>
      </w:r>
    </w:p>
    <w:p w:rsidRPr="00ED0094" w:rsidR="00ED0094" w:rsidP="00ED0094" w:rsidRDefault="00ED0094">
      <w:pPr>
        <w:ind w:left="1440"/>
        <w:jc w:val="both"/>
        <w:rPr>
          <w:rFonts w:ascii="Arial" w:hAnsi="Arial"/>
          <w:b/>
          <w:bCs/>
          <w:noProof w:val="0"/>
          <w:rtl/>
        </w:rPr>
      </w:pPr>
      <w:r w:rsidRPr="00ED0094">
        <w:rPr>
          <w:rFonts w:ascii="Arial" w:hAnsi="Arial"/>
          <w:b/>
          <w:bCs/>
          <w:noProof w:val="0"/>
          <w:rtl/>
        </w:rPr>
        <w:t xml:space="preserve">דברי ההסבר להצעת החוק כוללים התייחסות לכך שתביעות בתחום הקניין הרוחני מתאפיינות, בדרך כלל, בכך שהן כוללות עתירה לסעד של צו מניעה שנועד להפסיק את הפרת זכויות היוצרים, כאשר לצד עתירה זו עומדת גם עתירה לפיצוי כספי על ההפרה עד למועד הגשת התביעה. </w:t>
      </w:r>
    </w:p>
    <w:p w:rsidRPr="00ED0094" w:rsidR="00694556" w:rsidP="00ED0094" w:rsidRDefault="00ED0094">
      <w:pPr>
        <w:ind w:left="1440"/>
        <w:jc w:val="both"/>
        <w:rPr>
          <w:rFonts w:ascii="Arial" w:hAnsi="Arial"/>
          <w:b/>
          <w:bCs/>
          <w:noProof w:val="0"/>
          <w:rtl/>
        </w:rPr>
      </w:pPr>
      <w:r w:rsidRPr="00ED0094">
        <w:rPr>
          <w:rFonts w:ascii="Arial" w:hAnsi="Arial"/>
          <w:b/>
          <w:bCs/>
          <w:noProof w:val="0"/>
          <w:rtl/>
        </w:rPr>
        <w:t>דברי ההסבר מציינים במפורש כי "הצעת החוק אינה משנה את הסמכות העניינית לדון בתביעות בענייני קניין רוחני שמבוקש בהן סעד כספי בלבד, אשר ימשיכו להיות מוגשות לבית המשפט המתאים לפי סכום התביעה" (ראה הצעת חוק בתי המשפט (תיקון מס' 34)(כריכת סעדים בתביעות בענייני קניין רוחני), התשס"ג – 2003, הצ"ח 30, מיום 3.6.03, בעמ' 478).</w:t>
      </w:r>
      <w:r>
        <w:rPr>
          <w:rFonts w:hint="cs" w:ascii="Arial" w:hAnsi="Arial"/>
          <w:b/>
          <w:bCs/>
          <w:noProof w:val="0"/>
          <w:rtl/>
        </w:rPr>
        <w:t>"</w:t>
      </w:r>
    </w:p>
    <w:p w:rsidR="00694556" w:rsidRDefault="00694556">
      <w:pPr>
        <w:spacing w:line="360" w:lineRule="auto"/>
        <w:jc w:val="both"/>
        <w:rPr>
          <w:rFonts w:ascii="Arial" w:hAnsi="Arial"/>
          <w:noProof w:val="0"/>
          <w:rtl/>
        </w:rPr>
      </w:pPr>
    </w:p>
    <w:p w:rsidR="00ED0094" w:rsidP="00ED0094" w:rsidRDefault="00ED0094">
      <w:pPr>
        <w:spacing w:line="360" w:lineRule="auto"/>
        <w:ind w:left="720" w:hanging="720"/>
        <w:jc w:val="both"/>
        <w:rPr>
          <w:rFonts w:hint="cs" w:ascii="Arial" w:hAnsi="Arial"/>
          <w:noProof w:val="0"/>
          <w:rtl/>
        </w:rPr>
      </w:pPr>
      <w:r>
        <w:rPr>
          <w:rFonts w:hint="cs" w:ascii="Arial" w:hAnsi="Arial"/>
          <w:noProof w:val="0"/>
          <w:rtl/>
        </w:rPr>
        <w:t>6.</w:t>
      </w:r>
      <w:r>
        <w:rPr>
          <w:rFonts w:hint="cs" w:ascii="Arial" w:hAnsi="Arial"/>
          <w:noProof w:val="0"/>
          <w:rtl/>
        </w:rPr>
        <w:tab/>
        <w:t>מהדברים עולה, כי בהתאם להוראות סעיף 40 (4) לחוק בתי המשפט יש לבחון במה עוסקת התובענה ומהו הסעד המבוקש בה. כאשר התובענה עוסקת בקניין רוחני</w:t>
      </w:r>
      <w:r w:rsidR="006C2E2E">
        <w:rPr>
          <w:rFonts w:hint="cs" w:ascii="Arial" w:hAnsi="Arial"/>
          <w:noProof w:val="0"/>
          <w:rtl/>
        </w:rPr>
        <w:t>,</w:t>
      </w:r>
      <w:r>
        <w:rPr>
          <w:rFonts w:hint="cs" w:ascii="Arial" w:hAnsi="Arial"/>
          <w:noProof w:val="0"/>
          <w:rtl/>
        </w:rPr>
        <w:t xml:space="preserve"> הגם שהתובע עותר לחיוב כספי</w:t>
      </w:r>
      <w:r w:rsidR="006C2E2E">
        <w:rPr>
          <w:rFonts w:hint="cs" w:ascii="Arial" w:hAnsi="Arial"/>
          <w:noProof w:val="0"/>
          <w:rtl/>
        </w:rPr>
        <w:t>,</w:t>
      </w:r>
      <w:r>
        <w:rPr>
          <w:rFonts w:hint="cs" w:ascii="Arial" w:hAnsi="Arial"/>
          <w:noProof w:val="0"/>
          <w:rtl/>
        </w:rPr>
        <w:t xml:space="preserve"> הסמכות העניינית מסורה לביהמ"ש המחוזי בלי קשר לשיעור התשלום המבוקש.</w:t>
      </w:r>
    </w:p>
    <w:p w:rsidR="00ED0094" w:rsidP="00ED0094" w:rsidRDefault="00ED0094">
      <w:pPr>
        <w:spacing w:line="360" w:lineRule="auto"/>
        <w:ind w:left="720" w:hanging="720"/>
        <w:jc w:val="both"/>
        <w:rPr>
          <w:rFonts w:ascii="Arial" w:hAnsi="Arial"/>
          <w:noProof w:val="0"/>
          <w:rtl/>
        </w:rPr>
      </w:pPr>
    </w:p>
    <w:p w:rsidR="00ED0094" w:rsidP="00ED768E" w:rsidRDefault="00ED0094">
      <w:pPr>
        <w:spacing w:line="360" w:lineRule="auto"/>
        <w:ind w:left="720" w:hanging="720"/>
        <w:jc w:val="both"/>
        <w:rPr>
          <w:rFonts w:hint="cs" w:ascii="Arial" w:hAnsi="Arial"/>
          <w:noProof w:val="0"/>
          <w:rtl/>
        </w:rPr>
      </w:pPr>
      <w:r>
        <w:rPr>
          <w:rFonts w:hint="cs" w:ascii="Arial" w:hAnsi="Arial"/>
          <w:noProof w:val="0"/>
          <w:rtl/>
        </w:rPr>
        <w:t>7.</w:t>
      </w:r>
      <w:r>
        <w:rPr>
          <w:rFonts w:hint="cs" w:ascii="Arial" w:hAnsi="Arial"/>
          <w:noProof w:val="0"/>
          <w:rtl/>
        </w:rPr>
        <w:tab/>
        <w:t>בענייננו, טוען התובע כי התובענה אינה עוסקת בקניין רוחני, אלא בדרישתו להורות לנתבעת הפסיק לעשות</w:t>
      </w:r>
      <w:r w:rsidR="00ED768E">
        <w:rPr>
          <w:rFonts w:hint="cs" w:ascii="Arial" w:hAnsi="Arial"/>
          <w:noProof w:val="0"/>
          <w:rtl/>
        </w:rPr>
        <w:t xml:space="preserve"> </w:t>
      </w:r>
      <w:r>
        <w:rPr>
          <w:rFonts w:hint="cs" w:ascii="Arial" w:hAnsi="Arial"/>
          <w:noProof w:val="0"/>
          <w:rtl/>
        </w:rPr>
        <w:t xml:space="preserve">שימוש בשם </w:t>
      </w:r>
      <w:r w:rsidR="00ED768E">
        <w:rPr>
          <w:rFonts w:ascii="Arial" w:hAnsi="Arial"/>
          <w:noProof w:val="0"/>
        </w:rPr>
        <w:t>ge</w:t>
      </w:r>
      <w:r w:rsidR="006C2E2E">
        <w:rPr>
          <w:rFonts w:ascii="Arial" w:hAnsi="Arial"/>
          <w:noProof w:val="0"/>
        </w:rPr>
        <w:t>t</w:t>
      </w:r>
      <w:r w:rsidR="00ED768E">
        <w:rPr>
          <w:rFonts w:ascii="Arial" w:hAnsi="Arial"/>
          <w:noProof w:val="0"/>
        </w:rPr>
        <w:t>t delivery</w:t>
      </w:r>
      <w:r w:rsidR="00ED768E">
        <w:rPr>
          <w:rFonts w:hint="cs" w:ascii="Arial" w:hAnsi="Arial"/>
          <w:noProof w:val="0"/>
          <w:rtl/>
        </w:rPr>
        <w:t xml:space="preserve"> המהווה הטעייה גניבת עיין בהיותו כמעט זהה לשמו העסקי </w:t>
      </w:r>
      <w:r w:rsidR="00ED768E">
        <w:rPr>
          <w:rFonts w:ascii="Arial" w:hAnsi="Arial"/>
          <w:noProof w:val="0"/>
        </w:rPr>
        <w:t>get delivery</w:t>
      </w:r>
      <w:r w:rsidR="00ED768E">
        <w:rPr>
          <w:rFonts w:hint="cs" w:ascii="Arial" w:hAnsi="Arial"/>
          <w:noProof w:val="0"/>
          <w:rtl/>
        </w:rPr>
        <w:t>.</w:t>
      </w:r>
    </w:p>
    <w:p w:rsidR="00ED768E" w:rsidP="00ED768E" w:rsidRDefault="00ED768E">
      <w:pPr>
        <w:spacing w:line="360" w:lineRule="auto"/>
        <w:ind w:left="720" w:hanging="720"/>
        <w:jc w:val="both"/>
        <w:rPr>
          <w:rFonts w:ascii="Arial" w:hAnsi="Arial"/>
          <w:noProof w:val="0"/>
          <w:rtl/>
        </w:rPr>
      </w:pPr>
    </w:p>
    <w:p w:rsidR="00ED768E" w:rsidP="006C2E2E" w:rsidRDefault="00ED768E">
      <w:pPr>
        <w:spacing w:line="360" w:lineRule="auto"/>
        <w:ind w:left="720" w:hanging="720"/>
        <w:jc w:val="both"/>
        <w:rPr>
          <w:rFonts w:hint="cs" w:ascii="Arial" w:hAnsi="Arial"/>
          <w:noProof w:val="0"/>
          <w:rtl/>
        </w:rPr>
      </w:pPr>
      <w:r>
        <w:rPr>
          <w:rFonts w:hint="cs" w:ascii="Arial" w:hAnsi="Arial"/>
          <w:noProof w:val="0"/>
          <w:rtl/>
        </w:rPr>
        <w:t>8.</w:t>
      </w:r>
      <w:r>
        <w:rPr>
          <w:rFonts w:hint="cs" w:ascii="Arial" w:hAnsi="Arial"/>
          <w:noProof w:val="0"/>
          <w:rtl/>
        </w:rPr>
        <w:tab/>
        <w:t>התובע אינו מפרט בכתב תביעתו מהו הבסיס החוקי ו/או המשפטי שעל יסודו הוא עותר להורות על מתן הסעד של צו עשה ו/או צו מניעה. אמנם התובע אינו חייב לפרט את סעיפי החוק ע</w:t>
      </w:r>
      <w:r w:rsidR="006C2E2E">
        <w:rPr>
          <w:rFonts w:hint="cs" w:ascii="Arial" w:hAnsi="Arial"/>
          <w:noProof w:val="0"/>
          <w:rtl/>
        </w:rPr>
        <w:t>ליהם הוא מסתמך, ואולם בהעדר סעיפי</w:t>
      </w:r>
      <w:r>
        <w:rPr>
          <w:rFonts w:hint="cs" w:ascii="Arial" w:hAnsi="Arial"/>
          <w:noProof w:val="0"/>
          <w:rtl/>
        </w:rPr>
        <w:t xml:space="preserve"> חוק כאלה, ביהמ"ש יפרש את המפורט בכתב התביעה בהתאם לשכל הישר ולאמור בו. בענייננו, בכתב התביעה טוען התובע להיותו בעל זכויות כלשה</w:t>
      </w:r>
      <w:r w:rsidR="006C2E2E">
        <w:rPr>
          <w:rFonts w:hint="cs" w:ascii="Arial" w:hAnsi="Arial"/>
          <w:noProof w:val="0"/>
          <w:rtl/>
        </w:rPr>
        <w:t>ן</w:t>
      </w:r>
      <w:r>
        <w:rPr>
          <w:rFonts w:hint="cs" w:ascii="Arial" w:hAnsi="Arial"/>
          <w:noProof w:val="0"/>
          <w:rtl/>
        </w:rPr>
        <w:t xml:space="preserve"> בשם העסק שלו וכי הנתבעת עושה שימוש בשם זה. אם כך</w:t>
      </w:r>
      <w:r w:rsidR="006C2E2E">
        <w:rPr>
          <w:rFonts w:hint="cs" w:ascii="Arial" w:hAnsi="Arial"/>
          <w:noProof w:val="0"/>
          <w:rtl/>
        </w:rPr>
        <w:t>,</w:t>
      </w:r>
      <w:r>
        <w:rPr>
          <w:rFonts w:hint="cs" w:ascii="Arial" w:hAnsi="Arial"/>
          <w:noProof w:val="0"/>
          <w:rtl/>
        </w:rPr>
        <w:t xml:space="preserve"> התובע למעשה טוען כי יש לו קניין רוחני בשם העסק שלו, ומשכך המדובר בתובענה </w:t>
      </w:r>
      <w:bookmarkStart w:name="_GoBack" w:id="1"/>
      <w:bookmarkEnd w:id="1"/>
      <w:r>
        <w:rPr>
          <w:rFonts w:hint="cs" w:ascii="Arial" w:hAnsi="Arial"/>
          <w:noProof w:val="0"/>
          <w:rtl/>
        </w:rPr>
        <w:t xml:space="preserve">עוסקת בקניין רוחני </w:t>
      </w:r>
      <w:r>
        <w:rPr>
          <w:rFonts w:hint="cs" w:ascii="Arial" w:hAnsi="Arial"/>
          <w:noProof w:val="0"/>
          <w:rtl/>
        </w:rPr>
        <w:lastRenderedPageBreak/>
        <w:t>שאין ביהמ"ש השלום מוסמך לדון בה הואיל והיא כוללת עתירה לסעד של צו מניעה /או צו עשה.</w:t>
      </w:r>
    </w:p>
    <w:p w:rsidR="00ED768E" w:rsidP="00ED768E" w:rsidRDefault="00ED768E">
      <w:pPr>
        <w:spacing w:line="360" w:lineRule="auto"/>
        <w:ind w:left="720" w:hanging="720"/>
        <w:jc w:val="both"/>
        <w:rPr>
          <w:rFonts w:ascii="Arial" w:hAnsi="Arial"/>
          <w:noProof w:val="0"/>
          <w:rtl/>
        </w:rPr>
      </w:pPr>
    </w:p>
    <w:p w:rsidR="00ED768E" w:rsidP="00ED768E" w:rsidRDefault="00ED768E">
      <w:pPr>
        <w:spacing w:line="360" w:lineRule="auto"/>
        <w:ind w:left="720" w:hanging="720"/>
        <w:jc w:val="both"/>
        <w:rPr>
          <w:rFonts w:hint="cs" w:ascii="Arial" w:hAnsi="Arial"/>
          <w:noProof w:val="0"/>
          <w:rtl/>
        </w:rPr>
      </w:pPr>
      <w:r>
        <w:rPr>
          <w:rFonts w:hint="cs" w:ascii="Arial" w:hAnsi="Arial"/>
          <w:noProof w:val="0"/>
          <w:rtl/>
        </w:rPr>
        <w:t>9.</w:t>
      </w:r>
      <w:r>
        <w:rPr>
          <w:rFonts w:hint="cs" w:ascii="Arial" w:hAnsi="Arial"/>
          <w:noProof w:val="0"/>
          <w:rtl/>
        </w:rPr>
        <w:tab/>
        <w:t>התובע עותר כי לחילופין ביהמ"ש יורה על העברת התובענה לביהמ"ש המחוזי במקום להורות על מחיקתה.</w:t>
      </w:r>
    </w:p>
    <w:p w:rsidR="00ED768E" w:rsidP="00ED768E" w:rsidRDefault="00ED768E">
      <w:pPr>
        <w:spacing w:line="360" w:lineRule="auto"/>
        <w:ind w:left="720" w:hanging="720"/>
        <w:jc w:val="both"/>
        <w:rPr>
          <w:rFonts w:ascii="Arial" w:hAnsi="Arial"/>
          <w:noProof w:val="0"/>
          <w:rtl/>
        </w:rPr>
      </w:pPr>
    </w:p>
    <w:p w:rsidR="00ED768E" w:rsidP="00ED768E" w:rsidRDefault="00ED768E">
      <w:pPr>
        <w:spacing w:line="360" w:lineRule="auto"/>
        <w:ind w:left="720" w:hanging="720"/>
        <w:jc w:val="both"/>
        <w:rPr>
          <w:rFonts w:hint="cs" w:ascii="Arial" w:hAnsi="Arial"/>
          <w:noProof w:val="0"/>
          <w:rtl/>
        </w:rPr>
      </w:pPr>
      <w:r>
        <w:rPr>
          <w:rFonts w:hint="cs" w:ascii="Arial" w:hAnsi="Arial"/>
          <w:noProof w:val="0"/>
          <w:rtl/>
        </w:rPr>
        <w:t>10.</w:t>
      </w:r>
      <w:r>
        <w:rPr>
          <w:rFonts w:hint="cs" w:ascii="Arial" w:hAnsi="Arial"/>
          <w:noProof w:val="0"/>
          <w:rtl/>
        </w:rPr>
        <w:tab/>
        <w:t>אני סבורה כי ככל והתובע מבקש לנהל הליך משפטי בביהמ"ש המחוזי יואיל להגיש את עתירתו ותביעתו בפני ביהמ"ש המחוזי בצורה מסודרת, ומשכך אינני סבורה כי יש להורות על העברת התובענה.</w:t>
      </w:r>
    </w:p>
    <w:p w:rsidR="00ED768E" w:rsidP="00ED768E" w:rsidRDefault="00ED768E">
      <w:pPr>
        <w:spacing w:line="360" w:lineRule="auto"/>
        <w:ind w:left="720" w:hanging="720"/>
        <w:jc w:val="both"/>
        <w:rPr>
          <w:rFonts w:ascii="Arial" w:hAnsi="Arial"/>
          <w:noProof w:val="0"/>
          <w:rtl/>
        </w:rPr>
      </w:pPr>
    </w:p>
    <w:p w:rsidRPr="00ED768E" w:rsidR="00ED768E" w:rsidP="00B36176" w:rsidRDefault="00B36176">
      <w:pPr>
        <w:spacing w:line="360" w:lineRule="auto"/>
        <w:ind w:left="720" w:hanging="720"/>
        <w:jc w:val="both"/>
        <w:rPr>
          <w:rFonts w:hint="cs" w:ascii="Arial" w:hAnsi="Arial"/>
          <w:noProof w:val="0"/>
          <w:rtl/>
        </w:rPr>
      </w:pPr>
      <w:r>
        <w:rPr>
          <w:rFonts w:hint="cs" w:ascii="Arial" w:hAnsi="Arial"/>
          <w:noProof w:val="0"/>
          <w:rtl/>
        </w:rPr>
        <w:t>11</w:t>
      </w:r>
      <w:r w:rsidR="00ED768E">
        <w:rPr>
          <w:rFonts w:hint="cs" w:ascii="Arial" w:hAnsi="Arial"/>
          <w:noProof w:val="0"/>
          <w:rtl/>
        </w:rPr>
        <w:t>.</w:t>
      </w:r>
      <w:r w:rsidR="00ED768E">
        <w:rPr>
          <w:rFonts w:hint="cs" w:ascii="Arial" w:hAnsi="Arial"/>
          <w:noProof w:val="0"/>
          <w:rtl/>
        </w:rPr>
        <w:tab/>
        <w:t xml:space="preserve"> לאור האמ</w:t>
      </w:r>
      <w:r>
        <w:rPr>
          <w:rFonts w:hint="cs" w:ascii="Arial" w:hAnsi="Arial"/>
          <w:noProof w:val="0"/>
          <w:rtl/>
        </w:rPr>
        <w:t>ור אני מורה על מחיקת התובענה, ככל והתובע יפנה לביהמ"ש המחוזי ישקול ביהמ"ש המחוזי את נושא ההוצאות בכלל יתר שיקוליו. האגרה תוחזר לתובע בהתאם לתקנות הואיל וטרם התקיים דיון בתובענה.</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FD175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77340" cy="557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62df6c8e4c147e7" cstate="print">
                            <a:extLst>
                              <a:ext uri="{28A0092B-C50C-407E-A947-70E740481C1C}"/>
                            </a:extLst>
                          </a:blip>
                          <a:stretch>
                            <a:fillRect/>
                          </a:stretch>
                        </pic:blipFill>
                        <pic:spPr>
                          <a:xfrm>
                            <a:off x="0" y="0"/>
                            <a:ext cx="1577340" cy="557784"/>
                          </a:xfrm>
                          <a:prstGeom prst="rect">
                            <a:avLst/>
                          </a:prstGeom>
                        </pic:spPr>
                      </pic:pic>
                    </a:graphicData>
                  </a:graphic>
                </wp:inline>
              </w:drawing>
            </w:r>
          </w:p>
        </w:sdtContent>
      </w:sdt>
    </w:p>
    <w:sectPr w:rsidR="00694556" w:rsidSect="00954A70">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FD1759">
      <w:rPr>
        <w:rStyle w:val="ab"/>
        <w:rtl/>
      </w:rPr>
      <w:t>2</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FD1759">
      <w:rPr>
        <w:rStyle w:val="ab"/>
        <w:rtl/>
      </w:rPr>
      <w:t>3</w:t>
    </w:r>
    <w:r w:rsidRPr="00386327">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D2431">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FD1759">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5713-12-17</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פרולין נ' gett</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80519"/>
    <w:rsid w:val="00191C82"/>
    <w:rsid w:val="001C3FD7"/>
    <w:rsid w:val="001C4003"/>
    <w:rsid w:val="001D3441"/>
    <w:rsid w:val="001D4DBF"/>
    <w:rsid w:val="001E75CA"/>
    <w:rsid w:val="002265FF"/>
    <w:rsid w:val="00271B56"/>
    <w:rsid w:val="00291593"/>
    <w:rsid w:val="002C344E"/>
    <w:rsid w:val="002D2705"/>
    <w:rsid w:val="002D7668"/>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40096C"/>
    <w:rsid w:val="00414F1F"/>
    <w:rsid w:val="0043125D"/>
    <w:rsid w:val="0043502B"/>
    <w:rsid w:val="004443AC"/>
    <w:rsid w:val="00451E28"/>
    <w:rsid w:val="00462C62"/>
    <w:rsid w:val="00465D36"/>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D2431"/>
    <w:rsid w:val="005F4F09"/>
    <w:rsid w:val="0061431B"/>
    <w:rsid w:val="00617CEE"/>
    <w:rsid w:val="00622BAA"/>
    <w:rsid w:val="006306CF"/>
    <w:rsid w:val="00640603"/>
    <w:rsid w:val="00644E9A"/>
    <w:rsid w:val="00671BD5"/>
    <w:rsid w:val="006805C1"/>
    <w:rsid w:val="006841E0"/>
    <w:rsid w:val="00686C21"/>
    <w:rsid w:val="006931C1"/>
    <w:rsid w:val="00694556"/>
    <w:rsid w:val="006C2E2E"/>
    <w:rsid w:val="006C30C5"/>
    <w:rsid w:val="006D3B31"/>
    <w:rsid w:val="006E0D96"/>
    <w:rsid w:val="006E1A53"/>
    <w:rsid w:val="006F56E6"/>
    <w:rsid w:val="00704EDA"/>
    <w:rsid w:val="00721122"/>
    <w:rsid w:val="00744B1C"/>
    <w:rsid w:val="00753019"/>
    <w:rsid w:val="00754801"/>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24AB"/>
    <w:rsid w:val="00896889"/>
    <w:rsid w:val="00897713"/>
    <w:rsid w:val="008C5714"/>
    <w:rsid w:val="008C7A1D"/>
    <w:rsid w:val="008D10B2"/>
    <w:rsid w:val="008E3E78"/>
    <w:rsid w:val="00903896"/>
    <w:rsid w:val="00906F3D"/>
    <w:rsid w:val="00912A5E"/>
    <w:rsid w:val="0094424E"/>
    <w:rsid w:val="00954A70"/>
    <w:rsid w:val="00955642"/>
    <w:rsid w:val="009622DF"/>
    <w:rsid w:val="00967DFF"/>
    <w:rsid w:val="00994341"/>
    <w:rsid w:val="009B4939"/>
    <w:rsid w:val="009D1A48"/>
    <w:rsid w:val="009E1CE7"/>
    <w:rsid w:val="009E4EA5"/>
    <w:rsid w:val="009E5DED"/>
    <w:rsid w:val="009F164B"/>
    <w:rsid w:val="009F323C"/>
    <w:rsid w:val="00A03128"/>
    <w:rsid w:val="00A3392B"/>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44A6"/>
    <w:rsid w:val="00B3617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71A7C"/>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587E"/>
    <w:rsid w:val="00DE6BF6"/>
    <w:rsid w:val="00E1068A"/>
    <w:rsid w:val="00E25884"/>
    <w:rsid w:val="00E25B55"/>
    <w:rsid w:val="00E31C2B"/>
    <w:rsid w:val="00E37181"/>
    <w:rsid w:val="00E5426A"/>
    <w:rsid w:val="00E54642"/>
    <w:rsid w:val="00E80CBE"/>
    <w:rsid w:val="00E87DA0"/>
    <w:rsid w:val="00E962E3"/>
    <w:rsid w:val="00EB23B9"/>
    <w:rsid w:val="00EB6C79"/>
    <w:rsid w:val="00EC37E9"/>
    <w:rsid w:val="00ED0094"/>
    <w:rsid w:val="00ED768E"/>
    <w:rsid w:val="00F06995"/>
    <w:rsid w:val="00F13623"/>
    <w:rsid w:val="00F44D1D"/>
    <w:rsid w:val="00F53FE3"/>
    <w:rsid w:val="00F84B6D"/>
    <w:rsid w:val="00FA4EAF"/>
    <w:rsid w:val="00FA5FDA"/>
    <w:rsid w:val="00FB6AB3"/>
    <w:rsid w:val="00FD1419"/>
    <w:rsid w:val="00FD175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3110665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e62df6c8e4c147e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701</Words>
  <Characters>3508</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רחל ערקובי</cp:lastModifiedBy>
  <cp:revision>160</cp:revision>
  <dcterms:created xsi:type="dcterms:W3CDTF">2012-08-06T05:16:00Z</dcterms:created>
  <dcterms:modified xsi:type="dcterms:W3CDTF">2018-04-11T07:37:00Z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