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8"/>
          <w:szCs w:val="28"/>
          <w:rtl/>
        </w:rPr>
        <w:alias w:val="1456"/>
        <w:tag w:val="1456"/>
        <w:id w:val="-1921862679"/>
        <w:text/>
      </w:sdtPr>
      <w:sdtEndPr/>
      <w:sdtContent>
        <w:p>
          <w:pPr>
            <w:pStyle w:val="a3"/>
            <w:jc w:val="right"/>
            <w:rPr>
              <w:sz w:val="28"/>
              <w:szCs w:val="28"/>
              <w:rtl/>
            </w:rPr>
          </w:pPr>
          <w:r>
            <w:rPr>
              <w:b/>
              <w:bCs/>
              <w:noProof w:val="0"/>
              <w:sz w:val="28"/>
              <w:szCs w:val="28"/>
              <w:rtl/>
            </w:rPr>
            <w:t>11 אפריל 2018</w:t>
          </w:r>
        </w:p>
      </w:sdtContent>
    </w:sdt>
    <w:p w:rsidRPr="0032390E" w:rsidR="00694556" w:rsidRDefault="00694556">
      <w:pPr>
        <w:rPr>
          <w:sz w:val="28"/>
          <w:szCs w:val="28"/>
          <w:rtl/>
        </w:rPr>
      </w:pPr>
    </w:p>
    <w:p w:rsidRPr="00620612" w:rsidR="00620612" w:rsidP="00620612" w:rsidRDefault="00620612">
      <w:pPr>
        <w:rPr>
          <w:rFonts w:ascii="Arial" w:hAnsi="Arial" w:eastAsia="Calibri"/>
          <w:b/>
          <w:bCs/>
          <w:noProof w:val="0"/>
          <w:sz w:val="28"/>
          <w:szCs w:val="28"/>
        </w:rPr>
      </w:pPr>
      <w:r w:rsidRPr="00620612">
        <w:rPr>
          <w:rFonts w:hint="cs" w:ascii="Arial" w:hAnsi="Arial" w:eastAsia="Calibri"/>
          <w:b/>
          <w:bCs/>
          <w:noProof w:val="0"/>
          <w:sz w:val="28"/>
          <w:szCs w:val="28"/>
          <w:rtl/>
        </w:rPr>
        <w:t>לפני</w:t>
      </w:r>
    </w:p>
    <w:p w:rsidRPr="00620612" w:rsidR="00620612" w:rsidP="00620612" w:rsidRDefault="00620612">
      <w:pPr>
        <w:rPr>
          <w:rFonts w:hint="cs" w:ascii="Arial" w:hAnsi="Arial" w:eastAsia="Calibri"/>
          <w:b/>
          <w:bCs/>
          <w:noProof w:val="0"/>
          <w:sz w:val="28"/>
          <w:szCs w:val="28"/>
          <w:rtl/>
        </w:rPr>
      </w:pPr>
      <w:r w:rsidRPr="00620612">
        <w:rPr>
          <w:rFonts w:hint="cs" w:ascii="Arial" w:hAnsi="Arial" w:eastAsia="Calibri"/>
          <w:b/>
          <w:bCs/>
          <w:noProof w:val="0"/>
          <w:sz w:val="28"/>
          <w:szCs w:val="28"/>
          <w:rtl/>
        </w:rPr>
        <w:t>כב' השופט  דורי  ספיבק</w:t>
      </w:r>
    </w:p>
    <w:p w:rsidRPr="00620612" w:rsidR="00620612" w:rsidP="00620612" w:rsidRDefault="00620612">
      <w:pPr>
        <w:rPr>
          <w:rFonts w:hint="cs" w:ascii="Arial" w:hAnsi="Arial" w:eastAsia="Calibri"/>
          <w:b/>
          <w:bCs/>
          <w:noProof w:val="0"/>
          <w:sz w:val="28"/>
          <w:szCs w:val="28"/>
          <w:rtl/>
        </w:rPr>
      </w:pPr>
    </w:p>
    <w:tbl>
      <w:tblPr>
        <w:tblStyle w:val="2"/>
        <w:bidiVisual/>
        <w:tblW w:w="882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5571"/>
      </w:tblGrid>
      <w:tr w:rsidRPr="00620612" w:rsidR="00620612" w:rsidTr="00620612">
        <w:trPr>
          <w:jc w:val="center"/>
        </w:trPr>
        <w:tc>
          <w:tcPr>
            <w:tcW w:w="3249" w:type="dxa"/>
            <w:hideMark/>
          </w:tcPr>
          <w:p w:rsidRPr="00620612" w:rsidR="00620612" w:rsidP="00620612" w:rsidRDefault="00620612">
            <w:pPr>
              <w:spacing w:after="200" w:line="276" w:lineRule="auto"/>
              <w:jc w:val="left"/>
              <w:rPr>
                <w:rFonts w:hint="cs" w:ascii="Arial" w:hAnsi="Arial" w:eastAsia="Calibri" w:cs="Times New Roman"/>
                <w:b/>
                <w:bCs/>
                <w:noProof w:val="0"/>
                <w:sz w:val="28"/>
                <w:szCs w:val="28"/>
                <w:u w:val="single"/>
                <w:rtl/>
              </w:rPr>
            </w:pPr>
            <w:r w:rsidRPr="00620612">
              <w:rPr>
                <w:rFonts w:ascii="Calibri" w:hAnsi="Calibri" w:eastAsia="Calibri" w:cs="Arial"/>
                <w:b/>
                <w:bCs/>
                <w:noProof w:val="0"/>
                <w:sz w:val="28"/>
                <w:szCs w:val="28"/>
                <w:u w:val="single"/>
                <w:rtl/>
              </w:rPr>
              <w:t>ה</w:t>
            </w:r>
            <w:sdt>
              <w:sdtPr>
                <w:rPr>
                  <w:rFonts w:ascii="Calibri" w:hAnsi="Calibri" w:eastAsia="Calibri" w:cs="Arial"/>
                  <w:b/>
                  <w:bCs/>
                  <w:noProof w:val="0"/>
                  <w:sz w:val="28"/>
                  <w:szCs w:val="28"/>
                  <w:u w:val="single"/>
                  <w:rtl/>
                </w:rPr>
                <w:alias w:val="1180"/>
                <w:tag w:val="1180"/>
                <w:id w:val="1779448001"/>
                <w:text w:multiLine="1"/>
              </w:sdtPr>
              <w:sdtContent>
                <w:r w:rsidRPr="00620612">
                  <w:rPr>
                    <w:rFonts w:ascii="Calibri" w:hAnsi="Calibri" w:eastAsia="Calibri" w:cs="Arial"/>
                    <w:b/>
                    <w:bCs/>
                    <w:noProof w:val="0"/>
                    <w:sz w:val="28"/>
                    <w:szCs w:val="28"/>
                    <w:u w:val="single"/>
                    <w:rtl/>
                  </w:rPr>
                  <w:t>מערער</w:t>
                </w:r>
              </w:sdtContent>
            </w:sdt>
          </w:p>
        </w:tc>
        <w:tc>
          <w:tcPr>
            <w:tcW w:w="5571" w:type="dxa"/>
            <w:hideMark/>
          </w:tcPr>
          <w:p w:rsidRPr="00620612" w:rsidR="00620612" w:rsidP="00620612" w:rsidRDefault="00620612">
            <w:pPr>
              <w:spacing w:after="200" w:line="276" w:lineRule="auto"/>
              <w:jc w:val="left"/>
              <w:rPr>
                <w:rFonts w:eastAsia="Calibri" w:cs="Arial"/>
                <w:noProof w:val="0"/>
                <w:sz w:val="28"/>
                <w:szCs w:val="28"/>
              </w:rPr>
            </w:pPr>
            <w:sdt>
              <w:sdtPr>
                <w:rPr>
                  <w:rFonts w:ascii="Calibri" w:hAnsi="Calibri" w:eastAsia="Calibri" w:cs="Arial"/>
                  <w:b/>
                  <w:bCs/>
                  <w:noProof w:val="0"/>
                  <w:sz w:val="28"/>
                  <w:szCs w:val="28"/>
                  <w:rtl/>
                </w:rPr>
                <w:alias w:val="1478"/>
                <w:tag w:val="1478"/>
                <w:id w:val="-2074341511"/>
                <w:text w:multiLine="1"/>
              </w:sdtPr>
              <w:sdtContent>
                <w:r w:rsidRPr="00620612">
                  <w:rPr>
                    <w:rFonts w:ascii="Calibri" w:hAnsi="Calibri" w:eastAsia="Calibri" w:cs="Arial"/>
                    <w:b/>
                    <w:bCs/>
                    <w:noProof w:val="0"/>
                    <w:sz w:val="28"/>
                    <w:szCs w:val="28"/>
                    <w:rtl/>
                  </w:rPr>
                  <w:t>פלוני</w:t>
                </w:r>
                <w:r w:rsidRPr="00620612">
                  <w:rPr>
                    <w:rFonts w:ascii="Calibri" w:hAnsi="Calibri" w:eastAsia="Calibri" w:cs="Arial"/>
                    <w:b/>
                    <w:bCs/>
                    <w:noProof w:val="0"/>
                    <w:sz w:val="28"/>
                    <w:szCs w:val="28"/>
                    <w:rtl/>
                  </w:rPr>
                  <w:br/>
                  <w:t>ע"י עו"ד מוטי זילבר (סיוע משפטי)</w:t>
                </w:r>
              </w:sdtContent>
            </w:sdt>
          </w:p>
        </w:tc>
      </w:tr>
      <w:tr w:rsidRPr="00620612" w:rsidR="00620612" w:rsidTr="00620612">
        <w:trPr>
          <w:jc w:val="center"/>
        </w:trPr>
        <w:tc>
          <w:tcPr>
            <w:tcW w:w="8820" w:type="dxa"/>
            <w:gridSpan w:val="2"/>
            <w:hideMark/>
          </w:tcPr>
          <w:p w:rsidRPr="00620612" w:rsidR="00620612" w:rsidP="00620612" w:rsidRDefault="00620612">
            <w:pPr>
              <w:spacing w:before="240" w:after="240" w:line="276" w:lineRule="auto"/>
              <w:jc w:val="center"/>
              <w:rPr>
                <w:rFonts w:ascii="Arial" w:hAnsi="Arial" w:eastAsia="Calibri" w:cs="Arial"/>
                <w:b/>
                <w:bCs/>
                <w:noProof w:val="0"/>
                <w:sz w:val="28"/>
                <w:szCs w:val="28"/>
                <w:rtl/>
              </w:rPr>
            </w:pPr>
            <w:r w:rsidRPr="00620612">
              <w:rPr>
                <w:rFonts w:ascii="Arial" w:hAnsi="Arial" w:eastAsia="Calibri" w:cs="Arial"/>
                <w:b/>
                <w:bCs/>
                <w:noProof w:val="0"/>
                <w:sz w:val="28"/>
                <w:szCs w:val="28"/>
                <w:rtl/>
              </w:rPr>
              <w:t>-</w:t>
            </w:r>
          </w:p>
        </w:tc>
      </w:tr>
      <w:tr w:rsidRPr="00620612" w:rsidR="00620612" w:rsidTr="00620612">
        <w:trPr>
          <w:jc w:val="center"/>
        </w:trPr>
        <w:tc>
          <w:tcPr>
            <w:tcW w:w="3249" w:type="dxa"/>
            <w:hideMark/>
          </w:tcPr>
          <w:p w:rsidRPr="00620612" w:rsidR="00620612" w:rsidP="00620612" w:rsidRDefault="00620612">
            <w:pPr>
              <w:spacing w:after="200" w:line="276" w:lineRule="auto"/>
              <w:jc w:val="left"/>
              <w:rPr>
                <w:rFonts w:ascii="Arial" w:hAnsi="Arial" w:eastAsia="Calibri" w:cs="Arial"/>
                <w:b/>
                <w:bCs/>
                <w:noProof w:val="0"/>
                <w:sz w:val="28"/>
                <w:szCs w:val="28"/>
                <w:u w:val="single"/>
              </w:rPr>
            </w:pPr>
            <w:r w:rsidRPr="00620612">
              <w:rPr>
                <w:rFonts w:ascii="Calibri" w:hAnsi="Calibri" w:eastAsia="Calibri" w:cs="Arial"/>
                <w:b/>
                <w:bCs/>
                <w:noProof w:val="0"/>
                <w:sz w:val="28"/>
                <w:szCs w:val="28"/>
                <w:u w:val="single"/>
                <w:rtl/>
              </w:rPr>
              <w:t>ה</w:t>
            </w:r>
            <w:sdt>
              <w:sdtPr>
                <w:rPr>
                  <w:rFonts w:ascii="Calibri" w:hAnsi="Calibri" w:eastAsia="Calibri" w:cs="Arial"/>
                  <w:b/>
                  <w:bCs/>
                  <w:noProof w:val="0"/>
                  <w:sz w:val="28"/>
                  <w:szCs w:val="28"/>
                  <w:u w:val="single"/>
                  <w:rtl/>
                </w:rPr>
                <w:alias w:val="1184"/>
                <w:tag w:val="1184"/>
                <w:id w:val="-730838944"/>
                <w:text w:multiLine="1"/>
              </w:sdtPr>
              <w:sdtContent>
                <w:r w:rsidRPr="00620612">
                  <w:rPr>
                    <w:rFonts w:ascii="Calibri" w:hAnsi="Calibri" w:eastAsia="Calibri" w:cs="Arial"/>
                    <w:b/>
                    <w:bCs/>
                    <w:noProof w:val="0"/>
                    <w:sz w:val="28"/>
                    <w:szCs w:val="28"/>
                    <w:u w:val="single"/>
                    <w:rtl/>
                  </w:rPr>
                  <w:t>משיב</w:t>
                </w:r>
              </w:sdtContent>
            </w:sdt>
          </w:p>
        </w:tc>
        <w:tc>
          <w:tcPr>
            <w:tcW w:w="5571" w:type="dxa"/>
            <w:hideMark/>
          </w:tcPr>
          <w:p w:rsidRPr="00620612" w:rsidR="00620612" w:rsidP="00620612" w:rsidRDefault="00620612">
            <w:pPr>
              <w:spacing w:after="200" w:line="276" w:lineRule="auto"/>
              <w:jc w:val="left"/>
              <w:rPr>
                <w:rFonts w:eastAsia="Calibri" w:cs="Arial"/>
                <w:b/>
                <w:bCs/>
                <w:noProof w:val="0"/>
                <w:sz w:val="28"/>
                <w:szCs w:val="28"/>
              </w:rPr>
            </w:pPr>
            <w:sdt>
              <w:sdtPr>
                <w:rPr>
                  <w:rFonts w:ascii="Calibri" w:hAnsi="Calibri" w:eastAsia="Calibri" w:cs="Arial"/>
                  <w:b/>
                  <w:bCs/>
                  <w:noProof w:val="0"/>
                  <w:sz w:val="28"/>
                  <w:szCs w:val="28"/>
                  <w:rtl/>
                </w:rPr>
                <w:alias w:val="1486"/>
                <w:tag w:val="1486"/>
                <w:id w:val="1865319451"/>
                <w:text w:multiLine="1"/>
              </w:sdtPr>
              <w:sdtContent>
                <w:r w:rsidRPr="00620612">
                  <w:rPr>
                    <w:rFonts w:ascii="Calibri" w:hAnsi="Calibri" w:eastAsia="Calibri" w:cs="Arial"/>
                    <w:b/>
                    <w:bCs/>
                    <w:noProof w:val="0"/>
                    <w:sz w:val="28"/>
                    <w:szCs w:val="28"/>
                    <w:rtl/>
                  </w:rPr>
                  <w:t>המוסד לביטוח לאומי</w:t>
                </w:r>
              </w:sdtContent>
            </w:sdt>
          </w:p>
          <w:p w:rsidRPr="00620612" w:rsidR="00620612" w:rsidP="00620612" w:rsidRDefault="00620612">
            <w:pPr>
              <w:spacing w:after="200" w:line="276" w:lineRule="auto"/>
              <w:jc w:val="left"/>
              <w:rPr>
                <w:rFonts w:ascii="Calibri" w:hAnsi="Calibri" w:eastAsia="Calibri" w:cs="Arial"/>
                <w:noProof w:val="0"/>
                <w:sz w:val="28"/>
                <w:szCs w:val="28"/>
              </w:rPr>
            </w:pPr>
            <w:r w:rsidRPr="00620612">
              <w:rPr>
                <w:rFonts w:ascii="Calibri" w:hAnsi="Calibri" w:eastAsia="Calibri" w:cs="Arial"/>
                <w:noProof w:val="0"/>
                <w:sz w:val="28"/>
                <w:szCs w:val="28"/>
                <w:rtl/>
              </w:rPr>
              <w:t>ע"י עו"ד איילת ברעם</w:t>
            </w:r>
          </w:p>
        </w:tc>
      </w:tr>
    </w:tbl>
    <w:p w:rsidRPr="00620612" w:rsidR="00620612" w:rsidP="00620612" w:rsidRDefault="00620612">
      <w:pPr>
        <w:spacing w:after="200" w:line="276" w:lineRule="auto"/>
        <w:rPr>
          <w:rFonts w:ascii="Calibri" w:hAnsi="Calibri" w:eastAsia="Calibri"/>
          <w:noProof w:val="0"/>
          <w:rtl/>
        </w:rPr>
      </w:pPr>
    </w:p>
    <w:p w:rsidRPr="00620612" w:rsidR="00620612" w:rsidP="00620612" w:rsidRDefault="00620612">
      <w:pPr>
        <w:spacing w:after="200" w:line="276" w:lineRule="auto"/>
        <w:rPr>
          <w:rFonts w:hint="cs" w:ascii="Calibri" w:hAnsi="Calibri" w:eastAsia="Calibri" w:cs="Arial"/>
          <w:noProof w:val="0"/>
          <w:sz w:val="28"/>
          <w:szCs w:val="28"/>
          <w:rtl/>
        </w:rPr>
      </w:pPr>
    </w:p>
    <w:tbl>
      <w:tblPr>
        <w:tblStyle w:val="2"/>
        <w:bidiVisual/>
        <w:tblW w:w="882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620612" w:rsidR="00620612" w:rsidTr="00620612">
        <w:trPr>
          <w:jc w:val="center"/>
        </w:trPr>
        <w:tc>
          <w:tcPr>
            <w:tcW w:w="8820" w:type="dxa"/>
            <w:hideMark/>
          </w:tcPr>
          <w:p w:rsidRPr="00620612" w:rsidR="00620612" w:rsidP="00620612" w:rsidRDefault="00620612">
            <w:pPr>
              <w:bidi w:val="0"/>
              <w:spacing w:after="200" w:line="276" w:lineRule="auto"/>
              <w:jc w:val="center"/>
              <w:rPr>
                <w:rFonts w:ascii="Arial" w:hAnsi="Arial" w:eastAsia="Calibri" w:cs="Arial"/>
                <w:b/>
                <w:bCs/>
                <w:noProof w:val="0"/>
                <w:sz w:val="34"/>
                <w:szCs w:val="34"/>
                <w:u w:val="single"/>
              </w:rPr>
            </w:pPr>
            <w:r w:rsidRPr="00620612">
              <w:rPr>
                <w:rFonts w:ascii="Arial" w:hAnsi="Arial" w:eastAsia="Calibri" w:cs="Arial"/>
                <w:b/>
                <w:bCs/>
                <w:noProof w:val="0"/>
                <w:sz w:val="34"/>
                <w:szCs w:val="34"/>
                <w:u w:val="single"/>
                <w:rtl/>
              </w:rPr>
              <w:t>פסק דין</w:t>
            </w:r>
          </w:p>
        </w:tc>
      </w:tr>
    </w:tbl>
    <w:tbl>
      <w:tblPr>
        <w:bidiVisual/>
        <w:tblW w:w="8820" w:type="dxa"/>
        <w:jc w:val="center"/>
        <w:tblCellMar>
          <w:left w:w="0" w:type="dxa"/>
          <w:right w:w="0" w:type="dxa"/>
        </w:tblCellMar>
        <w:tblLook w:val="04A0" w:firstRow="1" w:lastRow="0" w:firstColumn="1" w:lastColumn="0" w:noHBand="0" w:noVBand="1"/>
      </w:tblPr>
      <w:tblGrid>
        <w:gridCol w:w="8820"/>
      </w:tblGrid>
      <w:tr w:rsidRPr="00620612" w:rsidR="00620612" w:rsidTr="00620612">
        <w:trPr>
          <w:jc w:val="center"/>
        </w:trPr>
        <w:tc>
          <w:tcPr>
            <w:tcW w:w="8820" w:type="dxa"/>
            <w:tcMar>
              <w:top w:w="0" w:type="dxa"/>
              <w:left w:w="108" w:type="dxa"/>
              <w:bottom w:w="0" w:type="dxa"/>
              <w:right w:w="108" w:type="dxa"/>
            </w:tcMar>
          </w:tcPr>
          <w:p w:rsidRPr="00620612" w:rsidR="00620612" w:rsidP="00620612" w:rsidRDefault="00620612">
            <w:pPr>
              <w:bidi w:val="0"/>
              <w:spacing w:after="160" w:line="252" w:lineRule="auto"/>
              <w:ind w:left="720"/>
              <w:contextualSpacing/>
              <w:jc w:val="center"/>
              <w:rPr>
                <w:rFonts w:ascii="Arial" w:hAnsi="Arial" w:eastAsia="Calibri" w:cs="Arial"/>
                <w:b/>
                <w:bCs/>
                <w:noProof w:val="0"/>
                <w:sz w:val="34"/>
                <w:szCs w:val="34"/>
                <w:u w:val="single"/>
              </w:rPr>
            </w:pPr>
          </w:p>
        </w:tc>
      </w:tr>
    </w:tbl>
    <w:p w:rsidRPr="00620612" w:rsidR="00620612" w:rsidP="00620612" w:rsidRDefault="00620612">
      <w:pPr>
        <w:tabs>
          <w:tab w:val="num" w:pos="1076"/>
        </w:tabs>
        <w:spacing w:after="360" w:line="360" w:lineRule="auto"/>
        <w:ind w:left="369" w:right="284"/>
        <w:jc w:val="both"/>
        <w:rPr>
          <w:rFonts w:ascii="FrankRuehl" w:hAnsi="FrankRuehl" w:cs="FrankRuehl"/>
          <w:noProof w:val="0"/>
          <w:spacing w:val="10"/>
          <w:sz w:val="22"/>
          <w:szCs w:val="28"/>
        </w:rPr>
      </w:pPr>
      <w:r>
        <w:rPr>
          <w:rFonts w:hint="cs" w:ascii="FrankRuehl" w:hAnsi="FrankRuehl" w:cs="FrankRuehl"/>
          <w:noProof w:val="0"/>
          <w:spacing w:val="10"/>
          <w:sz w:val="22"/>
          <w:szCs w:val="28"/>
          <w:rtl/>
        </w:rPr>
        <w:t>1.</w:t>
      </w:r>
      <w:r>
        <w:rPr>
          <w:rFonts w:hint="cs" w:ascii="FrankRuehl" w:hAnsi="FrankRuehl" w:cs="FrankRuehl"/>
          <w:noProof w:val="0"/>
          <w:spacing w:val="10"/>
          <w:sz w:val="22"/>
          <w:szCs w:val="28"/>
          <w:rtl/>
        </w:rPr>
        <w:tab/>
      </w:r>
      <w:r w:rsidRPr="00620612">
        <w:rPr>
          <w:rFonts w:hint="cs" w:ascii="FrankRuehl" w:hAnsi="FrankRuehl" w:cs="FrankRuehl"/>
          <w:noProof w:val="0"/>
          <w:spacing w:val="10"/>
          <w:sz w:val="22"/>
          <w:szCs w:val="28"/>
          <w:rtl/>
        </w:rPr>
        <w:t xml:space="preserve">לפני ערעור על </w:t>
      </w:r>
      <w:r w:rsidRPr="00620612">
        <w:rPr>
          <w:rFonts w:ascii="FrankRuehl" w:hAnsi="FrankRuehl" w:cs="FrankRuehl"/>
          <w:noProof w:val="0"/>
          <w:spacing w:val="10"/>
          <w:sz w:val="22"/>
          <w:szCs w:val="28"/>
          <w:rtl/>
        </w:rPr>
        <w:t>החלטת</w:t>
      </w:r>
      <w:r w:rsidRPr="00620612">
        <w:rPr>
          <w:rFonts w:hint="cs" w:ascii="FrankRuehl" w:hAnsi="FrankRuehl" w:cs="FrankRuehl"/>
          <w:noProof w:val="0"/>
          <w:spacing w:val="10"/>
          <w:sz w:val="22"/>
          <w:szCs w:val="28"/>
          <w:rtl/>
        </w:rPr>
        <w:t xml:space="preserve"> הוועדה לעררים (אי כושר) מיום 2.11.16 לפיה המערער לא איבד 50% מכושר השתכרותו.  </w:t>
      </w:r>
    </w:p>
    <w:p w:rsidRPr="00620612" w:rsidR="00620612" w:rsidP="00620612" w:rsidRDefault="00620612">
      <w:pPr>
        <w:spacing w:after="120" w:line="360" w:lineRule="auto"/>
        <w:ind w:firstLine="360"/>
        <w:jc w:val="both"/>
        <w:rPr>
          <w:rFonts w:hint="cs" w:ascii="Miriam" w:hAnsi="Miriam" w:cs="Miriam"/>
          <w:noProof w:val="0"/>
          <w:spacing w:val="10"/>
          <w:u w:val="single"/>
        </w:rPr>
      </w:pPr>
      <w:r w:rsidRPr="00620612">
        <w:rPr>
          <w:rFonts w:ascii="Miriam" w:hAnsi="Miriam" w:cs="Miriam"/>
          <w:noProof w:val="0"/>
          <w:spacing w:val="10"/>
          <w:u w:val="single"/>
          <w:rtl/>
        </w:rPr>
        <w:t>רקע עובדתי ומהלך ההתדיינות</w:t>
      </w:r>
    </w:p>
    <w:p w:rsidRPr="00620612" w:rsidR="00620612" w:rsidP="00620612" w:rsidRDefault="00620612">
      <w:pPr>
        <w:tabs>
          <w:tab w:val="num" w:pos="1076"/>
        </w:tabs>
        <w:spacing w:after="360" w:line="360" w:lineRule="auto"/>
        <w:ind w:left="369" w:right="284"/>
        <w:jc w:val="both"/>
        <w:rPr>
          <w:rFonts w:ascii="FrankRuehl" w:hAnsi="FrankRuehl" w:cs="FrankRuehl"/>
          <w:noProof w:val="0"/>
          <w:spacing w:val="10"/>
          <w:sz w:val="22"/>
          <w:szCs w:val="28"/>
          <w:rtl/>
        </w:rPr>
      </w:pPr>
      <w:r>
        <w:rPr>
          <w:rFonts w:hint="cs" w:ascii="FrankRuehl" w:hAnsi="FrankRuehl" w:cs="FrankRuehl"/>
          <w:noProof w:val="0"/>
          <w:spacing w:val="10"/>
          <w:sz w:val="22"/>
          <w:szCs w:val="28"/>
          <w:rtl/>
        </w:rPr>
        <w:t>2.</w:t>
      </w:r>
      <w:r>
        <w:rPr>
          <w:rFonts w:hint="cs" w:ascii="FrankRuehl" w:hAnsi="FrankRuehl" w:cs="FrankRuehl"/>
          <w:noProof w:val="0"/>
          <w:spacing w:val="10"/>
          <w:sz w:val="22"/>
          <w:szCs w:val="28"/>
          <w:rtl/>
        </w:rPr>
        <w:tab/>
      </w:r>
      <w:r w:rsidRPr="00620612">
        <w:rPr>
          <w:rFonts w:hint="cs" w:ascii="FrankRuehl" w:hAnsi="FrankRuehl" w:cs="FrankRuehl"/>
          <w:noProof w:val="0"/>
          <w:spacing w:val="10"/>
          <w:sz w:val="22"/>
          <w:szCs w:val="28"/>
          <w:rtl/>
        </w:rPr>
        <w:t xml:space="preserve">המערער, יליד 1995, סובל ממחלת אסטמה קשה מילדות, והיה זכאי לגמלת ילד נכה בגינה. </w:t>
      </w:r>
    </w:p>
    <w:p w:rsidRPr="00620612" w:rsidR="00620612" w:rsidP="00620612" w:rsidRDefault="00620612">
      <w:pPr>
        <w:spacing w:after="360" w:line="360" w:lineRule="auto"/>
        <w:ind w:left="369" w:right="284" w:firstLine="707"/>
        <w:jc w:val="both"/>
        <w:rPr>
          <w:rFonts w:hint="cs" w:ascii="FrankRuehl" w:hAnsi="FrankRuehl" w:cs="FrankRuehl"/>
          <w:noProof w:val="0"/>
          <w:spacing w:val="10"/>
          <w:sz w:val="22"/>
          <w:szCs w:val="28"/>
          <w:rtl/>
        </w:rPr>
      </w:pPr>
      <w:r w:rsidRPr="00620612">
        <w:rPr>
          <w:rFonts w:hint="cs" w:ascii="FrankRuehl" w:hAnsi="FrankRuehl" w:cs="FrankRuehl"/>
          <w:noProof w:val="0"/>
          <w:spacing w:val="10"/>
          <w:sz w:val="22"/>
          <w:szCs w:val="28"/>
          <w:rtl/>
        </w:rPr>
        <w:t>ועדה רפואית מדרג ראשון מיום 8.12.13 קבעה לו נכות רפואית משוקללת בשיעור 60% בגין אסטמה קשה, לפי פריט ליקוי 5(1)(ד) ל</w:t>
      </w:r>
      <w:r w:rsidRPr="00620612">
        <w:rPr>
          <w:rFonts w:ascii="Miriam" w:hAnsi="Miriam" w:cs="Miriam"/>
          <w:noProof w:val="0"/>
          <w:spacing w:val="10"/>
          <w:rtl/>
        </w:rPr>
        <w:t>תקנות הביטוח הלאומי (קביעת דרגת נכות לנפגעי עבודה), התשט"ז-1956</w:t>
      </w:r>
      <w:r w:rsidRPr="00620612">
        <w:rPr>
          <w:rFonts w:hint="cs" w:ascii="FrankRuehl" w:hAnsi="FrankRuehl" w:cs="FrankRuehl"/>
          <w:noProof w:val="0"/>
          <w:spacing w:val="10"/>
          <w:sz w:val="22"/>
          <w:szCs w:val="28"/>
          <w:rtl/>
        </w:rPr>
        <w:t xml:space="preserve">  החלות אף בקביעת אחוזי נכות רפואית בביטוח נכות. ערעור שהוגש לועדה הרפואית לעררים (נכות כללית) לא נדון לגופו על ידי הוועדה שהתכנסה ביום 21.6.14. </w:t>
      </w:r>
    </w:p>
    <w:p w:rsidRPr="00620612" w:rsidR="00620612" w:rsidP="00620612" w:rsidRDefault="00620612">
      <w:pPr>
        <w:spacing w:after="360" w:line="360" w:lineRule="auto"/>
        <w:ind w:left="369" w:right="284" w:firstLine="707"/>
        <w:jc w:val="both"/>
        <w:rPr>
          <w:rFonts w:hint="cs" w:ascii="FrankRuehl" w:hAnsi="FrankRuehl" w:cs="FrankRuehl"/>
          <w:noProof w:val="0"/>
          <w:spacing w:val="10"/>
          <w:sz w:val="22"/>
          <w:szCs w:val="28"/>
        </w:rPr>
      </w:pPr>
      <w:r w:rsidRPr="00620612">
        <w:rPr>
          <w:rFonts w:hint="cs" w:ascii="FrankRuehl" w:hAnsi="FrankRuehl" w:cs="FrankRuehl"/>
          <w:noProof w:val="0"/>
          <w:spacing w:val="10"/>
          <w:sz w:val="22"/>
          <w:szCs w:val="28"/>
          <w:rtl/>
        </w:rPr>
        <w:t>ועדה לעררים (אי כושר) מיום 16.7.14 קבעה שהמערער לא איבד 50% מכושר השתכרותו (נספח ג' לכתב הערעור המתוקן).</w:t>
      </w:r>
    </w:p>
    <w:p w:rsidRPr="00620612" w:rsidR="00620612" w:rsidP="00620612" w:rsidRDefault="00620612">
      <w:pPr>
        <w:tabs>
          <w:tab w:val="num" w:pos="1076"/>
        </w:tabs>
        <w:spacing w:after="360" w:line="360" w:lineRule="auto"/>
        <w:ind w:left="369" w:right="284"/>
        <w:jc w:val="both"/>
        <w:rPr>
          <w:rFonts w:hint="cs" w:ascii="FrankRuehl" w:hAnsi="FrankRuehl" w:cs="FrankRuehl"/>
          <w:noProof w:val="0"/>
          <w:spacing w:val="10"/>
          <w:sz w:val="22"/>
          <w:szCs w:val="28"/>
          <w:rtl/>
        </w:rPr>
      </w:pPr>
      <w:r w:rsidRPr="00620612">
        <w:rPr>
          <w:rFonts w:hint="cs" w:ascii="FrankRuehl" w:hAnsi="FrankRuehl" w:cs="FrankRuehl"/>
          <w:noProof w:val="0"/>
          <w:spacing w:val="10"/>
          <w:sz w:val="22"/>
          <w:szCs w:val="28"/>
          <w:rtl/>
        </w:rPr>
        <w:lastRenderedPageBreak/>
        <w:t xml:space="preserve">ביום 3.12.14 המערער הגיש ערעור לבית דין זה על החלטות הועדות שהתקבלו בענייננו (הליך בל 5067-12-14). בפסק דין שניתן ביום 9.2.16 ע"י חברתי כב' השופטת </w:t>
      </w:r>
      <w:r w:rsidRPr="00620612">
        <w:rPr>
          <w:rFonts w:ascii="Miriam" w:hAnsi="Miriam" w:cs="Miriam"/>
          <w:noProof w:val="0"/>
          <w:spacing w:val="10"/>
          <w:rtl/>
        </w:rPr>
        <w:t>כרמית פלד</w:t>
      </w:r>
      <w:r w:rsidRPr="00620612">
        <w:rPr>
          <w:rFonts w:hint="cs" w:ascii="FrankRuehl" w:hAnsi="FrankRuehl" w:cs="FrankRuehl"/>
          <w:noProof w:val="0"/>
          <w:spacing w:val="10"/>
          <w:sz w:val="22"/>
          <w:szCs w:val="28"/>
          <w:rtl/>
        </w:rPr>
        <w:t xml:space="preserve"> נקבע שעניינו יוחזר לוועדה הרפואית לעררים על מנת שתבחן את מלוא טענותיו ותשקול הענקת נכות בגינן. כמו כן, נקבע, בכפוף לכך, שעניינו של המערער יוחזר גם לוועדה לעררים (אי כושר) על מנת שתבחן בשנית את מצבו ותנמק את החלטתה, בשים לב להתקפים התכופים מהם הוא סובל, לגילו ולעברו התעסוקתי. </w:t>
      </w:r>
    </w:p>
    <w:p w:rsidRPr="00620612" w:rsidR="00620612" w:rsidP="00620612" w:rsidRDefault="00620612">
      <w:pPr>
        <w:tabs>
          <w:tab w:val="num" w:pos="1076"/>
        </w:tabs>
        <w:spacing w:after="360" w:line="360" w:lineRule="auto"/>
        <w:ind w:left="369" w:right="284"/>
        <w:jc w:val="both"/>
        <w:rPr>
          <w:rFonts w:hint="cs" w:ascii="FrankRuehl" w:hAnsi="FrankRuehl" w:cs="FrankRuehl"/>
          <w:noProof w:val="0"/>
          <w:spacing w:val="10"/>
          <w:sz w:val="22"/>
          <w:szCs w:val="28"/>
          <w:rtl/>
        </w:rPr>
      </w:pPr>
      <w:r>
        <w:rPr>
          <w:rFonts w:hint="cs" w:ascii="FrankRuehl" w:hAnsi="FrankRuehl" w:cs="FrankRuehl"/>
          <w:noProof w:val="0"/>
          <w:spacing w:val="10"/>
          <w:sz w:val="22"/>
          <w:szCs w:val="28"/>
          <w:rtl/>
        </w:rPr>
        <w:t>3.</w:t>
      </w:r>
      <w:r>
        <w:rPr>
          <w:rFonts w:hint="cs" w:ascii="FrankRuehl" w:hAnsi="FrankRuehl" w:cs="FrankRuehl"/>
          <w:noProof w:val="0"/>
          <w:spacing w:val="10"/>
          <w:sz w:val="22"/>
          <w:szCs w:val="28"/>
          <w:rtl/>
        </w:rPr>
        <w:tab/>
      </w:r>
      <w:r w:rsidRPr="00620612">
        <w:rPr>
          <w:rFonts w:hint="cs" w:ascii="FrankRuehl" w:hAnsi="FrankRuehl" w:cs="FrankRuehl"/>
          <w:noProof w:val="0"/>
          <w:spacing w:val="10"/>
          <w:sz w:val="22"/>
          <w:szCs w:val="28"/>
          <w:rtl/>
        </w:rPr>
        <w:t xml:space="preserve">בעקבות פסק דין זה, התכנסה הוועדה הרפואית לעררים, כשבדיונה המסכם מיום 19.7.16 הונחה בפניה חוות דעת נוירולוגית. כפי העולה מחוות הדעת מיום 18.5.16, המערער, שהיה מיוצג על ידי בא כוחו והתלווה אליו אביו, הציג מסמכים רפואיים ונערכה לו בדיקה קלינית על ידי הנוירולוג שעיין בתיקו הרפואי. הנוירולוג העריך את נכותו בגין אפילפסיה בשיעור של 10% לפי פריט ליקוי 30(1)(ב), תוך שהוא מציין, בין היתר, כי התובע מטופל תרופתי במינון קבוע זמן רב ללא שום שינוי וכי "לא נמצא במעקב בי"ח אין פניות למיון מזה שנים ...תדירות התקפים לא ברורה (רק דיווח התובע ללא רישום רפואי). נבדק ע"י נוירולוג פעם בשנה אין מעקב רציף". לאחר שהוועדה אימצה את חוות הדעת הנוירולוגית, היא קבעה למערער נכות בגין אסתמה קשה בשיעור 60% לפי פרט ליקוי 5(1)(ד), ונכות בגין אפילפסיה בשיעור 10% לפי פריט ליקוי 30(1)(ב) לתקנות. בסך הכל נקבעה נכות משוקללת בשיעור 64%. </w:t>
      </w:r>
    </w:p>
    <w:p w:rsidRPr="00620612" w:rsidR="00620612" w:rsidP="00620612" w:rsidRDefault="00620612">
      <w:pPr>
        <w:tabs>
          <w:tab w:val="num" w:pos="1076"/>
        </w:tabs>
        <w:spacing w:after="360" w:line="360" w:lineRule="auto"/>
        <w:ind w:left="369" w:right="284"/>
        <w:jc w:val="both"/>
        <w:rPr>
          <w:rFonts w:hint="cs" w:ascii="FrankRuehl" w:hAnsi="FrankRuehl" w:cs="FrankRuehl"/>
          <w:noProof w:val="0"/>
          <w:spacing w:val="10"/>
          <w:sz w:val="22"/>
          <w:szCs w:val="28"/>
        </w:rPr>
      </w:pPr>
      <w:r>
        <w:rPr>
          <w:rFonts w:hint="cs" w:ascii="FrankRuehl" w:hAnsi="FrankRuehl" w:cs="FrankRuehl"/>
          <w:noProof w:val="0"/>
          <w:spacing w:val="10"/>
          <w:sz w:val="22"/>
          <w:szCs w:val="28"/>
          <w:rtl/>
        </w:rPr>
        <w:t>4.</w:t>
      </w:r>
      <w:r>
        <w:rPr>
          <w:rFonts w:hint="cs" w:ascii="FrankRuehl" w:hAnsi="FrankRuehl" w:cs="FrankRuehl"/>
          <w:noProof w:val="0"/>
          <w:spacing w:val="10"/>
          <w:sz w:val="22"/>
          <w:szCs w:val="28"/>
          <w:rtl/>
        </w:rPr>
        <w:tab/>
      </w:r>
      <w:r w:rsidRPr="00620612">
        <w:rPr>
          <w:rFonts w:hint="cs" w:ascii="FrankRuehl" w:hAnsi="FrankRuehl" w:cs="FrankRuehl"/>
          <w:noProof w:val="0"/>
          <w:spacing w:val="10"/>
          <w:sz w:val="22"/>
          <w:szCs w:val="28"/>
          <w:rtl/>
        </w:rPr>
        <w:t>בהמשך להחלטה זו, התכנסה הוועדה לעררים (אי כושר) ביום 2.11.16, בנוכחות המערער ואביו, והותירה החלטתה הקודמת בעינה, בקובעה דברים אלה:</w:t>
      </w:r>
    </w:p>
    <w:p w:rsidRPr="00620612" w:rsidR="00620612" w:rsidP="00620612" w:rsidRDefault="00620612">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lang w:val="x-none" w:eastAsia="x-none"/>
        </w:rPr>
      </w:pPr>
      <w:r w:rsidRPr="00620612">
        <w:rPr>
          <w:rFonts w:hint="cs" w:ascii="FrankRuehl" w:hAnsi="FrankRuehl" w:cs="FrankRuehl"/>
          <w:noProof w:val="0"/>
          <w:spacing w:val="10"/>
          <w:sz w:val="28"/>
          <w:szCs w:val="28"/>
          <w:rtl/>
          <w:lang w:val="x-none" w:eastAsia="x-none"/>
        </w:rPr>
        <w:t xml:space="preserve">"לעורר נקבעו ליקויים רפואיים בגין אסטמה קשה 60 ^ אפילפסיה 10% בעטיים זקוק לטיפול רפואי ואשפוזים עקב התקפי אפילפסיה ואסטמה תדירים עם השלכות תפקודיות המגבילות את העורר במאמץ גופני מסוג כל שהוא חשיפה לחומרים מגרים ובסביבה שתהיה מאווררת היטב ונטולת סיכונים בשל התקפי האפילפסיה. כמו כן, בהתחשב במכלול נסיבותיו האישיות לרבות השכלתו, הכשרתו וניסיונו המקצועיים כמי שסיים 12 שנות לימוד ללא רקע תעסוקתי, לדעת הועדה יכול לעבוד בעבודות מתאימות עבודות </w:t>
      </w:r>
      <w:r w:rsidRPr="00620612">
        <w:rPr>
          <w:rFonts w:hint="cs" w:ascii="FrankRuehl" w:hAnsi="FrankRuehl" w:cs="FrankRuehl"/>
          <w:noProof w:val="0"/>
          <w:spacing w:val="10"/>
          <w:sz w:val="28"/>
          <w:szCs w:val="28"/>
          <w:rtl/>
          <w:lang w:val="x-none" w:eastAsia="x-none"/>
        </w:rPr>
        <w:lastRenderedPageBreak/>
        <w:t xml:space="preserve">משרדיות פקידותיות מגוונות, מענה טלפוני, מכירה טלפונית בשפה הערבית, פקיד מודיעין עבודות של הרכבה מיון ואריזה פשוטות ליד שולחן עבודה, כל זאת כפי שנקבע בדרג 1. הועדה שבה ודוחה את הערר". </w:t>
      </w:r>
    </w:p>
    <w:p w:rsidRPr="00620612" w:rsidR="00620612" w:rsidP="00620612" w:rsidRDefault="00620612">
      <w:pPr>
        <w:spacing w:line="240" w:lineRule="exact"/>
        <w:ind w:left="2494"/>
        <w:jc w:val="both"/>
        <w:rPr>
          <w:rFonts w:hint="cs" w:cs="Times New Roman"/>
          <w:noProof w:val="0"/>
          <w:rtl/>
        </w:rPr>
      </w:pPr>
    </w:p>
    <w:p w:rsidRPr="00620612" w:rsidR="00620612" w:rsidP="00620612" w:rsidRDefault="00620612">
      <w:pPr>
        <w:spacing w:line="240" w:lineRule="exact"/>
        <w:ind w:left="2494"/>
        <w:jc w:val="both"/>
        <w:rPr>
          <w:rFonts w:hint="cs" w:cs="Times New Roman"/>
          <w:noProof w:val="0"/>
          <w:rtl/>
        </w:rPr>
      </w:pPr>
    </w:p>
    <w:p w:rsidRPr="00620612" w:rsidR="00620612" w:rsidP="00620612" w:rsidRDefault="00620612">
      <w:pPr>
        <w:spacing w:after="360" w:line="360" w:lineRule="auto"/>
        <w:ind w:left="369" w:right="284" w:firstLine="707"/>
        <w:jc w:val="both"/>
        <w:rPr>
          <w:rFonts w:hint="cs" w:ascii="FrankRuehl" w:hAnsi="FrankRuehl" w:cs="FrankRuehl"/>
          <w:noProof w:val="0"/>
          <w:spacing w:val="10"/>
          <w:sz w:val="22"/>
          <w:szCs w:val="28"/>
          <w:rtl/>
        </w:rPr>
      </w:pPr>
      <w:r w:rsidRPr="00620612">
        <w:rPr>
          <w:rFonts w:hint="cs" w:ascii="FrankRuehl" w:hAnsi="FrankRuehl" w:cs="FrankRuehl"/>
          <w:noProof w:val="0"/>
          <w:spacing w:val="10"/>
          <w:sz w:val="22"/>
          <w:szCs w:val="28"/>
          <w:rtl/>
        </w:rPr>
        <w:t>על החלטת זו של הוועדה לעררים (אי כושר) מיום 2.11.16 הנ"ל הוגש הערעור שלפני.</w:t>
      </w:r>
    </w:p>
    <w:p w:rsidRPr="00620612" w:rsidR="00620612" w:rsidP="00620612" w:rsidRDefault="00620612">
      <w:pPr>
        <w:tabs>
          <w:tab w:val="num" w:pos="1076"/>
        </w:tabs>
        <w:spacing w:after="360" w:line="360" w:lineRule="auto"/>
        <w:ind w:left="369" w:right="284"/>
        <w:jc w:val="both"/>
        <w:rPr>
          <w:rFonts w:hint="cs" w:ascii="FrankRuehl" w:hAnsi="FrankRuehl" w:cs="FrankRuehl"/>
          <w:noProof w:val="0"/>
          <w:spacing w:val="10"/>
          <w:sz w:val="22"/>
          <w:szCs w:val="28"/>
        </w:rPr>
      </w:pPr>
      <w:r>
        <w:rPr>
          <w:rFonts w:hint="cs" w:ascii="FrankRuehl" w:hAnsi="FrankRuehl" w:cs="FrankRuehl"/>
          <w:noProof w:val="0"/>
          <w:spacing w:val="10"/>
          <w:sz w:val="22"/>
          <w:szCs w:val="28"/>
          <w:rtl/>
        </w:rPr>
        <w:t>5.</w:t>
      </w:r>
      <w:r>
        <w:rPr>
          <w:rFonts w:hint="cs" w:ascii="FrankRuehl" w:hAnsi="FrankRuehl" w:cs="FrankRuehl"/>
          <w:noProof w:val="0"/>
          <w:spacing w:val="10"/>
          <w:sz w:val="22"/>
          <w:szCs w:val="28"/>
          <w:rtl/>
        </w:rPr>
        <w:tab/>
      </w:r>
      <w:r w:rsidRPr="00620612">
        <w:rPr>
          <w:rFonts w:hint="cs" w:ascii="FrankRuehl" w:hAnsi="FrankRuehl" w:cs="FrankRuehl"/>
          <w:noProof w:val="0"/>
          <w:spacing w:val="10"/>
          <w:sz w:val="22"/>
          <w:szCs w:val="28"/>
          <w:rtl/>
        </w:rPr>
        <w:t xml:space="preserve">טופס ערעור רשמי הוגש על ידי המערער בעצמו לבית הדין ביום 20.12.16, וכתב ערעור מפורט הוגש על ידו באמצעות אביו ביום 8.1.17. ביום 7.7.17 הוגש כתב ערעור מתוקן על ידי בא כוח המערער מטעם הסיוע המשפטי. </w:t>
      </w:r>
    </w:p>
    <w:p w:rsidRPr="00620612" w:rsidR="00620612" w:rsidP="00620612" w:rsidRDefault="00620612">
      <w:pPr>
        <w:tabs>
          <w:tab w:val="num" w:pos="1076"/>
        </w:tabs>
        <w:spacing w:after="360" w:line="360" w:lineRule="auto"/>
        <w:ind w:left="369" w:right="284"/>
        <w:jc w:val="both"/>
        <w:rPr>
          <w:rFonts w:hint="cs" w:ascii="FrankRuehl" w:hAnsi="FrankRuehl" w:cs="FrankRuehl"/>
          <w:noProof w:val="0"/>
          <w:spacing w:val="10"/>
          <w:sz w:val="22"/>
          <w:szCs w:val="28"/>
        </w:rPr>
      </w:pPr>
      <w:r>
        <w:rPr>
          <w:rFonts w:hint="cs" w:ascii="FrankRuehl" w:hAnsi="FrankRuehl" w:cs="FrankRuehl"/>
          <w:noProof w:val="0"/>
          <w:spacing w:val="10"/>
          <w:sz w:val="22"/>
          <w:szCs w:val="28"/>
          <w:rtl/>
        </w:rPr>
        <w:t>6.</w:t>
      </w:r>
      <w:r>
        <w:rPr>
          <w:rFonts w:hint="cs" w:ascii="FrankRuehl" w:hAnsi="FrankRuehl" w:cs="FrankRuehl"/>
          <w:noProof w:val="0"/>
          <w:spacing w:val="10"/>
          <w:sz w:val="22"/>
          <w:szCs w:val="28"/>
          <w:rtl/>
        </w:rPr>
        <w:tab/>
      </w:r>
      <w:r w:rsidRPr="00620612">
        <w:rPr>
          <w:rFonts w:hint="cs" w:ascii="FrankRuehl" w:hAnsi="FrankRuehl" w:cs="FrankRuehl"/>
          <w:noProof w:val="0"/>
          <w:spacing w:val="10"/>
          <w:sz w:val="22"/>
          <w:szCs w:val="28"/>
          <w:rtl/>
        </w:rPr>
        <w:t xml:space="preserve">ביום 10.7.17 התקיים דיון מוקדם בפני חברתי כב' הרשמת </w:t>
      </w:r>
      <w:r w:rsidRPr="00620612">
        <w:rPr>
          <w:rFonts w:ascii="Miriam" w:hAnsi="Miriam" w:cs="Miriam"/>
          <w:noProof w:val="0"/>
          <w:spacing w:val="10"/>
          <w:rtl/>
        </w:rPr>
        <w:t>קארין ליבר-לוין</w:t>
      </w:r>
      <w:r w:rsidRPr="00620612">
        <w:rPr>
          <w:rFonts w:hint="cs" w:ascii="FrankRuehl" w:hAnsi="FrankRuehl" w:cs="FrankRuehl"/>
          <w:noProof w:val="0"/>
          <w:spacing w:val="10"/>
          <w:sz w:val="22"/>
          <w:szCs w:val="28"/>
          <w:rtl/>
        </w:rPr>
        <w:t>, במהלכו התפרץ המערער בצעקות ואיומים באולם בית הדין, עד כדי כך שהיה צורך לקרוא למאבטח ולהוציאו מהאולם,</w:t>
      </w:r>
      <w:r w:rsidRPr="00620612">
        <w:rPr>
          <w:rFonts w:ascii="FrankRuehl" w:hAnsi="FrankRuehl" w:cs="Times New Roman"/>
          <w:noProof w:val="0"/>
          <w:spacing w:val="10"/>
          <w:sz w:val="22"/>
          <w:szCs w:val="28"/>
          <w:rtl/>
        </w:rPr>
        <w:t xml:space="preserve"> כך </w:t>
      </w:r>
      <w:r w:rsidRPr="00620612">
        <w:rPr>
          <w:rFonts w:hint="cs" w:ascii="FrankRuehl" w:hAnsi="FrankRuehl" w:cs="FrankRuehl"/>
          <w:noProof w:val="0"/>
          <w:spacing w:val="10"/>
          <w:sz w:val="22"/>
          <w:szCs w:val="28"/>
          <w:rtl/>
        </w:rPr>
        <w:t>שהדיון התקיים בנוכחות בא כוחו בלבד. בהתאם לבקשת האחרון, הוחלט על העברת התיק לדיון בפני שופט.</w:t>
      </w:r>
    </w:p>
    <w:p w:rsidRPr="00620612" w:rsidR="00620612" w:rsidP="00620612" w:rsidRDefault="00620612">
      <w:pPr>
        <w:tabs>
          <w:tab w:val="num" w:pos="1076"/>
        </w:tabs>
        <w:spacing w:after="360" w:line="360" w:lineRule="auto"/>
        <w:ind w:left="369" w:right="284"/>
        <w:jc w:val="both"/>
        <w:rPr>
          <w:rFonts w:hint="cs" w:ascii="FrankRuehl" w:hAnsi="FrankRuehl" w:cs="FrankRuehl"/>
          <w:noProof w:val="0"/>
          <w:spacing w:val="10"/>
          <w:sz w:val="22"/>
          <w:szCs w:val="28"/>
          <w:rtl/>
        </w:rPr>
      </w:pPr>
      <w:r>
        <w:rPr>
          <w:rFonts w:hint="cs" w:ascii="FrankRuehl" w:hAnsi="FrankRuehl" w:cs="FrankRuehl"/>
          <w:noProof w:val="0"/>
          <w:spacing w:val="10"/>
          <w:sz w:val="22"/>
          <w:szCs w:val="28"/>
          <w:rtl/>
        </w:rPr>
        <w:t>7.</w:t>
      </w:r>
      <w:r>
        <w:rPr>
          <w:rFonts w:hint="cs" w:ascii="FrankRuehl" w:hAnsi="FrankRuehl" w:cs="FrankRuehl"/>
          <w:noProof w:val="0"/>
          <w:spacing w:val="10"/>
          <w:sz w:val="22"/>
          <w:szCs w:val="28"/>
          <w:rtl/>
        </w:rPr>
        <w:tab/>
      </w:r>
      <w:r w:rsidRPr="00620612">
        <w:rPr>
          <w:rFonts w:hint="cs" w:ascii="FrankRuehl" w:hAnsi="FrankRuehl" w:cs="FrankRuehl"/>
          <w:noProof w:val="0"/>
          <w:spacing w:val="10"/>
          <w:sz w:val="22"/>
          <w:szCs w:val="28"/>
          <w:rtl/>
        </w:rPr>
        <w:t xml:space="preserve">ביום 27.3.18 התקיים דיון בפני. בתחילתו, ביקש המערער שהיה המיוצג על ידי בא כוחו לטעון לעצמו, אולם לבסוף הודיע שהוא מעוניין בהמשך ייצוגו על ידי בא כוחו. לאחר שנשמעו טיעוני הצדדים בדיון, הועבר התיק למתן פסק דין. </w:t>
      </w:r>
    </w:p>
    <w:p w:rsidRPr="00620612" w:rsidR="00620612" w:rsidP="00620612" w:rsidRDefault="00620612">
      <w:pPr>
        <w:spacing w:after="360" w:line="360" w:lineRule="auto"/>
        <w:ind w:left="369" w:right="284" w:firstLine="707"/>
        <w:jc w:val="both"/>
        <w:rPr>
          <w:rFonts w:hint="cs" w:ascii="FrankRuehl" w:hAnsi="FrankRuehl" w:cs="FrankRuehl"/>
          <w:noProof w:val="0"/>
          <w:spacing w:val="10"/>
          <w:sz w:val="22"/>
          <w:szCs w:val="28"/>
        </w:rPr>
      </w:pPr>
      <w:r w:rsidRPr="00620612">
        <w:rPr>
          <w:rFonts w:hint="cs" w:ascii="FrankRuehl" w:hAnsi="FrankRuehl" w:cs="FrankRuehl"/>
          <w:noProof w:val="0"/>
          <w:spacing w:val="10"/>
          <w:sz w:val="22"/>
          <w:szCs w:val="28"/>
          <w:rtl/>
        </w:rPr>
        <w:t>להשלמת התמונה יצויין שביום 28.3.18 המערער הגיש הודעה בעצמו לבית הדין במסגרתה ביקש להעלות טענות שונות הנוגעות לעבודתה וקביעותיה הרפואיות של הו</w:t>
      </w:r>
      <w:r>
        <w:rPr>
          <w:rFonts w:hint="cs" w:ascii="FrankRuehl" w:hAnsi="FrankRuehl" w:cs="FrankRuehl"/>
          <w:noProof w:val="0"/>
          <w:spacing w:val="10"/>
          <w:sz w:val="22"/>
          <w:szCs w:val="28"/>
          <w:rtl/>
        </w:rPr>
        <w:t>ו</w:t>
      </w:r>
      <w:r w:rsidRPr="00620612">
        <w:rPr>
          <w:rFonts w:hint="cs" w:ascii="FrankRuehl" w:hAnsi="FrankRuehl" w:cs="FrankRuehl"/>
          <w:noProof w:val="0"/>
          <w:spacing w:val="10"/>
          <w:sz w:val="22"/>
          <w:szCs w:val="28"/>
          <w:rtl/>
        </w:rPr>
        <w:t>עדה הרפואית לעררים, בהתבסס על מסמכים רפואיים שונים, ותוך שהוא עותר להשבת עניינו לו</w:t>
      </w:r>
      <w:r>
        <w:rPr>
          <w:rFonts w:hint="cs" w:ascii="FrankRuehl" w:hAnsi="FrankRuehl" w:cs="FrankRuehl"/>
          <w:noProof w:val="0"/>
          <w:spacing w:val="10"/>
          <w:sz w:val="22"/>
          <w:szCs w:val="28"/>
          <w:rtl/>
        </w:rPr>
        <w:t>ו</w:t>
      </w:r>
      <w:r w:rsidRPr="00620612">
        <w:rPr>
          <w:rFonts w:hint="cs" w:ascii="FrankRuehl" w:hAnsi="FrankRuehl" w:cs="FrankRuehl"/>
          <w:noProof w:val="0"/>
          <w:spacing w:val="10"/>
          <w:sz w:val="22"/>
          <w:szCs w:val="28"/>
          <w:rtl/>
        </w:rPr>
        <w:t xml:space="preserve">עדה זו על מנת שתקבע מחדש את נכותו הרפואית. </w:t>
      </w:r>
    </w:p>
    <w:p w:rsidRPr="00620612" w:rsidR="00620612" w:rsidP="00620612" w:rsidRDefault="00620612">
      <w:pPr>
        <w:ind w:left="720"/>
        <w:rPr>
          <w:rFonts w:hint="cs" w:cs="Times New Roman"/>
          <w:noProof w:val="0"/>
          <w:rtl/>
        </w:rPr>
      </w:pPr>
    </w:p>
    <w:p w:rsidRPr="00620612" w:rsidR="00620612" w:rsidP="00620612" w:rsidRDefault="00620612">
      <w:pPr>
        <w:spacing w:after="120" w:line="360" w:lineRule="auto"/>
        <w:ind w:firstLine="360"/>
        <w:jc w:val="both"/>
        <w:rPr>
          <w:rFonts w:cs="Miriam"/>
          <w:noProof w:val="0"/>
          <w:spacing w:val="10"/>
          <w:u w:val="single"/>
        </w:rPr>
      </w:pPr>
      <w:r w:rsidRPr="00620612">
        <w:rPr>
          <w:rFonts w:hint="cs" w:cs="Miriam"/>
          <w:noProof w:val="0"/>
          <w:spacing w:val="10"/>
          <w:u w:val="single"/>
          <w:rtl/>
        </w:rPr>
        <w:t>טיעוני הצדדים</w:t>
      </w:r>
    </w:p>
    <w:p w:rsidRPr="00620612" w:rsidR="00620612" w:rsidP="00620612" w:rsidRDefault="00620612">
      <w:pPr>
        <w:tabs>
          <w:tab w:val="num" w:pos="1076"/>
        </w:tabs>
        <w:spacing w:after="360" w:line="360" w:lineRule="auto"/>
        <w:ind w:left="369" w:right="284"/>
        <w:jc w:val="both"/>
        <w:rPr>
          <w:rFonts w:hint="cs" w:ascii="FrankRuehl" w:hAnsi="FrankRuehl" w:cs="FrankRuehl"/>
          <w:noProof w:val="0"/>
          <w:spacing w:val="10"/>
          <w:sz w:val="22"/>
          <w:szCs w:val="28"/>
          <w:rtl/>
        </w:rPr>
      </w:pPr>
      <w:r>
        <w:rPr>
          <w:rFonts w:hint="cs" w:ascii="FrankRuehl" w:hAnsi="FrankRuehl" w:cs="FrankRuehl"/>
          <w:noProof w:val="0"/>
          <w:spacing w:val="10"/>
          <w:sz w:val="22"/>
          <w:szCs w:val="28"/>
          <w:rtl/>
        </w:rPr>
        <w:t>8.</w:t>
      </w:r>
      <w:r>
        <w:rPr>
          <w:rFonts w:hint="cs" w:ascii="FrankRuehl" w:hAnsi="FrankRuehl" w:cs="FrankRuehl"/>
          <w:noProof w:val="0"/>
          <w:spacing w:val="10"/>
          <w:sz w:val="22"/>
          <w:szCs w:val="28"/>
          <w:rtl/>
        </w:rPr>
        <w:tab/>
      </w:r>
      <w:r w:rsidRPr="00620612">
        <w:rPr>
          <w:rFonts w:hint="cs" w:ascii="FrankRuehl" w:hAnsi="FrankRuehl" w:cs="FrankRuehl"/>
          <w:noProof w:val="0"/>
          <w:spacing w:val="10"/>
          <w:sz w:val="22"/>
          <w:szCs w:val="28"/>
          <w:rtl/>
        </w:rPr>
        <w:t xml:space="preserve">בערעורו זה המערער  עותר להחזיר </w:t>
      </w:r>
      <w:r>
        <w:rPr>
          <w:rFonts w:hint="cs" w:ascii="FrankRuehl" w:hAnsi="FrankRuehl" w:cs="FrankRuehl"/>
          <w:noProof w:val="0"/>
          <w:spacing w:val="10"/>
          <w:sz w:val="22"/>
          <w:szCs w:val="28"/>
          <w:rtl/>
        </w:rPr>
        <w:t xml:space="preserve">את </w:t>
      </w:r>
      <w:r w:rsidRPr="00620612">
        <w:rPr>
          <w:rFonts w:hint="cs" w:ascii="FrankRuehl" w:hAnsi="FrankRuehl" w:cs="FrankRuehl"/>
          <w:noProof w:val="0"/>
          <w:spacing w:val="10"/>
          <w:sz w:val="22"/>
          <w:szCs w:val="28"/>
          <w:rtl/>
        </w:rPr>
        <w:t xml:space="preserve">עניינו לוועדה לעררים (אי כושר), על מנת שתדון בעניינו בהרכב אחר. בכתב הערעור המתוקן טען באמצעות בא כוחו שהוועדה לא פעלה על פי הוראות פסק הדין הקודם, פעלה בחוסר תום לב, ונפלו בהחלטתה פגמים העולים כדי טעות משפטית. לשיטתו, הוועדה לא התייחסה </w:t>
      </w:r>
      <w:r w:rsidRPr="00620612">
        <w:rPr>
          <w:rFonts w:hint="cs" w:ascii="FrankRuehl" w:hAnsi="FrankRuehl" w:cs="FrankRuehl"/>
          <w:noProof w:val="0"/>
          <w:spacing w:val="10"/>
          <w:sz w:val="22"/>
          <w:szCs w:val="28"/>
          <w:rtl/>
        </w:rPr>
        <w:lastRenderedPageBreak/>
        <w:t xml:space="preserve">"למכלול בעיותיו ומוגבלויותיו", התעלמה ממגבלות קיימות בתפקודו, הבאות לידי ביטוי בתיעוד הרפואי הקיים בענייננו, וכן תלונותיו בפניה. עוד לשיטתו, הוא אינו יכול לעבוד, באשר הוא סובל מהתקפי אפילפסיה ואסטמה כרונית קשה מסכנת חיים. כמו כן, נטען שההחלטה נעדרת התייחסות בפועל להשכלת המערער והיותו דובר השפה הערבית, לגילו ולרקע אישי שלו. המערער אף טען שהוועדה נהגה כלפיו באופן לא תקין וגזעני, כפי שהדבר בא לידי ביטוי בערעור שהגיש בעצמו. </w:t>
      </w:r>
    </w:p>
    <w:p w:rsidRPr="00620612" w:rsidR="00620612" w:rsidP="00620612" w:rsidRDefault="00620612">
      <w:pPr>
        <w:spacing w:after="360" w:line="360" w:lineRule="auto"/>
        <w:ind w:left="369" w:right="284" w:firstLine="707"/>
        <w:jc w:val="both"/>
        <w:rPr>
          <w:rFonts w:hint="cs" w:ascii="FrankRuehl" w:hAnsi="FrankRuehl" w:cs="FrankRuehl"/>
          <w:noProof w:val="0"/>
          <w:spacing w:val="10"/>
          <w:sz w:val="22"/>
          <w:szCs w:val="28"/>
        </w:rPr>
      </w:pPr>
      <w:r w:rsidRPr="00620612">
        <w:rPr>
          <w:rFonts w:hint="cs" w:ascii="FrankRuehl" w:hAnsi="FrankRuehl" w:cs="FrankRuehl"/>
          <w:noProof w:val="0"/>
          <w:spacing w:val="10"/>
          <w:sz w:val="22"/>
          <w:szCs w:val="28"/>
          <w:rtl/>
        </w:rPr>
        <w:t>כמו כן, הוסיף וטען המערער, הוועדה לא נימקה מדוע נוכח הקביעה הרפואית בדבר נכות בשיעור 64% יש לסטות בקביעת אי הכושר. עוד הוסיף וטען שהוועדה לא התייעצה עם פקיד שיקום או הציגה דוח בנדון או לכל הפחות נימקה מדוע אין מקום להפנותו לפקיד שיקום, נוכח חלוף הזמן ומצבו. כמו כן, טען שנפל פגם נוסף בעבודתה בכך שלא נמנו על הרכבה שלושה רופאים.</w:t>
      </w:r>
    </w:p>
    <w:p w:rsidRPr="00620612" w:rsidR="00620612" w:rsidP="00620612" w:rsidRDefault="00620612">
      <w:pPr>
        <w:tabs>
          <w:tab w:val="num" w:pos="1076"/>
        </w:tabs>
        <w:spacing w:after="360" w:line="360" w:lineRule="auto"/>
        <w:ind w:left="369" w:right="284"/>
        <w:jc w:val="both"/>
        <w:rPr>
          <w:rFonts w:hint="cs" w:ascii="FrankRuehl" w:hAnsi="FrankRuehl" w:cs="FrankRuehl"/>
          <w:noProof w:val="0"/>
          <w:spacing w:val="10"/>
          <w:sz w:val="22"/>
          <w:szCs w:val="28"/>
          <w:rtl/>
        </w:rPr>
      </w:pPr>
      <w:r>
        <w:rPr>
          <w:rFonts w:hint="cs" w:ascii="FrankRuehl" w:hAnsi="FrankRuehl" w:cs="FrankRuehl"/>
          <w:noProof w:val="0"/>
          <w:spacing w:val="10"/>
          <w:sz w:val="22"/>
          <w:szCs w:val="28"/>
          <w:rtl/>
        </w:rPr>
        <w:t>9.</w:t>
      </w:r>
      <w:r>
        <w:rPr>
          <w:rFonts w:hint="cs" w:ascii="FrankRuehl" w:hAnsi="FrankRuehl" w:cs="FrankRuehl"/>
          <w:noProof w:val="0"/>
          <w:spacing w:val="10"/>
          <w:sz w:val="22"/>
          <w:szCs w:val="28"/>
          <w:rtl/>
        </w:rPr>
        <w:tab/>
      </w:r>
      <w:r w:rsidRPr="00620612">
        <w:rPr>
          <w:rFonts w:hint="cs" w:ascii="FrankRuehl" w:hAnsi="FrankRuehl" w:cs="FrankRuehl"/>
          <w:noProof w:val="0"/>
          <w:spacing w:val="10"/>
          <w:sz w:val="22"/>
          <w:szCs w:val="28"/>
          <w:rtl/>
        </w:rPr>
        <w:t xml:space="preserve">המשיב טוען שיש לדחות את הערעור, באשר הועדה לעררים (אי כושר) מילאה אחר הוראות פסק הדין הקודם. הוועדה התייחסה למכלול הליקויים והתאימה למערער עבודות על פי מגבלותיו הרפואיות, כשלצורך כך אין היא צריכה להידרש למסמכים רפואיים, אלא רק להתבסס על הנכויות כפי שאלה נקבעו על ידי הוועדה הרפואית. </w:t>
      </w:r>
    </w:p>
    <w:p w:rsidRPr="00620612" w:rsidR="00620612" w:rsidP="00620612" w:rsidRDefault="00620612">
      <w:pPr>
        <w:spacing w:after="360" w:line="360" w:lineRule="auto"/>
        <w:ind w:left="369" w:right="284" w:firstLine="707"/>
        <w:jc w:val="both"/>
        <w:rPr>
          <w:rFonts w:hint="cs" w:ascii="FrankRuehl" w:hAnsi="FrankRuehl" w:cs="FrankRuehl"/>
          <w:noProof w:val="0"/>
          <w:spacing w:val="10"/>
          <w:sz w:val="22"/>
          <w:szCs w:val="28"/>
          <w:rtl/>
        </w:rPr>
      </w:pPr>
      <w:r w:rsidRPr="00620612">
        <w:rPr>
          <w:rFonts w:hint="cs" w:ascii="FrankRuehl" w:hAnsi="FrankRuehl" w:cs="FrankRuehl"/>
          <w:noProof w:val="0"/>
          <w:spacing w:val="10"/>
          <w:sz w:val="22"/>
          <w:szCs w:val="28"/>
          <w:rtl/>
        </w:rPr>
        <w:t xml:space="preserve">המשיב הוסיף שהוועדה בחנה את השפעת הליקוי על כושר העבודה. במסגרת זו הוועדה הייתה ערה לגיל המערער, לרקע התעסוקתי שלו, וכן לעובדה שסיים 12 שנות לימוד, בקובעה את מסוגלותו לעבודות פשוטות שאינן דורשות הכשרה או לימוד מוקדם. מנגד, לא הובהר על ידי המערער מדוע גילו הצעיר משפיע על כושרו לעבוד או כיצד היעדר רקע תעסוקתי משפיע עליו, באשר הוועדה קבעה ממילא רק את מסוגלותו לעבודה שאינה דורשת הכשרה. באשר להתקפים, למערער נקבעה נכות בשיעור 10% בגין אפילפסיה, הוועדה ציינה שמדובר בהתקפים עם השלכות תפקודיות המגבילות את המערער בכל מאמץ גופני ובחשיפה לחומרים מגרים, וקבעה שאינו מסוגל לעבודה עם מאמץ גופני וחשיפה לחומרים מגרים. בהתאם להשכלתו, הכשרתו, וניסיונו, הוועדה קבעה את מסוגלותו לעבודות </w:t>
      </w:r>
      <w:r w:rsidRPr="00620612">
        <w:rPr>
          <w:rFonts w:hint="cs" w:ascii="FrankRuehl" w:hAnsi="FrankRuehl" w:cs="FrankRuehl"/>
          <w:noProof w:val="0"/>
          <w:spacing w:val="10"/>
          <w:sz w:val="22"/>
          <w:szCs w:val="28"/>
          <w:rtl/>
        </w:rPr>
        <w:lastRenderedPageBreak/>
        <w:t>משרדיות פקידותיות מגוונות. החלטתה אף הולמת את החלטת פקיד השיקום והרופא המוסמך בעניינו.</w:t>
      </w:r>
    </w:p>
    <w:p w:rsidRPr="00620612" w:rsidR="00620612" w:rsidP="00620612" w:rsidRDefault="00620612">
      <w:pPr>
        <w:spacing w:after="120" w:line="360" w:lineRule="auto"/>
        <w:ind w:firstLine="360"/>
        <w:jc w:val="both"/>
        <w:rPr>
          <w:rFonts w:hint="cs" w:cs="Miriam"/>
          <w:noProof w:val="0"/>
          <w:spacing w:val="10"/>
          <w:u w:val="single"/>
          <w:rtl/>
        </w:rPr>
      </w:pPr>
      <w:r w:rsidRPr="00620612">
        <w:rPr>
          <w:rFonts w:hint="cs" w:cs="Miriam"/>
          <w:noProof w:val="0"/>
          <w:spacing w:val="10"/>
          <w:u w:val="single"/>
          <w:rtl/>
        </w:rPr>
        <w:t>דיון והכרעה</w:t>
      </w:r>
    </w:p>
    <w:p w:rsidRPr="00620612" w:rsidR="00620612" w:rsidP="00620612" w:rsidRDefault="00620612">
      <w:pPr>
        <w:tabs>
          <w:tab w:val="num" w:pos="1076"/>
        </w:tabs>
        <w:spacing w:after="360" w:line="360" w:lineRule="auto"/>
        <w:ind w:left="369" w:right="284"/>
        <w:jc w:val="both"/>
        <w:rPr>
          <w:rFonts w:ascii="FrankRuehl" w:hAnsi="FrankRuehl" w:cs="FrankRuehl"/>
          <w:noProof w:val="0"/>
          <w:spacing w:val="10"/>
          <w:sz w:val="22"/>
          <w:szCs w:val="28"/>
        </w:rPr>
      </w:pPr>
      <w:r>
        <w:rPr>
          <w:rFonts w:hint="cs" w:ascii="FrankRuehl" w:hAnsi="FrankRuehl" w:cs="FrankRuehl"/>
          <w:noProof w:val="0"/>
          <w:spacing w:val="10"/>
          <w:sz w:val="22"/>
          <w:szCs w:val="28"/>
          <w:rtl/>
        </w:rPr>
        <w:t>10.</w:t>
      </w:r>
      <w:r>
        <w:rPr>
          <w:rFonts w:hint="cs" w:ascii="FrankRuehl" w:hAnsi="FrankRuehl" w:cs="FrankRuehl"/>
          <w:noProof w:val="0"/>
          <w:spacing w:val="10"/>
          <w:sz w:val="22"/>
          <w:szCs w:val="28"/>
          <w:rtl/>
        </w:rPr>
        <w:tab/>
      </w:r>
      <w:r w:rsidRPr="00620612">
        <w:rPr>
          <w:rFonts w:hint="cs" w:ascii="FrankRuehl" w:hAnsi="FrankRuehl" w:cs="FrankRuehl"/>
          <w:noProof w:val="0"/>
          <w:spacing w:val="10"/>
          <w:sz w:val="22"/>
          <w:szCs w:val="28"/>
          <w:rtl/>
        </w:rPr>
        <w:t xml:space="preserve">כאמור, עניינו של המערער הוחזר לוועדה לעררים (אי כושר) עם הוראות, מכוח פסק דין קודם של בית הדין. במובן זה, דיוננו תחום בשאלה האם הוועדה פעלה כמחויב על פי פסק דינו הקודם של בית הדין מיום 9.2.16 (דב"ע נא/01-29 </w:t>
      </w:r>
      <w:r w:rsidRPr="00620612">
        <w:rPr>
          <w:rFonts w:ascii="Miriam" w:hAnsi="Miriam" w:cs="Miriam"/>
          <w:noProof w:val="0"/>
          <w:spacing w:val="10"/>
          <w:rtl/>
        </w:rPr>
        <w:t>פרנקל</w:t>
      </w:r>
      <w:r w:rsidRPr="00620612">
        <w:rPr>
          <w:rFonts w:hint="cs" w:ascii="FrankRuehl" w:hAnsi="FrankRuehl" w:cs="FrankRuehl"/>
          <w:noProof w:val="0"/>
          <w:spacing w:val="10"/>
          <w:sz w:val="22"/>
          <w:szCs w:val="28"/>
          <w:rtl/>
        </w:rPr>
        <w:t xml:space="preserve"> נ' </w:t>
      </w:r>
      <w:r w:rsidRPr="00620612">
        <w:rPr>
          <w:rFonts w:ascii="Miriam" w:hAnsi="Miriam" w:cs="Miriam"/>
          <w:noProof w:val="0"/>
          <w:spacing w:val="10"/>
          <w:rtl/>
        </w:rPr>
        <w:t>המוסד לביטוח לאומי</w:t>
      </w:r>
      <w:r w:rsidRPr="00620612">
        <w:rPr>
          <w:rFonts w:hint="cs" w:ascii="FrankRuehl" w:hAnsi="FrankRuehl" w:cs="FrankRuehl"/>
          <w:noProof w:val="0"/>
          <w:spacing w:val="10"/>
          <w:sz w:val="22"/>
          <w:szCs w:val="28"/>
          <w:rtl/>
        </w:rPr>
        <w:t xml:space="preserve"> (17.3.92)). הוועדה התבקשה לבחון את החלטתה פעם נוספת בשים לב להתקפים התכופים מהם סובל המערער, גילו ועברו התעסוקתי, ובהתאם להחלטת הוועדה הרפואית לעררים, שנדרשה אף היא לדון בעניינו פעם נוספת. </w:t>
      </w:r>
    </w:p>
    <w:p w:rsidRPr="00620612" w:rsidR="00620612" w:rsidP="00620612" w:rsidRDefault="00620612">
      <w:pPr>
        <w:tabs>
          <w:tab w:val="num" w:pos="1076"/>
        </w:tabs>
        <w:spacing w:after="360" w:line="360" w:lineRule="auto"/>
        <w:ind w:left="369" w:right="284"/>
        <w:jc w:val="both"/>
        <w:rPr>
          <w:rFonts w:hint="cs" w:ascii="FrankRuehl" w:hAnsi="FrankRuehl" w:cs="FrankRuehl"/>
          <w:noProof w:val="0"/>
          <w:spacing w:val="10"/>
          <w:sz w:val="22"/>
          <w:szCs w:val="28"/>
        </w:rPr>
      </w:pPr>
      <w:r>
        <w:rPr>
          <w:rFonts w:hint="cs" w:ascii="FrankRuehl" w:hAnsi="FrankRuehl" w:cs="FrankRuehl"/>
          <w:noProof w:val="0"/>
          <w:spacing w:val="10"/>
          <w:sz w:val="22"/>
          <w:szCs w:val="28"/>
          <w:rtl/>
        </w:rPr>
        <w:t>11.</w:t>
      </w:r>
      <w:r>
        <w:rPr>
          <w:rFonts w:ascii="FrankRuehl" w:hAnsi="FrankRuehl" w:cs="FrankRuehl"/>
          <w:noProof w:val="0"/>
          <w:spacing w:val="10"/>
          <w:sz w:val="22"/>
          <w:szCs w:val="28"/>
          <w:rtl/>
        </w:rPr>
        <w:tab/>
      </w:r>
      <w:r w:rsidRPr="00620612">
        <w:rPr>
          <w:rFonts w:hint="cs" w:ascii="FrankRuehl" w:hAnsi="FrankRuehl" w:cs="FrankRuehl"/>
          <w:noProof w:val="0"/>
          <w:spacing w:val="10"/>
          <w:sz w:val="22"/>
          <w:szCs w:val="28"/>
          <w:rtl/>
        </w:rPr>
        <w:t>על פי סעיף 213 ל</w:t>
      </w:r>
      <w:r w:rsidRPr="00620612">
        <w:rPr>
          <w:rFonts w:ascii="Miriam" w:hAnsi="Miriam" w:cs="Miriam"/>
          <w:noProof w:val="0"/>
          <w:spacing w:val="10"/>
          <w:rtl/>
        </w:rPr>
        <w:t>חוק הביטוח הלאומי [נוסח משולב], תשנ"ה-1995</w:t>
      </w:r>
      <w:r w:rsidRPr="00620612">
        <w:rPr>
          <w:rFonts w:hint="cs" w:ascii="FrankRuehl" w:hAnsi="FrankRuehl" w:cs="FrankRuehl"/>
          <w:noProof w:val="0"/>
          <w:spacing w:val="10"/>
          <w:sz w:val="22"/>
          <w:szCs w:val="28"/>
          <w:rtl/>
        </w:rPr>
        <w:t xml:space="preserve">, ערעור על החלטת הוועדה לעררים לעניין ביטוח נכות הוא בשאלת חוק בלבד. הוועדה לעררים היא הסמכות המקצועית בתחום התעסוקה והשיקום להכריע בשאלת אי כושרו של המערער ,והיא פועלת לעניין זה על פי אמות המידה שהותוו בסעיף 209(ב) לחוק. במובן זה, הרי שקביעת הוועדה לעררים בדבר סוגי העבודות התואמות את מגבלותיו של המערער היא קביעה מקצועית המצויה בסמכותה הבלעדית. </w:t>
      </w:r>
    </w:p>
    <w:p w:rsidRPr="00620612" w:rsidR="00620612" w:rsidP="00620612" w:rsidRDefault="00620612">
      <w:pPr>
        <w:spacing w:after="360" w:line="360" w:lineRule="auto"/>
        <w:ind w:left="369" w:right="284" w:firstLine="707"/>
        <w:jc w:val="both"/>
        <w:rPr>
          <w:rFonts w:hint="cs" w:ascii="FrankRuehl" w:hAnsi="FrankRuehl" w:cs="FrankRuehl"/>
          <w:noProof w:val="0"/>
          <w:spacing w:val="10"/>
          <w:sz w:val="22"/>
          <w:szCs w:val="28"/>
        </w:rPr>
      </w:pPr>
      <w:r w:rsidRPr="00620612">
        <w:rPr>
          <w:rFonts w:hint="cs" w:ascii="FrankRuehl" w:hAnsi="FrankRuehl" w:cs="FrankRuehl"/>
          <w:noProof w:val="0"/>
          <w:spacing w:val="10"/>
          <w:sz w:val="22"/>
          <w:szCs w:val="28"/>
          <w:rtl/>
        </w:rPr>
        <w:t xml:space="preserve">החוק עורך הפרדה גמורה בין נכות רפואית לבין הנכות המקנה קצבה, ואף עורך הפרדה גמורה בין הרשויות שבסמכותן לקבוע את הנכות הרפואית לבין אלה שבסמכותן לקבוע את הנכות המזכה בגמלה. רופא או הוועדה הרפואית לעררים אינם מוסמכים לקבוע אם נכה איבד מכושרו להשתכר. סמכות זו נתונה לפקיד התביעות בלבד, ועל החלטתו ניתן לערער בפני ועדה לעררים (סעיף 209 לחוק; תב"ע (ארצי) נב/99-118 </w:t>
      </w:r>
      <w:r w:rsidRPr="00620612">
        <w:rPr>
          <w:rFonts w:ascii="Miriam" w:hAnsi="Miriam" w:cs="Miriam"/>
          <w:noProof w:val="0"/>
          <w:spacing w:val="10"/>
          <w:rtl/>
        </w:rPr>
        <w:t>יאמין</w:t>
      </w:r>
      <w:r w:rsidRPr="00620612">
        <w:rPr>
          <w:rFonts w:hint="cs" w:ascii="FrankRuehl" w:hAnsi="FrankRuehl" w:cs="FrankRuehl"/>
          <w:noProof w:val="0"/>
          <w:spacing w:val="10"/>
          <w:sz w:val="22"/>
          <w:szCs w:val="28"/>
          <w:rtl/>
        </w:rPr>
        <w:t xml:space="preserve"> נ' </w:t>
      </w:r>
      <w:r w:rsidRPr="00620612">
        <w:rPr>
          <w:rFonts w:ascii="Miriam" w:hAnsi="Miriam" w:cs="Miriam"/>
          <w:noProof w:val="0"/>
          <w:spacing w:val="10"/>
          <w:rtl/>
        </w:rPr>
        <w:t>המוסד לביטוח לאומי</w:t>
      </w:r>
      <w:r w:rsidRPr="00620612">
        <w:rPr>
          <w:rFonts w:hint="cs" w:ascii="FrankRuehl" w:hAnsi="FrankRuehl" w:cs="FrankRuehl"/>
          <w:noProof w:val="0"/>
          <w:spacing w:val="10"/>
          <w:sz w:val="22"/>
          <w:szCs w:val="28"/>
          <w:rtl/>
        </w:rPr>
        <w:t xml:space="preserve"> (8.6.92)). במובן זה, הועדה לעררים (אי כושר) קובעת את הנכות התפקודית להבדיל מזו הרפואית. הבסיס הרפואי להחלטתה הוא האבחון הרפואי של הרופא המוסמך או הוועדה הרפואית לעררים (סעיף 208 לחוק). </w:t>
      </w:r>
    </w:p>
    <w:p w:rsidRPr="00620612" w:rsidR="00620612" w:rsidP="00620612" w:rsidRDefault="00620612">
      <w:pPr>
        <w:spacing w:after="360" w:line="360" w:lineRule="auto"/>
        <w:ind w:left="369" w:right="284" w:firstLine="707"/>
        <w:jc w:val="both"/>
        <w:rPr>
          <w:rFonts w:hint="cs" w:ascii="FrankRuehl" w:hAnsi="FrankRuehl" w:cs="Times New Roman"/>
          <w:noProof w:val="0"/>
          <w:spacing w:val="10"/>
          <w:sz w:val="22"/>
          <w:szCs w:val="28"/>
          <w:rtl/>
        </w:rPr>
      </w:pPr>
      <w:r w:rsidRPr="00620612">
        <w:rPr>
          <w:rFonts w:hint="cs" w:ascii="FrankRuehl" w:hAnsi="FrankRuehl" w:cs="FrankRuehl"/>
          <w:noProof w:val="0"/>
          <w:spacing w:val="10"/>
          <w:sz w:val="22"/>
          <w:szCs w:val="28"/>
          <w:rtl/>
        </w:rPr>
        <w:lastRenderedPageBreak/>
        <w:t xml:space="preserve">משכך, הוועדה לעררים (אי כושר) לא היתה חייבת, ואף לא היתה מוסמכת, לבחון בעצמה את מצבו הרפואי של המערער. ואין לקבל את טענותיו הנוגעות לקביעות הרפואיות העומדות ביסוד החלטתה הועדה לעררים. </w:t>
      </w:r>
    </w:p>
    <w:p w:rsidRPr="00620612" w:rsidR="00620612" w:rsidP="00620612" w:rsidRDefault="00620612">
      <w:pPr>
        <w:tabs>
          <w:tab w:val="num" w:pos="1076"/>
        </w:tabs>
        <w:spacing w:after="360" w:line="360" w:lineRule="auto"/>
        <w:ind w:left="369" w:right="284"/>
        <w:jc w:val="both"/>
        <w:rPr>
          <w:rFonts w:ascii="FrankRuehl" w:hAnsi="FrankRuehl" w:cs="Times New Roman"/>
          <w:noProof w:val="0"/>
          <w:spacing w:val="10"/>
          <w:sz w:val="22"/>
          <w:szCs w:val="28"/>
          <w:rtl/>
        </w:rPr>
      </w:pPr>
      <w:r>
        <w:rPr>
          <w:rFonts w:hint="cs" w:ascii="FrankRuehl" w:hAnsi="FrankRuehl" w:cs="FrankRuehl"/>
          <w:noProof w:val="0"/>
          <w:spacing w:val="10"/>
          <w:sz w:val="22"/>
          <w:szCs w:val="28"/>
          <w:rtl/>
        </w:rPr>
        <w:t>12.</w:t>
      </w:r>
      <w:r>
        <w:rPr>
          <w:rFonts w:hint="cs" w:ascii="FrankRuehl" w:hAnsi="FrankRuehl" w:cs="FrankRuehl"/>
          <w:noProof w:val="0"/>
          <w:spacing w:val="10"/>
          <w:sz w:val="22"/>
          <w:szCs w:val="28"/>
          <w:rtl/>
        </w:rPr>
        <w:tab/>
      </w:r>
      <w:r w:rsidRPr="00620612">
        <w:rPr>
          <w:rFonts w:hint="cs" w:ascii="FrankRuehl" w:hAnsi="FrankRuehl" w:cs="FrankRuehl"/>
          <w:noProof w:val="0"/>
          <w:spacing w:val="10"/>
          <w:sz w:val="22"/>
          <w:szCs w:val="28"/>
          <w:rtl/>
        </w:rPr>
        <w:t xml:space="preserve">הנכות התפקודית שבה על הוועדה לעררים להכריע היא למעשה מידת ההגבלה הקיימת למבוטח המסוים בגין הנכות הרפואית או מידת השפעתה של זו על תפקודו. וכך נפסק בפרשת </w:t>
      </w:r>
      <w:r w:rsidRPr="00620612">
        <w:rPr>
          <w:rFonts w:ascii="Miriam" w:hAnsi="Miriam" w:cs="Miriam"/>
          <w:noProof w:val="0"/>
          <w:spacing w:val="10"/>
          <w:rtl/>
        </w:rPr>
        <w:t>מוהרה</w:t>
      </w:r>
      <w:r w:rsidRPr="00620612">
        <w:rPr>
          <w:rFonts w:hint="cs" w:ascii="FrankRuehl" w:hAnsi="FrankRuehl" w:cs="FrankRuehl"/>
          <w:noProof w:val="0"/>
          <w:spacing w:val="10"/>
          <w:sz w:val="22"/>
          <w:szCs w:val="28"/>
          <w:rtl/>
        </w:rPr>
        <w:t xml:space="preserve"> (עב"ל 327/03 </w:t>
      </w:r>
      <w:r w:rsidRPr="00620612">
        <w:rPr>
          <w:rFonts w:hint="cs" w:ascii="Miriam" w:hAnsi="Miriam" w:cs="Miriam"/>
          <w:noProof w:val="0"/>
          <w:spacing w:val="10"/>
          <w:rtl/>
        </w:rPr>
        <w:t>מוהרה</w:t>
      </w:r>
      <w:r w:rsidRPr="00620612">
        <w:rPr>
          <w:rFonts w:hint="cs" w:ascii="FrankRuehl" w:hAnsi="FrankRuehl" w:cs="FrankRuehl"/>
          <w:noProof w:val="0"/>
          <w:spacing w:val="10"/>
          <w:sz w:val="22"/>
          <w:szCs w:val="28"/>
          <w:rtl/>
        </w:rPr>
        <w:t xml:space="preserve"> נ' </w:t>
      </w:r>
      <w:r w:rsidRPr="00620612">
        <w:rPr>
          <w:rFonts w:hint="cs" w:ascii="Miriam" w:hAnsi="Miriam" w:cs="Miriam"/>
          <w:noProof w:val="0"/>
          <w:spacing w:val="10"/>
          <w:rtl/>
        </w:rPr>
        <w:t>המוסד לביטוח לאומי</w:t>
      </w:r>
      <w:r w:rsidRPr="00620612">
        <w:rPr>
          <w:rFonts w:hint="cs" w:ascii="FrankRuehl" w:hAnsi="FrankRuehl" w:cs="FrankRuehl"/>
          <w:noProof w:val="0"/>
          <w:spacing w:val="10"/>
          <w:sz w:val="22"/>
          <w:szCs w:val="28"/>
          <w:rtl/>
        </w:rPr>
        <w:t xml:space="preserve"> (15.4.04)): </w:t>
      </w:r>
    </w:p>
    <w:p w:rsidRPr="00620612" w:rsidR="00620612" w:rsidP="00620612" w:rsidRDefault="00620612">
      <w:pPr>
        <w:tabs>
          <w:tab w:val="left" w:pos="800"/>
          <w:tab w:val="left" w:pos="6888"/>
          <w:tab w:val="left" w:pos="7172"/>
        </w:tabs>
        <w:overflowPunct w:val="0"/>
        <w:autoSpaceDE w:val="0"/>
        <w:autoSpaceDN w:val="0"/>
        <w:adjustRightInd w:val="0"/>
        <w:ind w:left="1418" w:right="1276"/>
        <w:jc w:val="both"/>
        <w:rPr>
          <w:rFonts w:ascii="FrankRuehl" w:hAnsi="FrankRuehl" w:cs="Times New Roman"/>
          <w:noProof w:val="0"/>
          <w:spacing w:val="10"/>
          <w:sz w:val="28"/>
          <w:szCs w:val="28"/>
          <w:rtl/>
          <w:lang w:val="x-none" w:eastAsia="x-none"/>
        </w:rPr>
      </w:pPr>
      <w:r w:rsidRPr="00620612">
        <w:rPr>
          <w:rFonts w:hint="cs" w:ascii="FrankRuehl" w:hAnsi="FrankRuehl" w:cs="FrankRuehl"/>
          <w:noProof w:val="0"/>
          <w:spacing w:val="10"/>
          <w:sz w:val="28"/>
          <w:szCs w:val="28"/>
          <w:rtl/>
          <w:lang w:val="x-none" w:eastAsia="x-none"/>
        </w:rPr>
        <w:t xml:space="preserve">"בבוא הוועדה לקבוע את דרגת אי הכושר של המערער, עליה ליתן דעתה למידת ההשפעה של הליקויים הרפואיים מהם סובל מערער על יכולתו וכושרו לבצע עבודה ולעבוד בעבודה מלאה או חלקית. על הוועדה לנמק את החלטתה כדבעי. בהקשר זה נפסק:        </w:t>
      </w:r>
    </w:p>
    <w:p w:rsidRPr="00620612" w:rsidR="00620612" w:rsidP="00620612" w:rsidRDefault="00620612">
      <w:pPr>
        <w:tabs>
          <w:tab w:val="left" w:pos="800"/>
          <w:tab w:val="left" w:pos="6888"/>
          <w:tab w:val="left" w:pos="7172"/>
        </w:tabs>
        <w:overflowPunct w:val="0"/>
        <w:autoSpaceDE w:val="0"/>
        <w:autoSpaceDN w:val="0"/>
        <w:adjustRightInd w:val="0"/>
        <w:ind w:left="1418" w:right="1276"/>
        <w:jc w:val="both"/>
        <w:rPr>
          <w:rFonts w:ascii="FrankRuehl" w:hAnsi="FrankRuehl" w:cs="Times New Roman"/>
          <w:noProof w:val="0"/>
          <w:spacing w:val="10"/>
          <w:sz w:val="28"/>
          <w:szCs w:val="28"/>
          <w:rtl/>
          <w:lang w:val="x-none" w:eastAsia="x-none"/>
        </w:rPr>
      </w:pPr>
    </w:p>
    <w:p w:rsidRPr="00620612" w:rsidR="00620612" w:rsidP="00620612" w:rsidRDefault="00620612">
      <w:pPr>
        <w:tabs>
          <w:tab w:val="left" w:pos="800"/>
          <w:tab w:val="left" w:pos="6888"/>
          <w:tab w:val="left" w:pos="7172"/>
        </w:tabs>
        <w:overflowPunct w:val="0"/>
        <w:autoSpaceDE w:val="0"/>
        <w:autoSpaceDN w:val="0"/>
        <w:adjustRightInd w:val="0"/>
        <w:ind w:left="1418" w:right="1276"/>
        <w:jc w:val="both"/>
        <w:rPr>
          <w:rFonts w:ascii="FrankRuehl" w:hAnsi="FrankRuehl" w:cs="Times New Roman"/>
          <w:noProof w:val="0"/>
          <w:spacing w:val="10"/>
          <w:sz w:val="28"/>
          <w:szCs w:val="28"/>
          <w:rtl/>
          <w:lang w:val="x-none" w:eastAsia="x-none"/>
        </w:rPr>
      </w:pPr>
      <w:r w:rsidRPr="00620612">
        <w:rPr>
          <w:rFonts w:hint="cs" w:ascii="FrankRuehl" w:hAnsi="FrankRuehl" w:cs="FrankRuehl"/>
          <w:noProof w:val="0"/>
          <w:spacing w:val="10"/>
          <w:sz w:val="28"/>
          <w:szCs w:val="28"/>
          <w:rtl/>
          <w:lang w:val="x-none" w:eastAsia="x-none"/>
        </w:rPr>
        <w:t>"נקודת המוצא לקביעת דרגת אי הכושר כאמור צריכה להיות, כי ליקויו הרפואיים של המערער כפי שנקבעו על ידי הוועדה הרפואית לעררים מבטאים דרגה אובייקטיבית של אי כושר לעבוד. מתוך נקודת מוצא זו, על הוועדה לקבוע את דרגת אי כושרו על פי נסיבותיו האישיות של הנכה. למשל, יכולת לחזור לעבודה קודמת, גיל, השכלה ויכולת אינטלקטואלית ופיסית".</w:t>
      </w:r>
    </w:p>
    <w:p w:rsidRPr="00620612" w:rsidR="00620612" w:rsidP="00620612" w:rsidRDefault="00620612">
      <w:pPr>
        <w:ind w:left="720"/>
        <w:rPr>
          <w:rFonts w:cs="Times New Roman"/>
          <w:noProof w:val="0"/>
          <w:rtl/>
        </w:rPr>
      </w:pPr>
    </w:p>
    <w:p w:rsidRPr="00620612" w:rsidR="00620612" w:rsidP="00030108" w:rsidRDefault="00620612">
      <w:pPr>
        <w:spacing w:after="360" w:line="360" w:lineRule="auto"/>
        <w:ind w:right="284" w:firstLine="720"/>
        <w:jc w:val="both"/>
        <w:rPr>
          <w:rFonts w:ascii="FrankRuehl" w:hAnsi="FrankRuehl" w:cs="FrankRuehl"/>
          <w:noProof w:val="0"/>
          <w:spacing w:val="10"/>
          <w:sz w:val="22"/>
          <w:szCs w:val="28"/>
        </w:rPr>
      </w:pPr>
      <w:r w:rsidRPr="00620612">
        <w:rPr>
          <w:rFonts w:ascii="FrankRuehl" w:hAnsi="FrankRuehl" w:cs="FrankRuehl"/>
          <w:noProof w:val="0"/>
          <w:spacing w:val="10"/>
          <w:sz w:val="22"/>
          <w:szCs w:val="28"/>
          <w:rtl/>
        </w:rPr>
        <w:t>כן ראו:</w:t>
      </w:r>
      <w:r w:rsidRPr="00620612">
        <w:rPr>
          <w:rFonts w:ascii="FrankRuehl" w:hAnsi="FrankRuehl" w:cs="Times New Roman"/>
          <w:noProof w:val="0"/>
          <w:spacing w:val="10"/>
          <w:sz w:val="22"/>
          <w:szCs w:val="28"/>
          <w:rtl/>
        </w:rPr>
        <w:t xml:space="preserve"> </w:t>
      </w:r>
      <w:r w:rsidRPr="00620612">
        <w:rPr>
          <w:rFonts w:hint="cs" w:ascii="FrankRuehl" w:hAnsi="FrankRuehl" w:cs="FrankRuehl"/>
          <w:noProof w:val="0"/>
          <w:spacing w:val="10"/>
          <w:sz w:val="22"/>
          <w:szCs w:val="28"/>
          <w:rtl/>
        </w:rPr>
        <w:t xml:space="preserve">עבל 651/05 </w:t>
      </w:r>
      <w:r w:rsidRPr="00620612">
        <w:rPr>
          <w:rFonts w:ascii="Miriam" w:hAnsi="Miriam" w:cs="Miriam"/>
          <w:noProof w:val="0"/>
          <w:spacing w:val="10"/>
          <w:rtl/>
        </w:rPr>
        <w:t>חיימוביץ</w:t>
      </w:r>
      <w:r w:rsidRPr="00620612">
        <w:rPr>
          <w:rFonts w:hint="cs" w:ascii="FrankRuehl" w:hAnsi="FrankRuehl" w:cs="FrankRuehl"/>
          <w:noProof w:val="0"/>
          <w:spacing w:val="10"/>
          <w:sz w:val="22"/>
          <w:szCs w:val="28"/>
          <w:rtl/>
        </w:rPr>
        <w:t xml:space="preserve"> נ' </w:t>
      </w:r>
      <w:r w:rsidRPr="00620612">
        <w:rPr>
          <w:rFonts w:ascii="Miriam" w:hAnsi="Miriam" w:cs="Miriam"/>
          <w:noProof w:val="0"/>
          <w:spacing w:val="10"/>
          <w:rtl/>
        </w:rPr>
        <w:t xml:space="preserve">המוסד לביטוח לאומי </w:t>
      </w:r>
      <w:r w:rsidRPr="00620612">
        <w:rPr>
          <w:rFonts w:hint="cs" w:ascii="FrankRuehl" w:hAnsi="FrankRuehl" w:cs="FrankRuehl"/>
          <w:noProof w:val="0"/>
          <w:spacing w:val="10"/>
          <w:sz w:val="22"/>
          <w:szCs w:val="28"/>
          <w:rtl/>
        </w:rPr>
        <w:t>(25.9.06).</w:t>
      </w:r>
    </w:p>
    <w:p w:rsidRPr="00620612" w:rsidR="00620612" w:rsidP="00620612" w:rsidRDefault="00030108">
      <w:pPr>
        <w:tabs>
          <w:tab w:val="num" w:pos="1076"/>
        </w:tabs>
        <w:spacing w:after="360" w:line="360" w:lineRule="auto"/>
        <w:ind w:left="369" w:right="284"/>
        <w:jc w:val="both"/>
        <w:rPr>
          <w:rFonts w:hint="cs" w:ascii="FrankRuehl" w:hAnsi="FrankRuehl" w:cs="Times New Roman"/>
          <w:noProof w:val="0"/>
          <w:spacing w:val="10"/>
          <w:sz w:val="22"/>
          <w:szCs w:val="28"/>
          <w:rtl/>
        </w:rPr>
      </w:pPr>
      <w:r>
        <w:rPr>
          <w:rFonts w:hint="cs" w:ascii="FrankRuehl" w:hAnsi="FrankRuehl" w:cs="FrankRuehl"/>
          <w:noProof w:val="0"/>
          <w:spacing w:val="10"/>
          <w:sz w:val="22"/>
          <w:szCs w:val="28"/>
          <w:rtl/>
        </w:rPr>
        <w:t>13.</w:t>
      </w:r>
      <w:r>
        <w:rPr>
          <w:rFonts w:hint="cs" w:ascii="FrankRuehl" w:hAnsi="FrankRuehl" w:cs="FrankRuehl"/>
          <w:noProof w:val="0"/>
          <w:spacing w:val="10"/>
          <w:sz w:val="22"/>
          <w:szCs w:val="28"/>
          <w:rtl/>
        </w:rPr>
        <w:tab/>
      </w:r>
      <w:r w:rsidRPr="00620612" w:rsidR="00620612">
        <w:rPr>
          <w:rFonts w:hint="cs" w:ascii="FrankRuehl" w:hAnsi="FrankRuehl" w:cs="FrankRuehl"/>
          <w:noProof w:val="0"/>
          <w:spacing w:val="10"/>
          <w:sz w:val="22"/>
          <w:szCs w:val="28"/>
          <w:rtl/>
        </w:rPr>
        <w:t xml:space="preserve">מעיון בפרוטוקול הוועדה עולה כי זו הייתה מודעת למצבו הרפואי של המערער, והביאה בחשבון את ליקוייו הרפואיים, ובכלל זה היא עיינה בפרוטוקול הוועדה הרפואית לרבות פריטי הליקוי שנקבעו בו, ובמסמכים הרפואיים שבתיקו, והיא אף במסמכים עדכניים שצורפו במועד התכנסותה. הוועדה פירטה בעניין זה שבשל הליקויים הרפואיים, המערער זקוק לטיפול רפואי ואשפוזים בשל התקפי אפילפסיה ואסטמה. כמו כן, ליקוייו הרפואיים מגבילים אותו במאמץ גופני מכל סוג שהוא וכן בחשיפה לחומרים מגרים, והוא נדרש בשל כך לסביבה מאווררת היטב ונטולת סיכונים. </w:t>
      </w:r>
    </w:p>
    <w:p w:rsidRPr="00620612" w:rsidR="00620612" w:rsidP="00620612" w:rsidRDefault="00620612">
      <w:pPr>
        <w:spacing w:after="360" w:line="360" w:lineRule="auto"/>
        <w:ind w:left="369" w:right="284" w:firstLine="707"/>
        <w:jc w:val="both"/>
        <w:rPr>
          <w:rFonts w:ascii="FrankRuehl" w:hAnsi="FrankRuehl" w:cs="Times New Roman"/>
          <w:noProof w:val="0"/>
          <w:spacing w:val="10"/>
          <w:sz w:val="22"/>
          <w:szCs w:val="28"/>
          <w:rtl/>
        </w:rPr>
      </w:pPr>
      <w:r w:rsidRPr="00620612">
        <w:rPr>
          <w:rFonts w:hint="cs" w:ascii="FrankRuehl" w:hAnsi="FrankRuehl" w:cs="FrankRuehl"/>
          <w:noProof w:val="0"/>
          <w:spacing w:val="10"/>
          <w:sz w:val="22"/>
          <w:szCs w:val="28"/>
          <w:rtl/>
        </w:rPr>
        <w:lastRenderedPageBreak/>
        <w:t xml:space="preserve">בצד זאת, הוועדה התייחסה לנסיבות האישיות, ובכלל זה לגילו (21), לטענותיו שאינו עובד כיום, וכן לכך שהוא בעל 12 שנות לימוד, בעל בגרות טובה, ולעברו התעסוקתי. הוועדה שמעה את טענותיו ואת טענות אביו ואף ציינה לפניה את ניסיונות המערער להשתלב במכינה אקדמית ללימודי רפואה ואת ניסיונותיו שלא צלחו להשתלב במספר מקומות עבודה. הוועדה התייחסה למגבלותיו הרפואיות, והבהירה בהחלטתה כיצד להבנתה עבודות משרדיות ופקידותיות מגוונות אפשריות מבחינתו, על סמך נתוניו האישיים האמורים, חרף אלה. </w:t>
      </w:r>
    </w:p>
    <w:p w:rsidRPr="00620612" w:rsidR="00620612" w:rsidP="00620612" w:rsidRDefault="00620612">
      <w:pPr>
        <w:spacing w:after="360" w:line="360" w:lineRule="auto"/>
        <w:ind w:left="369" w:right="284" w:firstLine="707"/>
        <w:jc w:val="both"/>
        <w:rPr>
          <w:rFonts w:hint="cs" w:ascii="FrankRuehl" w:hAnsi="FrankRuehl" w:cs="FrankRuehl"/>
          <w:noProof w:val="0"/>
          <w:spacing w:val="10"/>
          <w:sz w:val="22"/>
          <w:szCs w:val="28"/>
        </w:rPr>
      </w:pPr>
      <w:r w:rsidRPr="00620612">
        <w:rPr>
          <w:rFonts w:hint="cs" w:ascii="FrankRuehl" w:hAnsi="FrankRuehl" w:cs="FrankRuehl"/>
          <w:noProof w:val="0"/>
          <w:spacing w:val="10"/>
          <w:sz w:val="22"/>
          <w:szCs w:val="28"/>
          <w:rtl/>
        </w:rPr>
        <w:t>זאת ועוד, הוועדה ציינה שעמדו בפניה דוח פקידת השיקום ודוח רופא המוסד. החלטתה עולה בקנה אחד עם חוות דעת הרופא המוסמך לעניין כושר השתכרות מיום 19.7.16, לפיה המערער מסוגל לעבודה מלאה בתנאים מיוחדים, תוך שהוא מפרט לעניין זה כי המדובר ב"עבודה בישיבה בלבד וללא מאמץ ועבודה המתאימה לחולי אפילפסיה". כן עולה ההחלטה בקנה אחד עם דוח כושר השתכרות של מחלקת השיקום מיום 14.9.16, בשו צוין שבהתייעצות עם ד"ר קרביץ "המערער מסוגל לעבודה מלאה ללא חשיפה לאבק, חומרים כימיים...ולא ליד מכונות פועלות. נדחה על כושר ונוספו לו 10% שד"ר קרביץ מציינת כי מסוגל לעבוד מלא. כמו כן, אינו מתאר מצב שאינו יכול לעבוד כלל. יוכל לקבל שיקום." בהמלצתה קבעה עובדת השיקום שהמערער:</w:t>
      </w:r>
    </w:p>
    <w:p w:rsidRPr="00620612" w:rsidR="00620612" w:rsidP="00620612" w:rsidRDefault="00620612">
      <w:pPr>
        <w:tabs>
          <w:tab w:val="left" w:pos="800"/>
          <w:tab w:val="left" w:pos="6888"/>
          <w:tab w:val="left" w:pos="7172"/>
        </w:tabs>
        <w:overflowPunct w:val="0"/>
        <w:autoSpaceDE w:val="0"/>
        <w:autoSpaceDN w:val="0"/>
        <w:adjustRightInd w:val="0"/>
        <w:ind w:left="1418" w:right="1276"/>
        <w:jc w:val="both"/>
        <w:rPr>
          <w:rFonts w:hint="cs" w:ascii="FrankRuehl" w:hAnsi="FrankRuehl" w:cs="FrankRuehl"/>
          <w:noProof w:val="0"/>
          <w:spacing w:val="10"/>
          <w:sz w:val="28"/>
          <w:szCs w:val="28"/>
          <w:rtl/>
          <w:lang w:val="x-none" w:eastAsia="x-none"/>
        </w:rPr>
      </w:pPr>
      <w:r w:rsidRPr="00620612">
        <w:rPr>
          <w:rFonts w:hint="cs" w:ascii="FrankRuehl" w:hAnsi="FrankRuehl" w:cs="FrankRuehl"/>
          <w:noProof w:val="0"/>
          <w:spacing w:val="10"/>
          <w:sz w:val="28"/>
          <w:szCs w:val="28"/>
          <w:rtl/>
          <w:lang w:val="x-none" w:eastAsia="x-none"/>
        </w:rPr>
        <w:t xml:space="preserve"> "יליד 1995, רווק החל ללמוד רפואה באוניברסיטה...אך טוען שלא התאים מבחינת הלימודים. מתלונן על עייפות והתקפי פרכוסים לא ברור מה כמות ההתקפים. לדברי הרופא נוירולוג ובחוות הדעת אין מעקב רציף. בהתייעצות עם ד"ר קרביץ מסוגל לעבוד באופן מלא. מתחשבת בדעת הרופאה מסוגל לעבוד באופן מלא במענה טלפוני, עבודה משרדית". </w:t>
      </w:r>
    </w:p>
    <w:p w:rsidRPr="00620612" w:rsidR="00620612" w:rsidP="00620612" w:rsidRDefault="00620612">
      <w:pPr>
        <w:spacing w:line="360" w:lineRule="auto"/>
        <w:ind w:left="720"/>
        <w:jc w:val="both"/>
        <w:rPr>
          <w:rFonts w:hint="cs" w:cs="Times New Roman"/>
          <w:noProof w:val="0"/>
        </w:rPr>
      </w:pPr>
    </w:p>
    <w:p w:rsidRPr="00620612" w:rsidR="00620612" w:rsidP="00620612" w:rsidRDefault="00030108">
      <w:pPr>
        <w:tabs>
          <w:tab w:val="num" w:pos="1076"/>
        </w:tabs>
        <w:spacing w:after="360" w:line="360" w:lineRule="auto"/>
        <w:ind w:left="369" w:right="284"/>
        <w:jc w:val="both"/>
        <w:rPr>
          <w:rFonts w:ascii="FrankRuehl" w:hAnsi="FrankRuehl" w:cs="Times New Roman"/>
          <w:noProof w:val="0"/>
          <w:spacing w:val="10"/>
          <w:sz w:val="22"/>
          <w:szCs w:val="28"/>
        </w:rPr>
      </w:pPr>
      <w:r>
        <w:rPr>
          <w:rFonts w:hint="cs" w:ascii="FrankRuehl" w:hAnsi="FrankRuehl" w:cs="FrankRuehl"/>
          <w:noProof w:val="0"/>
          <w:spacing w:val="10"/>
          <w:sz w:val="22"/>
          <w:szCs w:val="28"/>
          <w:rtl/>
        </w:rPr>
        <w:t>14.</w:t>
      </w:r>
      <w:r>
        <w:rPr>
          <w:rFonts w:hint="cs" w:ascii="FrankRuehl" w:hAnsi="FrankRuehl" w:cs="FrankRuehl"/>
          <w:noProof w:val="0"/>
          <w:spacing w:val="10"/>
          <w:sz w:val="22"/>
          <w:szCs w:val="28"/>
          <w:rtl/>
        </w:rPr>
        <w:tab/>
      </w:r>
      <w:r w:rsidRPr="00620612" w:rsidR="00620612">
        <w:rPr>
          <w:rFonts w:hint="cs" w:ascii="FrankRuehl" w:hAnsi="FrankRuehl" w:cs="FrankRuehl"/>
          <w:noProof w:val="0"/>
          <w:spacing w:val="10"/>
          <w:sz w:val="22"/>
          <w:szCs w:val="28"/>
          <w:rtl/>
        </w:rPr>
        <w:t>עיון בטיעוני הערעור מעלה כי אלה מבקשים לתקוף את שיקול דעתה המקצועי של הוועדה לעררים, שבית הדין אינו מתערב בו.</w:t>
      </w:r>
    </w:p>
    <w:p w:rsidRPr="00620612" w:rsidR="00620612" w:rsidP="00620612" w:rsidRDefault="00620612">
      <w:pPr>
        <w:spacing w:after="360" w:line="360" w:lineRule="auto"/>
        <w:ind w:left="369" w:right="284" w:firstLine="707"/>
        <w:jc w:val="both"/>
        <w:rPr>
          <w:rFonts w:hint="cs" w:ascii="FrankRuehl" w:hAnsi="FrankRuehl" w:cs="FrankRuehl"/>
          <w:noProof w:val="0"/>
          <w:spacing w:val="10"/>
          <w:sz w:val="22"/>
          <w:szCs w:val="28"/>
        </w:rPr>
      </w:pPr>
      <w:r w:rsidRPr="00620612">
        <w:rPr>
          <w:rFonts w:hint="cs" w:ascii="FrankRuehl" w:hAnsi="FrankRuehl" w:cs="FrankRuehl"/>
          <w:noProof w:val="0"/>
          <w:spacing w:val="10"/>
          <w:sz w:val="22"/>
          <w:szCs w:val="28"/>
          <w:rtl/>
        </w:rPr>
        <w:t>באשר לטענות המערער בדבר הרכב הועדה, הרי שבהתאם לתקנה 26(א) ל</w:t>
      </w:r>
      <w:r w:rsidRPr="00620612">
        <w:rPr>
          <w:rFonts w:ascii="Miriam" w:hAnsi="Miriam" w:cs="Miriam"/>
          <w:noProof w:val="0"/>
          <w:spacing w:val="10"/>
          <w:rtl/>
        </w:rPr>
        <w:t>תקנות הביטוח הלאומי (ביטוח נכות) (קביעת אחוזי נכות רפואית, מינוי ועדות לעררים והוראות שונות), התשמ"ד-1984</w:t>
      </w:r>
      <w:r w:rsidRPr="00620612">
        <w:rPr>
          <w:rFonts w:hint="cs" w:ascii="FrankRuehl" w:hAnsi="FrankRuehl" w:cs="FrankRuehl"/>
          <w:noProof w:val="0"/>
          <w:spacing w:val="10"/>
          <w:sz w:val="22"/>
          <w:szCs w:val="28"/>
          <w:rtl/>
        </w:rPr>
        <w:t xml:space="preserve"> ועדה לעררים תורכב משניים או משלושה </w:t>
      </w:r>
      <w:r w:rsidRPr="00620612">
        <w:rPr>
          <w:rFonts w:hint="cs" w:ascii="FrankRuehl" w:hAnsi="FrankRuehl" w:cs="FrankRuehl"/>
          <w:noProof w:val="0"/>
          <w:spacing w:val="10"/>
          <w:sz w:val="22"/>
          <w:szCs w:val="28"/>
          <w:rtl/>
        </w:rPr>
        <w:lastRenderedPageBreak/>
        <w:t>מומחים במקצועות התעסוקה, השיקום והרפואה. בהתאם, נפסק שהועדה יכולה להיות מורכבת משני מומחים בלבד (עבל 3708-12-13‏ ‏</w:t>
      </w:r>
      <w:r w:rsidRPr="00620612">
        <w:rPr>
          <w:rFonts w:ascii="Miriam" w:hAnsi="Miriam" w:cs="Miriam"/>
          <w:noProof w:val="0"/>
          <w:spacing w:val="10"/>
          <w:rtl/>
        </w:rPr>
        <w:t>גוליאן</w:t>
      </w:r>
      <w:r w:rsidRPr="00620612">
        <w:rPr>
          <w:rFonts w:hint="cs" w:ascii="FrankRuehl" w:hAnsi="FrankRuehl" w:cs="FrankRuehl"/>
          <w:noProof w:val="0"/>
          <w:spacing w:val="10"/>
          <w:sz w:val="22"/>
          <w:szCs w:val="28"/>
          <w:rtl/>
        </w:rPr>
        <w:t xml:space="preserve"> נ' </w:t>
      </w:r>
      <w:r w:rsidRPr="00620612">
        <w:rPr>
          <w:rFonts w:ascii="Miriam" w:hAnsi="Miriam" w:cs="Miriam"/>
          <w:noProof w:val="0"/>
          <w:spacing w:val="10"/>
          <w:rtl/>
        </w:rPr>
        <w:t>המוסד לביטוח לאומי</w:t>
      </w:r>
      <w:r w:rsidRPr="00620612">
        <w:rPr>
          <w:rFonts w:hint="cs" w:ascii="FrankRuehl" w:hAnsi="FrankRuehl" w:cs="FrankRuehl"/>
          <w:noProof w:val="0"/>
          <w:spacing w:val="10"/>
          <w:sz w:val="22"/>
          <w:szCs w:val="28"/>
          <w:rtl/>
        </w:rPr>
        <w:t xml:space="preserve"> (12.8.15); עבל 45194-11-15‏ ‏</w:t>
      </w:r>
      <w:r w:rsidRPr="00620612">
        <w:rPr>
          <w:rFonts w:ascii="Miriam" w:hAnsi="Miriam" w:cs="Miriam"/>
          <w:noProof w:val="0"/>
          <w:spacing w:val="10"/>
          <w:rtl/>
        </w:rPr>
        <w:t>סבג</w:t>
      </w:r>
      <w:r w:rsidRPr="00620612">
        <w:rPr>
          <w:rFonts w:hint="cs" w:ascii="FrankRuehl" w:hAnsi="FrankRuehl" w:cs="FrankRuehl"/>
          <w:noProof w:val="0"/>
          <w:spacing w:val="10"/>
          <w:sz w:val="22"/>
          <w:szCs w:val="28"/>
          <w:rtl/>
        </w:rPr>
        <w:t xml:space="preserve"> נ' </w:t>
      </w:r>
      <w:r w:rsidRPr="00620612">
        <w:rPr>
          <w:rFonts w:ascii="Miriam" w:hAnsi="Miriam" w:cs="Miriam"/>
          <w:noProof w:val="0"/>
          <w:spacing w:val="10"/>
          <w:rtl/>
        </w:rPr>
        <w:t>המוסד לביטוח לאומי</w:t>
      </w:r>
      <w:r w:rsidRPr="00620612">
        <w:rPr>
          <w:rFonts w:hint="cs" w:ascii="FrankRuehl" w:hAnsi="FrankRuehl" w:cs="FrankRuehl"/>
          <w:noProof w:val="0"/>
          <w:spacing w:val="10"/>
          <w:sz w:val="22"/>
          <w:szCs w:val="28"/>
          <w:rtl/>
        </w:rPr>
        <w:t xml:space="preserve"> (22.8.17)). משכך, לא נפל פגם בעבודתה מהטעם שנמנו על הרכבה שני פוסקים בתחום הרפואה התעסוקתית ובתחום השיקום. משכך, אף דינן של טענות המערער בעניין זה להידחות. </w:t>
      </w:r>
    </w:p>
    <w:p w:rsidRPr="00620612" w:rsidR="00620612" w:rsidP="00620612" w:rsidRDefault="00620612">
      <w:pPr>
        <w:ind w:left="720"/>
        <w:rPr>
          <w:rFonts w:hint="cs" w:cs="Times New Roman"/>
          <w:noProof w:val="0"/>
        </w:rPr>
      </w:pPr>
    </w:p>
    <w:p w:rsidRPr="00620612" w:rsidR="00620612" w:rsidP="00620612" w:rsidRDefault="00620612">
      <w:pPr>
        <w:spacing w:after="120" w:line="360" w:lineRule="auto"/>
        <w:ind w:firstLine="360"/>
        <w:jc w:val="both"/>
        <w:rPr>
          <w:rFonts w:cs="Miriam"/>
          <w:noProof w:val="0"/>
          <w:spacing w:val="10"/>
          <w:u w:val="single"/>
        </w:rPr>
      </w:pPr>
      <w:r w:rsidRPr="00620612">
        <w:rPr>
          <w:rFonts w:hint="cs" w:cs="Miriam"/>
          <w:noProof w:val="0"/>
          <w:spacing w:val="10"/>
          <w:u w:val="single"/>
          <w:rtl/>
        </w:rPr>
        <w:t>סוף דבר</w:t>
      </w:r>
    </w:p>
    <w:p w:rsidRPr="00620612" w:rsidR="00620612" w:rsidP="00620612" w:rsidRDefault="00030108">
      <w:pPr>
        <w:tabs>
          <w:tab w:val="num" w:pos="1076"/>
        </w:tabs>
        <w:spacing w:after="360" w:line="360" w:lineRule="auto"/>
        <w:ind w:left="369" w:right="284"/>
        <w:jc w:val="both"/>
        <w:rPr>
          <w:rFonts w:hint="cs" w:ascii="FrankRuehl" w:hAnsi="FrankRuehl" w:cs="FrankRuehl"/>
          <w:noProof w:val="0"/>
          <w:spacing w:val="10"/>
          <w:sz w:val="22"/>
          <w:szCs w:val="28"/>
          <w:rtl/>
        </w:rPr>
      </w:pPr>
      <w:r>
        <w:rPr>
          <w:rFonts w:hint="cs" w:ascii="FrankRuehl" w:hAnsi="FrankRuehl" w:cs="FrankRuehl"/>
          <w:noProof w:val="0"/>
          <w:spacing w:val="10"/>
          <w:sz w:val="22"/>
          <w:szCs w:val="28"/>
          <w:rtl/>
        </w:rPr>
        <w:t>15.</w:t>
      </w:r>
      <w:r>
        <w:rPr>
          <w:rFonts w:hint="cs" w:ascii="FrankRuehl" w:hAnsi="FrankRuehl" w:cs="FrankRuehl"/>
          <w:noProof w:val="0"/>
          <w:spacing w:val="10"/>
          <w:sz w:val="22"/>
          <w:szCs w:val="28"/>
          <w:rtl/>
        </w:rPr>
        <w:tab/>
      </w:r>
      <w:r w:rsidRPr="00620612" w:rsidR="00620612">
        <w:rPr>
          <w:rFonts w:hint="cs" w:ascii="FrankRuehl" w:hAnsi="FrankRuehl" w:cs="FrankRuehl"/>
          <w:noProof w:val="0"/>
          <w:spacing w:val="10"/>
          <w:sz w:val="22"/>
          <w:szCs w:val="28"/>
          <w:rtl/>
        </w:rPr>
        <w:t>על יסוד האמור לעיל, הערעור נדחה. על אף זאת, וכמקובל בתיקים מתחום הביטחון הסוציאלי, אין צו להוצאות.</w:t>
      </w:r>
    </w:p>
    <w:p w:rsidRPr="00620612" w:rsidR="00620612" w:rsidP="00030108" w:rsidRDefault="00620612">
      <w:pPr>
        <w:spacing w:after="360" w:line="360" w:lineRule="auto"/>
        <w:ind w:left="369" w:right="284" w:firstLine="707"/>
        <w:jc w:val="both"/>
        <w:rPr>
          <w:rFonts w:hint="cs" w:ascii="FrankRuehl" w:hAnsi="FrankRuehl" w:cs="FrankRuehl"/>
          <w:noProof w:val="0"/>
          <w:spacing w:val="10"/>
          <w:sz w:val="22"/>
          <w:szCs w:val="28"/>
        </w:rPr>
      </w:pPr>
      <w:r w:rsidRPr="00620612">
        <w:rPr>
          <w:rFonts w:hint="cs" w:ascii="FrankRuehl" w:hAnsi="FrankRuehl" w:cs="FrankRuehl"/>
          <w:noProof w:val="0"/>
          <w:spacing w:val="10"/>
          <w:sz w:val="22"/>
          <w:szCs w:val="28"/>
          <w:rtl/>
        </w:rPr>
        <w:t>על מנת לשמור על זכותו של המערער לסודיות רפואית, הריני להורות כי פסק דין זה יפורסם בהשמטת שמו.</w:t>
      </w:r>
    </w:p>
    <w:p w:rsidRPr="00030108" w:rsidR="00694556" w:rsidP="00030108" w:rsidRDefault="00620612">
      <w:pPr>
        <w:spacing w:after="360" w:line="360" w:lineRule="auto"/>
        <w:ind w:left="369" w:right="284" w:firstLine="707"/>
        <w:jc w:val="both"/>
        <w:rPr>
          <w:rFonts w:ascii="FrankRuehl" w:hAnsi="FrankRuehl" w:cs="FrankRuehl"/>
          <w:b/>
          <w:bCs/>
          <w:noProof w:val="0"/>
          <w:spacing w:val="10"/>
          <w:sz w:val="22"/>
          <w:szCs w:val="28"/>
          <w:rtl/>
        </w:rPr>
      </w:pPr>
      <w:r w:rsidRPr="00620612">
        <w:rPr>
          <w:rFonts w:hint="cs" w:ascii="FrankRuehl" w:hAnsi="FrankRuehl" w:cs="FrankRuehl"/>
          <w:b/>
          <w:bCs/>
          <w:noProof w:val="0"/>
          <w:spacing w:val="10"/>
          <w:sz w:val="22"/>
          <w:szCs w:val="28"/>
          <w:rtl/>
        </w:rPr>
        <w:t>על פסק דין זה ניתן להגיש בקשת רשות ערעור לבית הדין הארצי לעבודה בתוך 30 יום ממועד קבלתו אצל הצד המבקש לעשות כן.</w:t>
      </w:r>
    </w:p>
    <w:p w:rsidRPr="0032390E" w:rsidR="00694556" w:rsidP="00620612" w:rsidRDefault="00005C8B">
      <w:pPr>
        <w:spacing w:line="360" w:lineRule="auto"/>
        <w:jc w:val="both"/>
        <w:rPr>
          <w:rFonts w:ascii="Arial" w:hAnsi="Arial"/>
          <w:b/>
          <w:bCs/>
          <w:noProof w:val="0"/>
          <w:sz w:val="28"/>
          <w:szCs w:val="28"/>
          <w:rtl/>
        </w:rPr>
      </w:pPr>
      <w:r w:rsidRPr="0032390E">
        <w:rPr>
          <w:rFonts w:ascii="Arial" w:hAnsi="Arial"/>
          <w:b/>
          <w:bCs/>
          <w:noProof w:val="0"/>
          <w:sz w:val="28"/>
          <w:szCs w:val="28"/>
          <w:rtl/>
        </w:rPr>
        <w:t xml:space="preserve">ניתן היום, </w:t>
      </w:r>
      <w:sdt>
        <w:sdtPr>
          <w:rPr>
            <w:b/>
            <w:bCs/>
            <w:sz w:val="28"/>
            <w:szCs w:val="28"/>
            <w:rtl/>
          </w:rPr>
          <w:alias w:val="1455"/>
          <w:tag w:val="1455"/>
          <w:id w:val="-783730955"/>
          <w:text w:multiLine="1"/>
        </w:sdtPr>
        <w:sdtEndPr/>
        <w:sdtContent>
          <w:r>
            <w:rPr>
              <w:rFonts w:ascii="Arial" w:hAnsi="Arial"/>
              <w:b/>
              <w:bCs/>
              <w:noProof w:val="0"/>
              <w:sz w:val="28"/>
              <w:szCs w:val="28"/>
              <w:rtl/>
            </w:rPr>
            <w:t>כ"ו ניסן תשע"ח</w:t>
          </w:r>
        </w:sdtContent>
      </w:sdt>
      <w:r w:rsidRPr="0032390E">
        <w:rPr>
          <w:rFonts w:ascii="Arial" w:hAnsi="Arial"/>
          <w:b/>
          <w:bCs/>
          <w:noProof w:val="0"/>
          <w:sz w:val="28"/>
          <w:szCs w:val="28"/>
          <w:rtl/>
        </w:rPr>
        <w:t xml:space="preserve">, </w:t>
      </w:r>
      <w:r w:rsidRPr="0032390E" w:rsidR="00621052">
        <w:rPr>
          <w:rFonts w:hint="cs" w:ascii="Arial" w:hAnsi="Arial"/>
          <w:b/>
          <w:bCs/>
          <w:noProof w:val="0"/>
          <w:sz w:val="28"/>
          <w:szCs w:val="28"/>
          <w:rtl/>
        </w:rPr>
        <w:t>(</w:t>
      </w:r>
      <w:sdt>
        <w:sdtPr>
          <w:rPr>
            <w:b/>
            <w:bCs/>
            <w:sz w:val="28"/>
            <w:szCs w:val="28"/>
            <w:rtl/>
          </w:rPr>
          <w:alias w:val="1456"/>
          <w:tag w:val="1456"/>
          <w:id w:val="-1707169306"/>
          <w:text w:multiLine="1"/>
        </w:sdtPr>
        <w:sdtEndPr/>
        <w:sdtContent>
          <w:r>
            <w:rPr>
              <w:rFonts w:ascii="Arial" w:hAnsi="Arial"/>
              <w:b/>
              <w:bCs/>
              <w:noProof w:val="0"/>
              <w:sz w:val="28"/>
              <w:szCs w:val="28"/>
              <w:rtl/>
            </w:rPr>
            <w:t>11 אפריל 2018</w:t>
          </w:r>
        </w:sdtContent>
      </w:sdt>
      <w:r w:rsidRPr="0032390E" w:rsidR="00621052">
        <w:rPr>
          <w:rFonts w:hint="cs"/>
          <w:b/>
          <w:bCs/>
          <w:sz w:val="28"/>
          <w:szCs w:val="28"/>
          <w:rtl/>
        </w:rPr>
        <w:t>)</w:t>
      </w:r>
      <w:r w:rsidRPr="0032390E">
        <w:rPr>
          <w:rFonts w:ascii="Arial" w:hAnsi="Arial"/>
          <w:b/>
          <w:bCs/>
          <w:noProof w:val="0"/>
          <w:sz w:val="28"/>
          <w:szCs w:val="28"/>
          <w:rtl/>
        </w:rPr>
        <w:t xml:space="preserve">, </w:t>
      </w:r>
      <w:r w:rsidRPr="0032390E" w:rsidR="00621052">
        <w:rPr>
          <w:rFonts w:hint="cs" w:ascii="Arial" w:hAnsi="Arial"/>
          <w:b/>
          <w:bCs/>
          <w:noProof w:val="0"/>
          <w:sz w:val="28"/>
          <w:szCs w:val="28"/>
          <w:rtl/>
        </w:rPr>
        <w:t>ב</w:t>
      </w:r>
      <w:r w:rsidRPr="0032390E">
        <w:rPr>
          <w:rFonts w:ascii="Arial" w:hAnsi="Arial"/>
          <w:b/>
          <w:bCs/>
          <w:noProof w:val="0"/>
          <w:sz w:val="28"/>
          <w:szCs w:val="28"/>
          <w:rtl/>
        </w:rPr>
        <w:t>העדר הצדדים</w:t>
      </w:r>
      <w:r w:rsidRPr="0032390E" w:rsidR="00621052">
        <w:rPr>
          <w:rFonts w:hint="cs" w:ascii="Arial" w:hAnsi="Arial"/>
          <w:b/>
          <w:bCs/>
          <w:noProof w:val="0"/>
          <w:sz w:val="28"/>
          <w:szCs w:val="28"/>
          <w:rtl/>
        </w:rPr>
        <w:t xml:space="preserve"> ויישלח אליהם</w:t>
      </w:r>
      <w:r w:rsidRPr="0032390E">
        <w:rPr>
          <w:rFonts w:ascii="Arial" w:hAnsi="Arial"/>
          <w:b/>
          <w:bCs/>
          <w:noProof w:val="0"/>
          <w:sz w:val="28"/>
          <w:szCs w:val="28"/>
          <w:rtl/>
        </w:rPr>
        <w:t>.</w:t>
      </w:r>
    </w:p>
    <w:p w:rsidR="00694556" w:rsidRDefault="00694556">
      <w:pPr>
        <w:spacing w:line="360" w:lineRule="auto"/>
        <w:jc w:val="both"/>
        <w:rPr>
          <w:rFonts w:ascii="Arial" w:hAnsi="Arial"/>
          <w:noProof w:val="0"/>
          <w:rtl/>
        </w:rPr>
      </w:pPr>
    </w:p>
    <w:p w:rsidR="00694556" w:rsidRDefault="009C0B74">
      <w:pPr>
        <w:spacing w:line="360" w:lineRule="auto"/>
        <w:ind w:left="3600" w:firstLine="720"/>
        <w:jc w:val="both"/>
        <w:rPr>
          <w:rFonts w:ascii="Arial" w:hAnsi="Arial"/>
          <w:noProof w:val="0"/>
          <w:rtl/>
        </w:rPr>
      </w:pPr>
      <w:sdt>
        <w:sdtPr>
          <w:alias w:val="MergeField"/>
          <w:tag w:val="1237"/>
        </w:sdtPr>
        <w:sdtContent>
          <w:p>
            <w:r>
              <w:drawing>
                <wp:inline distT="0" distB="0" distL="0" distR="0" wp14:editId="50D07946">
                  <wp:extent cx="1152525"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a519c140c3d4d02" cstate="print">
                            <a:extLst>
                              <a:ext uri="{28A0092B-C50C-407E-A947-70E740481C1C}"/>
                            </a:extLst>
                          </a:blip>
                          <a:stretch>
                            <a:fillRect/>
                          </a:stretch>
                        </pic:blipFill>
                        <pic:spPr>
                          <a:xfrm>
                            <a:off x="0" y="0"/>
                            <a:ext cx="1152525" cy="704850"/>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bookmarkStart w:name="_GoBack" w:id="0"/>
      <w:bookmarkEnd w:id="0"/>
    </w:p>
    <w:sectPr w:rsidR="00694556" w:rsidSect="00903896">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612" w:rsidRDefault="00620612">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7C4F95">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9C0B74">
      <w:rPr>
        <w:rStyle w:val="ab"/>
        <w:rFonts w:cs="Times New Roman"/>
        <w:rtl/>
      </w:rPr>
      <w:t>8</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9C0B74">
      <w:rPr>
        <w:rStyle w:val="ab"/>
        <w:rtl/>
      </w:rPr>
      <w:t>8</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612" w:rsidRDefault="0062061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612" w:rsidRDefault="00620612">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20612">
    <w:pPr>
      <w:pStyle w:val="a3"/>
      <w:jc w:val="center"/>
      <w:rPr>
        <w:rFonts w:cs="FrankRuehl"/>
        <w:noProof w:val="0"/>
        <w:sz w:val="28"/>
        <w:szCs w:val="28"/>
        <w:rtl/>
      </w:rPr>
    </w:pPr>
    <w:r>
      <w:rPr>
        <w:rFonts w:cs="FrankRuehl"/>
        <w:sz w:val="28"/>
        <w:szCs w:val="28"/>
      </w:rPr>
    </w:r>
    <w:r w:rsidR="004121E7">
      <w:rPr>
        <w:rFonts w:cs="FrankRuehl"/>
        <w:sz w:val="28"/>
        <w:szCs w:val="28"/>
      </w:rPr>
      <w:drawing>
        <wp:inline distT="0" distB="0" distL="0" distR="0" wp14:anchorId="430CD3A7" wp14:editId="5E208AF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rsidTr="001439B0">
      <w:trPr>
        <w:trHeight w:val="418" w:hRule="exact"/>
        <w:jc w:val="center"/>
      </w:trPr>
      <w:sdt>
        <w:sdtPr>
          <w:rPr>
            <w:sz w:val="30"/>
            <w:szCs w:val="30"/>
            <w:rtl/>
          </w:rPr>
          <w:alias w:val="1174"/>
          <w:tag w:val="1174"/>
          <w:id w:val="-755980567"/>
          <w:text/>
        </w:sdtPr>
        <w:sdtEndPr/>
        <w:sdtContent>
          <w:tc>
            <w:tcPr>
              <w:tcW w:w="8721" w:type="dxa"/>
              <w:gridSpan w:val="2"/>
            </w:tcPr>
            <w:p w:rsidRPr="00621052" w:rsidR="00694556" w:rsidRDefault="00005C8B">
              <w:pPr>
                <w:pStyle w:val="a3"/>
                <w:jc w:val="center"/>
                <w:rPr>
                  <w:rFonts w:ascii="Tahoma" w:hAnsi="Tahoma"/>
                  <w:noProof w:val="0"/>
                  <w:color w:val="000080"/>
                  <w:sz w:val="30"/>
                  <w:szCs w:val="30"/>
                  <w:rtl/>
                </w:rPr>
              </w:pPr>
              <w:r w:rsidRPr="00621052">
                <w:rPr>
                  <w:rFonts w:ascii="Tahoma" w:hAnsi="Tahoma"/>
                  <w:b/>
                  <w:bCs/>
                  <w:noProof w:val="0"/>
                  <w:color w:val="000080"/>
                  <w:sz w:val="30"/>
                  <w:szCs w:val="30"/>
                  <w:rtl/>
                </w:rPr>
                <w:t>בית דין אזורי לעבודה בתל אביב - יפו</w:t>
              </w:r>
            </w:p>
          </w:tc>
        </w:sdtContent>
      </w:sdt>
    </w:tr>
    <w:tr w:rsidRPr="001439B0" w:rsidR="00694556" w:rsidTr="001067E3">
      <w:trPr>
        <w:trHeight w:val="959"/>
        <w:jc w:val="center"/>
      </w:trPr>
      <w:tc>
        <w:tcPr>
          <w:tcW w:w="5047" w:type="dxa"/>
        </w:tcPr>
        <w:p w:rsidR="00694556" w:rsidRDefault="00694556">
          <w:pPr>
            <w:rPr>
              <w:b/>
              <w:bCs/>
              <w:noProof w:val="0"/>
              <w:sz w:val="26"/>
              <w:szCs w:val="26"/>
              <w:rtl/>
            </w:rPr>
          </w:pPr>
        </w:p>
      </w:tc>
      <w:tc>
        <w:tcPr>
          <w:tcW w:w="3674" w:type="dxa"/>
        </w:tcPr>
        <w:p w:rsidRPr="001067E3" w:rsidR="00694556" w:rsidP="001067E3" w:rsidRDefault="009C0B74">
          <w:pPr>
            <w:jc w:val="right"/>
            <w:rPr>
              <w:sz w:val="28"/>
              <w:szCs w:val="28"/>
              <w:rtl/>
            </w:rPr>
          </w:pPr>
          <w:sdt>
            <w:sdtPr>
              <w:rPr>
                <w:sz w:val="28"/>
                <w:szCs w:val="28"/>
                <w:rtl/>
              </w:rPr>
              <w:alias w:val="1170"/>
              <w:tag w:val="1170"/>
              <w:id w:val="1147020335"/>
              <w:text w:multiLine="1"/>
            </w:sdtPr>
            <w:sdtEndPr/>
            <w:sdtContent>
              <w:r w:rsidR="00D569A5">
                <w:rPr>
                  <w:b/>
                  <w:bCs/>
                  <w:noProof w:val="0"/>
                  <w:sz w:val="28"/>
                  <w:szCs w:val="28"/>
                  <w:rtl/>
                </w:rPr>
                <w:t>ב"ל</w:t>
              </w:r>
            </w:sdtContent>
          </w:sdt>
          <w:r w:rsidRPr="0032390E" w:rsidR="00621052">
            <w:rPr>
              <w:b/>
              <w:bCs/>
              <w:noProof w:val="0"/>
              <w:sz w:val="28"/>
              <w:szCs w:val="28"/>
              <w:rtl/>
            </w:rPr>
            <w:t xml:space="preserve"> </w:t>
          </w:r>
          <w:sdt>
            <w:sdtPr>
              <w:rPr>
                <w:sz w:val="28"/>
                <w:szCs w:val="28"/>
                <w:rtl/>
              </w:rPr>
              <w:alias w:val="1171"/>
              <w:tag w:val="1171"/>
              <w:id w:val="2066985782"/>
              <w:text w:multiLine="1"/>
            </w:sdtPr>
            <w:sdtEndPr/>
            <w:sdtContent>
              <w:r w:rsidR="00D569A5">
                <w:rPr>
                  <w:b/>
                  <w:bCs/>
                  <w:noProof w:val="0"/>
                  <w:sz w:val="28"/>
                  <w:szCs w:val="28"/>
                  <w:rtl/>
                </w:rPr>
                <w:t>41457-12-16</w:t>
              </w:r>
            </w:sdtContent>
          </w:sdt>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612" w:rsidRDefault="0062061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98306"/>
    <o:shapelayout v:ext="edit">
      <o:idmap v:ext="edit" data="96"/>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30108"/>
    <w:rsid w:val="000564AB"/>
    <w:rsid w:val="001067E3"/>
    <w:rsid w:val="0014234E"/>
    <w:rsid w:val="001439B0"/>
    <w:rsid w:val="001C4003"/>
    <w:rsid w:val="001D0618"/>
    <w:rsid w:val="0025187E"/>
    <w:rsid w:val="0032390E"/>
    <w:rsid w:val="004121E7"/>
    <w:rsid w:val="004E6E3C"/>
    <w:rsid w:val="00547DB7"/>
    <w:rsid w:val="00620612"/>
    <w:rsid w:val="00621052"/>
    <w:rsid w:val="00622BAA"/>
    <w:rsid w:val="00670EC2"/>
    <w:rsid w:val="00671BD5"/>
    <w:rsid w:val="006805C1"/>
    <w:rsid w:val="00694556"/>
    <w:rsid w:val="006C53E1"/>
    <w:rsid w:val="006E1A53"/>
    <w:rsid w:val="007C4F95"/>
    <w:rsid w:val="00820005"/>
    <w:rsid w:val="008A58D0"/>
    <w:rsid w:val="00903896"/>
    <w:rsid w:val="009C0B74"/>
    <w:rsid w:val="00B80CBD"/>
    <w:rsid w:val="00C2257A"/>
    <w:rsid w:val="00D23AEF"/>
    <w:rsid w:val="00D53924"/>
    <w:rsid w:val="00D569A5"/>
    <w:rsid w:val="00D96D8C"/>
    <w:rsid w:val="00E522BC"/>
    <w:rsid w:val="00E54642"/>
    <w:rsid w:val="00E97908"/>
    <w:rsid w:val="00ED3C65"/>
    <w:rsid w:val="00F642FD"/>
    <w:rsid w:val="00FE735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8306"/>
    <o:shapelayout v:ext="edit">
      <o:idmap v:ext="edit" data="1"/>
    </o:shapelayout>
  </w:shapeDefaults>
  <w:decimalSymbol w:val="."/>
  <w:listSeparator w:val=","/>
  <w14:docId w14:val="498F12E2"/>
  <w15:docId w15:val="{35F3853A-66AA-492F-99CB-055651D72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טבלת רשת2"/>
    <w:basedOn w:val="a1"/>
    <w:next w:val="a9"/>
    <w:rsid w:val="00620612"/>
    <w:pPr>
      <w:jc w:val="righ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59538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1a519c140c3d4d02"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1892</Words>
  <Characters>9460</Characters>
  <Application>Microsoft Office Word</Application>
  <DocSecurity>0</DocSecurity>
  <Lines>78</Lines>
  <Paragraphs>22</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דורי ספיבק</cp:lastModifiedBy>
  <cp:revision>17</cp:revision>
  <dcterms:created xsi:type="dcterms:W3CDTF">2012-08-06T01:26:00Z</dcterms:created>
  <dcterms:modified xsi:type="dcterms:W3CDTF">2018-04-11T15:11:00Z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