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אייזדורפר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813A2" w:rsidP="00512AC0" w:rsidRDefault="006E34D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512AC0" w:rsidRDefault="00512AC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עו"ד נקש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12AC0" w:rsidRDefault="006E34D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12AC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785242" w:rsidRDefault="006E34D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  <w:p w:rsidRPr="00512AC0" w:rsidR="00512AC0" w:rsidP="00785242" w:rsidRDefault="00512AC0">
            <w:pPr>
              <w:rPr>
                <w:b/>
                <w:bCs/>
                <w:rtl/>
              </w:rPr>
            </w:pPr>
            <w:r w:rsidRPr="00512AC0">
              <w:rPr>
                <w:rFonts w:hint="cs"/>
                <w:b/>
                <w:bCs/>
                <w:rtl/>
              </w:rPr>
              <w:t>ע"י ב"כ עו"ד שנהב</w:t>
            </w: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512AC0" w:rsidR="00512AC0" w:rsidRDefault="00512AC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512AC0" w:rsidR="00694556" w:rsidRDefault="00512AC0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512AC0">
        <w:rPr>
          <w:rFonts w:hint="cs" w:ascii="Arial" w:hAnsi="Arial"/>
          <w:b/>
          <w:bCs/>
          <w:noProof w:val="0"/>
          <w:rtl/>
        </w:rPr>
        <w:t>לאחר עיון במכלול החומר המצוי בתיק ביהמ"ש, מבלי לקבוע מסמרות ולצרכי פשרה בלבד, מוצע כי הנתבעת תשלם לתובע סך של 11,000 ₪ בצירוף שכ"ט עו"ד בהתאם לתעריף המקובל, ואגרת ההליך המשפטי כפי ששולמה בפועל.</w:t>
      </w:r>
    </w:p>
    <w:p w:rsidRPr="00512AC0" w:rsidR="00512AC0" w:rsidRDefault="00512AC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512AC0" w:rsidR="00512AC0" w:rsidRDefault="00512AC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512AC0">
        <w:rPr>
          <w:rFonts w:hint="cs" w:ascii="Arial" w:hAnsi="Arial"/>
          <w:b/>
          <w:bCs/>
          <w:noProof w:val="0"/>
          <w:u w:val="single"/>
          <w:rtl/>
        </w:rPr>
        <w:t xml:space="preserve">ת"פ ליום 15.6.18 למסירת עדכון מטעם ב"כ הצדדים.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E34D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866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c89cc886d94d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E34D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E34D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12A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E34D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53195-06-17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12AC0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34DF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813A2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1FA7BF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0c89cc886d94d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D22CA" w:rsidP="00CD22C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D22CA" w:rsidP="00CD22C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CD22CA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2C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D22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D22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</Words>
  <Characters>396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אייזדורפר</cp:lastModifiedBy>
  <cp:revision>102</cp:revision>
  <dcterms:created xsi:type="dcterms:W3CDTF">2012-08-06T05:16:00Z</dcterms:created>
  <dcterms:modified xsi:type="dcterms:W3CDTF">2018-04-12T08:09:00Z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