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RDefault="0094424E">
            <w:pPr>
              <w:rPr>
                <w:rFonts w:ascii="Arial" w:hAnsi="Arial"/>
                <w:b/>
                <w:bCs/>
                <w:noProof w:val="0"/>
                <w:sz w:val="26"/>
                <w:szCs w:val="26"/>
                <w:rtl/>
              </w:rPr>
            </w:pPr>
          </w:p>
        </w:tc>
        <w:tc>
          <w:tcPr>
            <w:tcW w:w="3771" w:type="dxa"/>
          </w:tcPr>
          <w:p w:rsidR="0094424E" w:rsidP="00896889" w:rsidRDefault="0094424E">
            <w:pPr>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3</w:t>
                </w:r>
              </w:sdtContent>
            </w:sdt>
          </w:p>
        </w:tc>
      </w:tr>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אשרית רוטקופף</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C90B93" w:rsidRDefault="00E06780">
                <w:pPr>
                  <w:rPr>
                    <w:rFonts w:ascii="Arial" w:hAnsi="Arial"/>
                    <w:b/>
                    <w:bCs/>
                    <w:noProof w:val="0"/>
                    <w:sz w:val="26"/>
                    <w:szCs w:val="26"/>
                    <w:rtl/>
                  </w:rPr>
                </w:pPr>
                <w:r>
                  <w:rPr>
                    <w:rFonts w:ascii="Arial" w:hAnsi="Arial"/>
                    <w:b/>
                    <w:bCs/>
                    <w:noProof w:val="0"/>
                    <w:sz w:val="26"/>
                    <w:szCs w:val="26"/>
                    <w:rtl/>
                  </w:rPr>
                  <w:t>מבקשים</w:t>
                </w:r>
              </w:p>
            </w:sdtContent>
          </w:sdt>
        </w:tc>
        <w:tc>
          <w:tcPr>
            <w:tcW w:w="5571" w:type="dxa"/>
            <w:gridSpan w:val="2"/>
          </w:tcPr>
          <w:p w:rsidR="0094424E" w:rsidRDefault="00FA01BF">
            <w:pPr>
              <w:rPr>
                <w:rFonts w:ascii="Arial" w:hAnsi="Arial"/>
                <w:b/>
                <w:bCs/>
                <w:noProof w:val="0"/>
                <w:sz w:val="26"/>
                <w:szCs w:val="26"/>
                <w:rtl/>
              </w:rPr>
            </w:pPr>
            <w:r>
              <w:rPr>
                <w:rFonts w:hint="cs" w:ascii="Arial" w:hAnsi="Arial"/>
                <w:b/>
                <w:bCs/>
                <w:noProof w:val="0"/>
                <w:sz w:val="26"/>
                <w:szCs w:val="26"/>
                <w:rtl/>
              </w:rPr>
              <w:t>המאגר הישראלי לביטוחי רכב ואח'</w:t>
            </w:r>
          </w:p>
          <w:p w:rsidR="0094424E" w:rsidP="00F852D0" w:rsidRDefault="0094424E">
            <w:pPr>
              <w:rPr>
                <w:b/>
                <w:bCs/>
                <w:noProof w:val="0"/>
                <w:sz w:val="26"/>
                <w:szCs w:val="26"/>
              </w:rPr>
            </w:pPr>
          </w:p>
        </w:tc>
      </w:tr>
      <w:tr w:rsidR="0094424E">
        <w:trPr>
          <w:jc w:val="center"/>
        </w:trPr>
        <w:tc>
          <w:tcPr>
            <w:tcW w:w="8820" w:type="dxa"/>
            <w:gridSpan w:val="4"/>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C45603">
            <w:pPr>
              <w:rPr>
                <w:rFonts w:ascii="Arial" w:hAnsi="Arial"/>
                <w:b/>
                <w:bCs/>
                <w:noProof w:val="0"/>
                <w:sz w:val="26"/>
                <w:szCs w:val="26"/>
              </w:rPr>
            </w:pPr>
            <w:sdt>
              <w:sdtPr>
                <w:rPr>
                  <w:rtl/>
                </w:rPr>
                <w:alias w:val="1184"/>
                <w:tag w:val="1184"/>
                <w:id w:val="-340621022"/>
                <w:text w:multiLine="1"/>
              </w:sdtPr>
              <w:sdtEndPr/>
              <w:sdtContent>
                <w:r w:rsidR="00FA01BF">
                  <w:rPr>
                    <w:rFonts w:ascii="Arial" w:hAnsi="Arial"/>
                    <w:b/>
                    <w:bCs/>
                    <w:noProof w:val="0"/>
                    <w:sz w:val="26"/>
                    <w:szCs w:val="26"/>
                    <w:rtl/>
                  </w:rPr>
                  <w:t>משיב</w:t>
                </w:r>
              </w:sdtContent>
            </w:sdt>
          </w:p>
        </w:tc>
        <w:tc>
          <w:tcPr>
            <w:tcW w:w="5571" w:type="dxa"/>
            <w:gridSpan w:val="2"/>
          </w:tcPr>
          <w:p w:rsidRPr="00785242" w:rsidR="0094424E" w:rsidP="00E06780" w:rsidRDefault="00C45603">
            <w:pPr>
              <w:rPr>
                <w:rtl/>
              </w:rPr>
            </w:pPr>
            <w:sdt>
              <w:sdtPr>
                <w:rPr>
                  <w:rFonts w:hint="cs"/>
                  <w:b/>
                  <w:bCs/>
                  <w:rtl/>
                </w:rPr>
                <w:alias w:val="1486"/>
                <w:tag w:val="1486"/>
                <w:id w:val="-309872140"/>
                <w:text w:multiLine="1"/>
              </w:sdtPr>
              <w:sdtEndPr/>
              <w:sdtContent>
                <w:r w:rsidRPr="00FA01BF" w:rsidR="00E06780">
                  <w:rPr>
                    <w:rFonts w:hint="cs"/>
                    <w:b/>
                    <w:bCs/>
                    <w:rtl/>
                  </w:rPr>
                  <w:t>פלוני</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E06780" w:rsidP="00E06780" w:rsidRDefault="00E06780">
      <w:pPr>
        <w:pStyle w:val="ad"/>
        <w:numPr>
          <w:ilvl w:val="0"/>
          <w:numId w:val="1"/>
        </w:numPr>
        <w:spacing w:after="0" w:line="360" w:lineRule="auto"/>
        <w:jc w:val="both"/>
        <w:rPr>
          <w:rFonts w:cs="David"/>
          <w:sz w:val="24"/>
          <w:szCs w:val="24"/>
        </w:rPr>
      </w:pPr>
      <w:bookmarkStart w:name="NGCSBookmark" w:id="0"/>
      <w:bookmarkEnd w:id="0"/>
      <w:r>
        <w:rPr>
          <w:rFonts w:hint="cs" w:cs="David"/>
          <w:sz w:val="24"/>
          <w:szCs w:val="24"/>
          <w:rtl/>
        </w:rPr>
        <w:t>עניינה של החלטה זו הינו בבקשת הנתבעים למתן צו במסגרתו הינה עותרת לקבל לידיה מאת עיריית בני ברק את "מלוא תיק הרווחה של התובע ומשפחתו".</w:t>
      </w:r>
    </w:p>
    <w:p w:rsidR="00E06780" w:rsidP="00E06780" w:rsidRDefault="00E06780">
      <w:pPr>
        <w:pStyle w:val="ad"/>
        <w:spacing w:after="0" w:line="360" w:lineRule="auto"/>
        <w:jc w:val="both"/>
        <w:rPr>
          <w:rFonts w:cs="David"/>
          <w:sz w:val="24"/>
          <w:szCs w:val="24"/>
        </w:rPr>
      </w:pPr>
    </w:p>
    <w:p w:rsidR="00E06780" w:rsidP="00FA01BF" w:rsidRDefault="00E06780">
      <w:pPr>
        <w:pStyle w:val="ad"/>
        <w:numPr>
          <w:ilvl w:val="0"/>
          <w:numId w:val="1"/>
        </w:numPr>
        <w:spacing w:after="0" w:line="360" w:lineRule="auto"/>
        <w:jc w:val="both"/>
        <w:rPr>
          <w:rFonts w:cs="David"/>
          <w:sz w:val="24"/>
          <w:szCs w:val="24"/>
        </w:rPr>
      </w:pPr>
      <w:r>
        <w:rPr>
          <w:rFonts w:hint="cs" w:cs="David"/>
          <w:sz w:val="24"/>
          <w:szCs w:val="24"/>
          <w:rtl/>
        </w:rPr>
        <w:t xml:space="preserve">יצוין בתמצית כי עסקינן בתביעה לפיצוי בגין נזקי גוף שהוגשה על-פי חוק פיצויים לנפגעי תאונות דרכים, תשל"ה-1975 בגין תאונת דרכים שאירעה לתובע ביום 11/12/14 בעת שנפגע כרוכב אופניים מקטנוע שהיה נהוג על ידי הנתבע ושהיה מבוטח על ידי הנתבעת. התאונה הוכרה על ידי המל"ל כתאונת עבודה ולתובע נקבע דרגת נכות צמיתה בשיעור 19% </w:t>
      </w:r>
      <w:r w:rsidR="00FA01BF">
        <w:rPr>
          <w:rFonts w:hint="cs" w:cs="David"/>
          <w:sz w:val="24"/>
          <w:szCs w:val="24"/>
          <w:rtl/>
        </w:rPr>
        <w:t>.</w:t>
      </w:r>
    </w:p>
    <w:p w:rsidR="00E06780" w:rsidP="00E06780" w:rsidRDefault="00E06780">
      <w:pPr>
        <w:spacing w:line="360" w:lineRule="auto"/>
        <w:jc w:val="both"/>
      </w:pPr>
    </w:p>
    <w:p w:rsidR="00E06780" w:rsidP="00E06780" w:rsidRDefault="00E06780">
      <w:pPr>
        <w:pStyle w:val="ad"/>
        <w:numPr>
          <w:ilvl w:val="0"/>
          <w:numId w:val="1"/>
        </w:numPr>
        <w:spacing w:after="0" w:line="360" w:lineRule="auto"/>
        <w:jc w:val="both"/>
        <w:rPr>
          <w:rFonts w:cs="David"/>
          <w:sz w:val="24"/>
          <w:szCs w:val="24"/>
          <w:rtl/>
        </w:rPr>
      </w:pPr>
      <w:r>
        <w:rPr>
          <w:rFonts w:hint="cs" w:cs="David"/>
          <w:sz w:val="24"/>
          <w:szCs w:val="24"/>
          <w:rtl/>
        </w:rPr>
        <w:t xml:space="preserve">במסגרת בקשתם דנן, טוענים הנתבעים כי קבלת תיק הרווחה נועדה על מנת לבחון את מצבו ו/או תפקודו ו/או עיסוקיו של התובע עובר לתאונה, על מנת להציג בפני בית המשפט את "מלוא התמונה" וכן לצורך בחינה האם יש מקום להגשת בקשה להבאת ראיות לסתור.  </w:t>
      </w:r>
    </w:p>
    <w:p w:rsidR="00E06780" w:rsidP="00E06780" w:rsidRDefault="00E06780">
      <w:pPr>
        <w:pStyle w:val="ad"/>
        <w:rPr>
          <w:rFonts w:cs="David"/>
          <w:sz w:val="24"/>
          <w:szCs w:val="24"/>
        </w:rPr>
      </w:pPr>
    </w:p>
    <w:p w:rsidR="00E06780" w:rsidP="00E06780" w:rsidRDefault="00E06780">
      <w:pPr>
        <w:pStyle w:val="ad"/>
        <w:numPr>
          <w:ilvl w:val="0"/>
          <w:numId w:val="1"/>
        </w:numPr>
        <w:spacing w:after="0" w:line="360" w:lineRule="auto"/>
        <w:jc w:val="both"/>
        <w:rPr>
          <w:rFonts w:cs="David"/>
          <w:sz w:val="24"/>
          <w:szCs w:val="24"/>
          <w:rtl/>
        </w:rPr>
      </w:pPr>
      <w:r>
        <w:rPr>
          <w:rFonts w:hint="cs" w:cs="David"/>
          <w:sz w:val="24"/>
          <w:szCs w:val="24"/>
          <w:rtl/>
        </w:rPr>
        <w:t xml:space="preserve">התובע מתנגד לבקשה. לטענתו הטעם העיקרי לקבלת התיק מנוסח בכלליות ובצורה שאינה רלוונטית בעליל, כשהצו מופנה גם לבני משפחתו של התובע אשר אינם צדדים ו/או בעלי דין בתיק. בנסיבות אלה, נטען כי עסקינן בצו גורף ובלתי מידתי העשוי להביא לפגיעה קשה בפרטיות התובע ומשפחתו.   </w:t>
      </w:r>
    </w:p>
    <w:p w:rsidR="00E06780" w:rsidP="00E06780" w:rsidRDefault="00E06780">
      <w:pPr>
        <w:spacing w:line="360" w:lineRule="auto"/>
        <w:jc w:val="both"/>
      </w:pPr>
    </w:p>
    <w:p w:rsidR="00E06780" w:rsidP="00E06780" w:rsidRDefault="00E06780">
      <w:pPr>
        <w:pStyle w:val="ad"/>
        <w:numPr>
          <w:ilvl w:val="0"/>
          <w:numId w:val="1"/>
        </w:numPr>
        <w:spacing w:after="0" w:line="360" w:lineRule="auto"/>
        <w:jc w:val="both"/>
        <w:rPr>
          <w:rFonts w:cs="David"/>
          <w:sz w:val="24"/>
          <w:szCs w:val="24"/>
          <w:rtl/>
        </w:rPr>
      </w:pPr>
      <w:r>
        <w:rPr>
          <w:rFonts w:hint="cs" w:cs="David"/>
          <w:sz w:val="24"/>
          <w:szCs w:val="24"/>
          <w:rtl/>
        </w:rPr>
        <w:t xml:space="preserve">לאחר שעיינתי בבקשה, בתגובה ובתשובה לה, נחה דעתי כי אין להיעתר לצו המבוקש. </w:t>
      </w:r>
    </w:p>
    <w:p w:rsidR="00E06780" w:rsidP="00E06780" w:rsidRDefault="00E06780">
      <w:pPr>
        <w:spacing w:line="360" w:lineRule="auto"/>
        <w:jc w:val="both"/>
      </w:pPr>
    </w:p>
    <w:p w:rsidR="00E06780" w:rsidP="00E06780" w:rsidRDefault="00E06780">
      <w:pPr>
        <w:pStyle w:val="ad"/>
        <w:numPr>
          <w:ilvl w:val="0"/>
          <w:numId w:val="1"/>
        </w:numPr>
        <w:spacing w:after="0" w:line="360" w:lineRule="auto"/>
        <w:jc w:val="both"/>
        <w:rPr>
          <w:rFonts w:cs="David"/>
          <w:sz w:val="24"/>
          <w:szCs w:val="24"/>
          <w:rtl/>
        </w:rPr>
      </w:pPr>
      <w:r>
        <w:rPr>
          <w:rFonts w:hint="cs" w:cs="David"/>
          <w:sz w:val="24"/>
          <w:szCs w:val="24"/>
          <w:rtl/>
        </w:rPr>
        <w:lastRenderedPageBreak/>
        <w:t xml:space="preserve">כלל מושרש הוא כי יש להתיר גילוי רחב של מסמכים בין בעלי דין (בין כאלה המושגים באמצעות בקשה לצד השני או באמצעות צו המתבקש מבית המשפט), ובלבד שהמסמך רלוונטי למחלוקת הנדונה בבית המשפט. כן, עמדה הפסיקה על כך שאין חובה לגלות את מכלול המסמכים המבוקשים ויש להקפיד על גילוי המסמכים הרלוונטיים בלבד, על מנת שלא לפגוע בפרטיותו של בעל דין שלא לצורך (ר' רע"א 8473/99 </w:t>
      </w:r>
      <w:r>
        <w:rPr>
          <w:rFonts w:hint="cs" w:cs="David"/>
          <w:b/>
          <w:bCs/>
          <w:sz w:val="24"/>
          <w:szCs w:val="24"/>
          <w:rtl/>
        </w:rPr>
        <w:t>כרטיסי אשראי לישראל נ' איילון שגב ואח'</w:t>
      </w:r>
      <w:r>
        <w:rPr>
          <w:rFonts w:hint="cs" w:cs="David"/>
          <w:sz w:val="24"/>
          <w:szCs w:val="24"/>
          <w:rtl/>
        </w:rPr>
        <w:t>, פ"ד נה (1) 337).</w:t>
      </w:r>
    </w:p>
    <w:p w:rsidR="00E06780" w:rsidP="00E06780" w:rsidRDefault="00E06780">
      <w:pPr>
        <w:pStyle w:val="ad"/>
        <w:rPr>
          <w:rFonts w:cs="David"/>
          <w:sz w:val="24"/>
          <w:szCs w:val="24"/>
        </w:rPr>
      </w:pPr>
    </w:p>
    <w:p w:rsidR="00E06780" w:rsidP="00E06780" w:rsidRDefault="00E06780">
      <w:pPr>
        <w:pStyle w:val="ad"/>
        <w:numPr>
          <w:ilvl w:val="0"/>
          <w:numId w:val="1"/>
        </w:numPr>
        <w:spacing w:after="0" w:line="360" w:lineRule="auto"/>
        <w:jc w:val="both"/>
        <w:rPr>
          <w:rFonts w:cs="David"/>
          <w:sz w:val="24"/>
          <w:szCs w:val="24"/>
          <w:rtl/>
        </w:rPr>
      </w:pPr>
      <w:r>
        <w:rPr>
          <w:rFonts w:hint="cs" w:cs="David"/>
          <w:sz w:val="24"/>
          <w:szCs w:val="24"/>
          <w:rtl/>
        </w:rPr>
        <w:t xml:space="preserve">גם אם אמנם פרטיותו של תובע נסוגה במידת מה מקום בו עסקינן בתביעה בה הוא עותר לפיצוי בגין נזקי גוף (כשלרוב הדבר בא לידי ביטוי בהסכמה לחשיפת המידע הרפואי באמצעות חתימתו על וס"ר), אין לומר כי בכל תחום הקשור למחלוקת שבין הצדדים בתביעה מסוג זה, ייאלץ תובע להשלים עם כל פגיעה בפרטיותו. </w:t>
      </w:r>
    </w:p>
    <w:p w:rsidR="00E06780" w:rsidP="00E06780" w:rsidRDefault="00E06780">
      <w:pPr>
        <w:pStyle w:val="ad"/>
        <w:rPr>
          <w:rFonts w:cs="David"/>
          <w:sz w:val="24"/>
          <w:szCs w:val="24"/>
        </w:rPr>
      </w:pPr>
    </w:p>
    <w:p w:rsidR="00E06780" w:rsidP="00FA01BF" w:rsidRDefault="00E06780">
      <w:pPr>
        <w:pStyle w:val="ad"/>
        <w:numPr>
          <w:ilvl w:val="0"/>
          <w:numId w:val="1"/>
        </w:numPr>
        <w:spacing w:after="0" w:line="360" w:lineRule="auto"/>
        <w:jc w:val="both"/>
        <w:rPr>
          <w:rFonts w:cs="David"/>
          <w:sz w:val="24"/>
          <w:szCs w:val="24"/>
          <w:rtl/>
        </w:rPr>
      </w:pPr>
      <w:r>
        <w:rPr>
          <w:rFonts w:hint="cs" w:cs="David"/>
          <w:sz w:val="24"/>
          <w:szCs w:val="24"/>
          <w:rtl/>
        </w:rPr>
        <w:t>במקרה דנן, הצו המבוקש בכל הקשור לתיק הרווחה, הינו לטעמי בבחינת צו גורף וחסר מידתיות, ובעיקר בשעה שהינו מתייחס מלבד לתובע גם לבני משפחתו אשר אינם צד ל</w:t>
      </w:r>
      <w:r w:rsidR="00FA01BF">
        <w:rPr>
          <w:rFonts w:hint="cs" w:cs="David"/>
          <w:sz w:val="24"/>
          <w:szCs w:val="24"/>
          <w:rtl/>
        </w:rPr>
        <w:t>הליך</w:t>
      </w:r>
      <w:r>
        <w:rPr>
          <w:rFonts w:hint="cs" w:cs="David"/>
          <w:sz w:val="24"/>
          <w:szCs w:val="24"/>
          <w:rtl/>
        </w:rPr>
        <w:t>. מטבע הדברים, בתיק האמור שהעיון בו מבוקש, עשויים להיכלל מסמכים המכילים פרטים רגישים הקשורים בתובע ובני משפחתו אשר אין להם בהכרח זיקה ל</w:t>
      </w:r>
      <w:r>
        <w:rPr>
          <w:rFonts w:hint="cs" w:ascii="Arial" w:hAnsi="Arial" w:cs="David"/>
          <w:sz w:val="24"/>
          <w:szCs w:val="24"/>
          <w:rtl/>
        </w:rPr>
        <w:t xml:space="preserve">מידע ולנתונים הרלוונטיים למידע אותו מבקשים הנתבעים להשיג באמצעות הצו. </w:t>
      </w:r>
    </w:p>
    <w:p w:rsidR="00E06780" w:rsidP="00E06780" w:rsidRDefault="00E06780">
      <w:pPr>
        <w:spacing w:line="360" w:lineRule="auto"/>
        <w:jc w:val="both"/>
      </w:pPr>
    </w:p>
    <w:p w:rsidR="00E06780" w:rsidP="00E06780" w:rsidRDefault="00E06780">
      <w:pPr>
        <w:pStyle w:val="ad"/>
        <w:numPr>
          <w:ilvl w:val="0"/>
          <w:numId w:val="1"/>
        </w:numPr>
        <w:spacing w:after="0" w:line="360" w:lineRule="auto"/>
        <w:jc w:val="both"/>
        <w:rPr>
          <w:rFonts w:cs="David"/>
          <w:sz w:val="24"/>
          <w:szCs w:val="24"/>
          <w:rtl/>
        </w:rPr>
      </w:pPr>
      <w:r>
        <w:rPr>
          <w:rFonts w:hint="cs" w:cs="David"/>
          <w:sz w:val="24"/>
          <w:szCs w:val="24"/>
          <w:rtl/>
        </w:rPr>
        <w:t>לאור כל האמור, דין הבקשה להידחות.</w:t>
      </w:r>
    </w:p>
    <w:p w:rsidR="00E06780" w:rsidP="00E06780" w:rsidRDefault="00E06780">
      <w:pPr>
        <w:pStyle w:val="ad"/>
        <w:rPr>
          <w:rFonts w:cs="David"/>
          <w:sz w:val="24"/>
          <w:szCs w:val="24"/>
        </w:rPr>
      </w:pPr>
    </w:p>
    <w:p w:rsidRPr="00FA01BF" w:rsidR="00694556" w:rsidP="00F27797" w:rsidRDefault="00FA01BF">
      <w:pPr>
        <w:pStyle w:val="ad"/>
        <w:numPr>
          <w:ilvl w:val="0"/>
          <w:numId w:val="1"/>
        </w:numPr>
        <w:spacing w:after="0" w:line="360" w:lineRule="auto"/>
        <w:jc w:val="both"/>
        <w:rPr>
          <w:rFonts w:ascii="Arial" w:hAnsi="Arial"/>
          <w:rtl/>
        </w:rPr>
      </w:pPr>
      <w:r>
        <w:rPr>
          <w:rFonts w:hint="cs" w:cs="David"/>
          <w:sz w:val="24"/>
          <w:szCs w:val="24"/>
          <w:rtl/>
        </w:rPr>
        <w:t>שאלת ההוצאות תידון בתום ההליך.</w:t>
      </w:r>
      <w:bookmarkStart w:name="_GoBack" w:id="1"/>
      <w:bookmarkEnd w:id="1"/>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C4560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47800" cy="923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1cf8124a76c4141" cstate="print">
                            <a:extLst>
                              <a:ext uri="{28A0092B-C50C-407E-A947-70E740481C1C}"/>
                            </a:extLst>
                          </a:blip>
                          <a:stretch>
                            <a:fillRect/>
                          </a:stretch>
                        </pic:blipFill>
                        <pic:spPr>
                          <a:xfrm>
                            <a:off x="0" y="0"/>
                            <a:ext cx="1447800" cy="923924"/>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45603">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45603">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4560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C45603">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27632-01-18</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939CC"/>
    <w:multiLevelType w:val="hybridMultilevel"/>
    <w:tmpl w:val="6EE83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603"/>
    <w:rsid w:val="00C50A9F"/>
    <w:rsid w:val="00C642FA"/>
    <w:rsid w:val="00C90B93"/>
    <w:rsid w:val="00CC7622"/>
    <w:rsid w:val="00CF4AD5"/>
    <w:rsid w:val="00D27982"/>
    <w:rsid w:val="00D33B86"/>
    <w:rsid w:val="00D53924"/>
    <w:rsid w:val="00D55D0C"/>
    <w:rsid w:val="00D96D8C"/>
    <w:rsid w:val="00DA6649"/>
    <w:rsid w:val="00DC1259"/>
    <w:rsid w:val="00DC1BD2"/>
    <w:rsid w:val="00DC2571"/>
    <w:rsid w:val="00DC487C"/>
    <w:rsid w:val="00DE6BF6"/>
    <w:rsid w:val="00E06780"/>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01BF"/>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7A5C63B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E06780"/>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1954242761">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f1cf8124a76c414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F2E5B" w:rsidP="008F2E5B">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8F2E5B" w:rsidP="008F2E5B">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8F2E5B"/>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F2E5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8F2E5B"/>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8F2E5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393</Words>
  <Characters>1970</Characters>
  <Application>Microsoft Office Word</Application>
  <DocSecurity>0</DocSecurity>
  <Lines>16</Lines>
  <Paragraphs>4</Paragraphs>
  <ScaleCrop>false</ScaleCrop>
  <Company>Microsoft Corporation</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אשרית רוטקופף</cp:lastModifiedBy>
  <cp:revision>103</cp:revision>
  <dcterms:created xsi:type="dcterms:W3CDTF">2012-08-06T05:16:00Z</dcterms:created>
  <dcterms:modified xsi:type="dcterms:W3CDTF">2018-04-12T06:26:00Z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